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353C" w:rsidRDefault="0089353C" w:rsidP="0089353C">
      <w:pPr>
        <w:spacing w:line="360" w:lineRule="auto"/>
        <w:jc w:val="both"/>
        <w:rPr>
          <w:rFonts w:ascii="Aptos" w:hAnsi="Aptos" w:cs="Arial"/>
          <w:sz w:val="22"/>
          <w:szCs w:val="22"/>
        </w:rPr>
      </w:pPr>
      <w:r w:rsidRPr="0089353C">
        <w:rPr>
          <w:rFonts w:ascii="Aptos" w:hAnsi="Aptos" w:cs="Arial"/>
          <w:sz w:val="22"/>
          <w:szCs w:val="22"/>
        </w:rPr>
        <w:t xml:space="preserve">La liquidación objetiva derivada del incumplimiento de los contratos de promesa de compraventa y promesa de cesión de derechos </w:t>
      </w:r>
      <w:proofErr w:type="spellStart"/>
      <w:r w:rsidRPr="0089353C">
        <w:rPr>
          <w:rFonts w:ascii="Aptos" w:hAnsi="Aptos" w:cs="Arial"/>
          <w:sz w:val="22"/>
          <w:szCs w:val="22"/>
        </w:rPr>
        <w:t>herenciales</w:t>
      </w:r>
      <w:proofErr w:type="spellEnd"/>
      <w:r w:rsidRPr="0089353C">
        <w:rPr>
          <w:rFonts w:ascii="Aptos" w:hAnsi="Aptos" w:cs="Arial"/>
          <w:sz w:val="22"/>
          <w:szCs w:val="22"/>
        </w:rPr>
        <w:t xml:space="preserve"> asciende a la suma de </w:t>
      </w:r>
      <w:r w:rsidRPr="0089353C">
        <w:rPr>
          <w:rFonts w:ascii="Aptos" w:hAnsi="Aptos" w:cs="Arial"/>
          <w:b/>
          <w:bCs/>
          <w:sz w:val="22"/>
          <w:szCs w:val="22"/>
          <w:u w:val="single"/>
        </w:rPr>
        <w:t>$2.109.924.948</w:t>
      </w:r>
      <w:r w:rsidRPr="0089353C">
        <w:rPr>
          <w:rFonts w:ascii="Aptos" w:hAnsi="Aptos" w:cs="Arial"/>
          <w:sz w:val="22"/>
          <w:szCs w:val="22"/>
        </w:rPr>
        <w:t>, conforme a las siguientes consideraciones:</w:t>
      </w:r>
    </w:p>
    <w:p w:rsidR="0089353C" w:rsidRPr="0089353C" w:rsidRDefault="0089353C" w:rsidP="0089353C">
      <w:pPr>
        <w:spacing w:line="360" w:lineRule="auto"/>
        <w:jc w:val="both"/>
        <w:rPr>
          <w:rFonts w:ascii="Aptos" w:hAnsi="Aptos" w:cs="Arial"/>
          <w:sz w:val="22"/>
          <w:szCs w:val="22"/>
        </w:rPr>
      </w:pPr>
    </w:p>
    <w:p w:rsidR="0089353C" w:rsidRPr="0089353C" w:rsidRDefault="0089353C" w:rsidP="0089353C">
      <w:pPr>
        <w:pStyle w:val="Prrafodelista"/>
        <w:numPr>
          <w:ilvl w:val="0"/>
          <w:numId w:val="6"/>
        </w:numPr>
        <w:spacing w:line="360" w:lineRule="auto"/>
        <w:jc w:val="both"/>
        <w:rPr>
          <w:rFonts w:ascii="Aptos" w:hAnsi="Aptos" w:cs="Arial"/>
          <w:b/>
          <w:bCs/>
          <w:sz w:val="22"/>
          <w:szCs w:val="22"/>
        </w:rPr>
      </w:pPr>
      <w:r w:rsidRPr="0089353C">
        <w:rPr>
          <w:rFonts w:ascii="Aptos" w:hAnsi="Aptos" w:cs="Arial"/>
          <w:b/>
          <w:bCs/>
          <w:sz w:val="22"/>
          <w:szCs w:val="22"/>
        </w:rPr>
        <w:t>Perjuicios por el incumplimiento del contrato de promesa de compraventa</w:t>
      </w:r>
    </w:p>
    <w:p w:rsidR="0089353C" w:rsidRDefault="0089353C" w:rsidP="0089353C">
      <w:pPr>
        <w:spacing w:line="360" w:lineRule="auto"/>
        <w:jc w:val="both"/>
        <w:rPr>
          <w:rFonts w:ascii="Aptos" w:hAnsi="Aptos" w:cs="Arial"/>
          <w:sz w:val="22"/>
          <w:szCs w:val="22"/>
        </w:rPr>
      </w:pPr>
    </w:p>
    <w:p w:rsidR="0089353C" w:rsidRDefault="0089353C" w:rsidP="0089353C">
      <w:pPr>
        <w:spacing w:line="360" w:lineRule="auto"/>
        <w:jc w:val="both"/>
        <w:rPr>
          <w:rFonts w:ascii="Aptos" w:hAnsi="Aptos" w:cs="Arial"/>
          <w:sz w:val="22"/>
          <w:szCs w:val="22"/>
        </w:rPr>
      </w:pPr>
      <w:r w:rsidRPr="0089353C">
        <w:rPr>
          <w:rFonts w:ascii="Aptos" w:hAnsi="Aptos" w:cs="Arial"/>
          <w:sz w:val="22"/>
          <w:szCs w:val="22"/>
        </w:rPr>
        <w:t xml:space="preserve">El incumplimiento del contrato de promesa de compraventa generó perjuicios que ascienden a la suma de </w:t>
      </w:r>
      <w:r w:rsidRPr="0089353C">
        <w:rPr>
          <w:rFonts w:ascii="Aptos" w:hAnsi="Aptos" w:cs="Arial"/>
          <w:b/>
          <w:bCs/>
          <w:sz w:val="22"/>
          <w:szCs w:val="22"/>
        </w:rPr>
        <w:t>$1.236.979.800</w:t>
      </w:r>
      <w:r w:rsidRPr="0089353C">
        <w:rPr>
          <w:rFonts w:ascii="Aptos" w:hAnsi="Aptos" w:cs="Arial"/>
          <w:sz w:val="22"/>
          <w:szCs w:val="22"/>
        </w:rPr>
        <w:t>, discriminados así:</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Saldo pendiente de pago:</w:t>
      </w:r>
      <w:r w:rsidRPr="0089353C">
        <w:rPr>
          <w:rFonts w:ascii="Aptos" w:hAnsi="Aptos" w:cs="Arial"/>
          <w:sz w:val="22"/>
          <w:szCs w:val="22"/>
        </w:rPr>
        <w:t xml:space="preserve"> </w:t>
      </w:r>
      <w:r w:rsidRPr="0089353C">
        <w:rPr>
          <w:rFonts w:ascii="Aptos" w:hAnsi="Aptos" w:cs="Arial"/>
          <w:sz w:val="22"/>
          <w:szCs w:val="22"/>
          <w:u w:val="single"/>
        </w:rPr>
        <w:t>$100.000.000</w:t>
      </w:r>
      <w:r w:rsidRPr="0089353C">
        <w:rPr>
          <w:rFonts w:ascii="Aptos" w:hAnsi="Aptos" w:cs="Arial"/>
          <w:sz w:val="22"/>
          <w:szCs w:val="22"/>
        </w:rPr>
        <w:t>, correspondiente a la última cuota acordada entre las partes, la cual no ha sido cancelada a la fecha.</w:t>
      </w:r>
    </w:p>
    <w:p w:rsidR="0089353C" w:rsidRPr="0089353C" w:rsidRDefault="0089353C" w:rsidP="0089353C">
      <w:pPr>
        <w:spacing w:line="360" w:lineRule="auto"/>
        <w:ind w:left="720"/>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Intereses moratorios:</w:t>
      </w:r>
      <w:r w:rsidRPr="0089353C">
        <w:rPr>
          <w:rFonts w:ascii="Aptos" w:hAnsi="Aptos" w:cs="Arial"/>
          <w:sz w:val="22"/>
          <w:szCs w:val="22"/>
        </w:rPr>
        <w:t xml:space="preserve"> </w:t>
      </w:r>
      <w:r w:rsidRPr="0089353C">
        <w:rPr>
          <w:rFonts w:ascii="Aptos" w:hAnsi="Aptos" w:cs="Arial"/>
          <w:sz w:val="22"/>
          <w:szCs w:val="22"/>
          <w:u w:val="single"/>
        </w:rPr>
        <w:t>$109.800.393,</w:t>
      </w:r>
      <w:r w:rsidRPr="0089353C">
        <w:rPr>
          <w:rFonts w:ascii="Aptos" w:hAnsi="Aptos" w:cs="Arial"/>
          <w:sz w:val="22"/>
          <w:szCs w:val="22"/>
        </w:rPr>
        <w:t xml:space="preserve"> generados por la mora en el pago de las sumas adeudadas, lo que ha ocasionado un perjuicio económico real a mi representada.</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Cuotas de administración adeudadas al Edificio Alférez Real P.H.:</w:t>
      </w:r>
      <w:r w:rsidRPr="0089353C">
        <w:rPr>
          <w:rFonts w:ascii="Aptos" w:hAnsi="Aptos" w:cs="Arial"/>
          <w:sz w:val="22"/>
          <w:szCs w:val="22"/>
        </w:rPr>
        <w:t xml:space="preserve"> </w:t>
      </w:r>
      <w:r w:rsidRPr="0089353C">
        <w:rPr>
          <w:rFonts w:ascii="Aptos" w:hAnsi="Aptos" w:cs="Arial"/>
          <w:sz w:val="22"/>
          <w:szCs w:val="22"/>
          <w:u w:val="single"/>
        </w:rPr>
        <w:t>$509.717.238</w:t>
      </w:r>
      <w:r w:rsidRPr="0089353C">
        <w:rPr>
          <w:rFonts w:ascii="Aptos" w:hAnsi="Aptos" w:cs="Arial"/>
          <w:sz w:val="22"/>
          <w:szCs w:val="22"/>
        </w:rPr>
        <w:t>, correspondientes a los inmuebles identificados con los folios de matrícula inmobiliaria 370-349869, 370-349676, 370-349677, 370-349678, 370-349870, 370-349679, 370-349680 y 370-349681, las cuales, conforme al contrato, debían ser asumidas por el GRUPO CONSULTOR DE OCCIDENTE Y CÍA LTDA.</w:t>
      </w:r>
    </w:p>
    <w:p w:rsidR="0089353C" w:rsidRPr="0089353C" w:rsidRDefault="0089353C" w:rsidP="0089353C">
      <w:pPr>
        <w:spacing w:line="360" w:lineRule="auto"/>
        <w:jc w:val="both"/>
        <w:rPr>
          <w:rFonts w:ascii="Aptos" w:hAnsi="Aptos" w:cs="Arial"/>
          <w:sz w:val="22"/>
          <w:szCs w:val="22"/>
        </w:rPr>
      </w:pPr>
    </w:p>
    <w:p w:rsidR="0089353C" w:rsidRP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Cuotas de administración adeudadas al Grupo Empresarial Bolívar - El Libertador:</w:t>
      </w:r>
    </w:p>
    <w:p w:rsidR="0089353C" w:rsidRPr="0089353C" w:rsidRDefault="0089353C" w:rsidP="0089353C">
      <w:pPr>
        <w:numPr>
          <w:ilvl w:val="1"/>
          <w:numId w:val="5"/>
        </w:numPr>
        <w:spacing w:line="360" w:lineRule="auto"/>
        <w:jc w:val="both"/>
        <w:rPr>
          <w:rFonts w:ascii="Aptos" w:hAnsi="Aptos" w:cs="Arial"/>
          <w:sz w:val="22"/>
          <w:szCs w:val="22"/>
        </w:rPr>
      </w:pPr>
      <w:r w:rsidRPr="0089353C">
        <w:rPr>
          <w:rFonts w:ascii="Aptos" w:hAnsi="Aptos" w:cs="Arial"/>
          <w:sz w:val="22"/>
          <w:szCs w:val="22"/>
          <w:u w:val="single"/>
        </w:rPr>
        <w:t>Valor principal: $100.234.803</w:t>
      </w:r>
      <w:r w:rsidRPr="0089353C">
        <w:rPr>
          <w:rFonts w:ascii="Aptos" w:hAnsi="Aptos" w:cs="Arial"/>
          <w:sz w:val="22"/>
          <w:szCs w:val="22"/>
        </w:rPr>
        <w:t>.</w:t>
      </w:r>
    </w:p>
    <w:p w:rsidR="0089353C" w:rsidRPr="0089353C" w:rsidRDefault="0089353C" w:rsidP="0089353C">
      <w:pPr>
        <w:numPr>
          <w:ilvl w:val="1"/>
          <w:numId w:val="5"/>
        </w:numPr>
        <w:spacing w:line="360" w:lineRule="auto"/>
        <w:jc w:val="both"/>
        <w:rPr>
          <w:rFonts w:ascii="Aptos" w:hAnsi="Aptos" w:cs="Arial"/>
          <w:sz w:val="22"/>
          <w:szCs w:val="22"/>
          <w:u w:val="single"/>
        </w:rPr>
      </w:pPr>
      <w:r w:rsidRPr="0089353C">
        <w:rPr>
          <w:rFonts w:ascii="Aptos" w:hAnsi="Aptos" w:cs="Arial"/>
          <w:sz w:val="22"/>
          <w:szCs w:val="22"/>
          <w:u w:val="single"/>
        </w:rPr>
        <w:t>Intereses generados: $53.326.415</w:t>
      </w:r>
    </w:p>
    <w:p w:rsidR="0089353C" w:rsidRDefault="0089353C" w:rsidP="0089353C">
      <w:pPr>
        <w:spacing w:line="360" w:lineRule="auto"/>
        <w:ind w:left="1080"/>
        <w:jc w:val="both"/>
        <w:rPr>
          <w:rFonts w:ascii="Aptos" w:hAnsi="Aptos" w:cs="Arial"/>
          <w:sz w:val="22"/>
          <w:szCs w:val="22"/>
        </w:rPr>
      </w:pPr>
      <w:r w:rsidRPr="0089353C">
        <w:rPr>
          <w:rFonts w:ascii="Aptos" w:hAnsi="Aptos" w:cs="Arial"/>
          <w:sz w:val="22"/>
          <w:szCs w:val="22"/>
        </w:rPr>
        <w:t>Dichas obligaciones, a cargo del promitente vendedor, no han sido saldadas, incluso después de la entrega material de los inmuebles.</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Impuestos prediales adeudados desde 2022:</w:t>
      </w:r>
      <w:r w:rsidRPr="0089353C">
        <w:rPr>
          <w:rFonts w:ascii="Aptos" w:hAnsi="Aptos" w:cs="Arial"/>
          <w:sz w:val="22"/>
          <w:szCs w:val="22"/>
        </w:rPr>
        <w:t xml:space="preserve"> $</w:t>
      </w:r>
      <w:r w:rsidRPr="0089353C">
        <w:rPr>
          <w:rFonts w:ascii="Aptos" w:hAnsi="Aptos" w:cs="Arial"/>
          <w:sz w:val="22"/>
          <w:szCs w:val="22"/>
          <w:u w:val="single"/>
        </w:rPr>
        <w:t>59.263.405</w:t>
      </w:r>
      <w:r w:rsidRPr="0089353C">
        <w:rPr>
          <w:rFonts w:ascii="Aptos" w:hAnsi="Aptos" w:cs="Arial"/>
          <w:sz w:val="22"/>
          <w:szCs w:val="22"/>
        </w:rPr>
        <w:t>, correspondientes a los</w:t>
      </w:r>
      <w:r>
        <w:rPr>
          <w:rFonts w:ascii="Aptos" w:hAnsi="Aptos" w:cs="Arial"/>
          <w:sz w:val="22"/>
          <w:szCs w:val="22"/>
        </w:rPr>
        <w:t xml:space="preserve"> impuestos de los</w:t>
      </w:r>
      <w:r w:rsidRPr="0089353C">
        <w:rPr>
          <w:rFonts w:ascii="Aptos" w:hAnsi="Aptos" w:cs="Arial"/>
          <w:sz w:val="22"/>
          <w:szCs w:val="22"/>
        </w:rPr>
        <w:t xml:space="preserve"> inmuebles identificados con los folios de matrícula inmobiliaria 370-349869, 370-349676, 370-349677, 370-349678, 370-349870, 370-349679, 370-349680 y 370-349681. Según lo pactado, dichos pagos debían ser asumidos por la promitente compradora desde la entrega de los inmuebles en 2021.</w:t>
      </w:r>
    </w:p>
    <w:p w:rsidR="0089353C" w:rsidRPr="0089353C" w:rsidRDefault="0089353C" w:rsidP="0089353C">
      <w:pPr>
        <w:spacing w:line="360" w:lineRule="auto"/>
        <w:ind w:left="720"/>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Cláusula penal por incumplimiento:</w:t>
      </w:r>
      <w:r w:rsidRPr="0089353C">
        <w:rPr>
          <w:rFonts w:ascii="Aptos" w:hAnsi="Aptos" w:cs="Arial"/>
          <w:sz w:val="22"/>
          <w:szCs w:val="22"/>
        </w:rPr>
        <w:t xml:space="preserve"> </w:t>
      </w:r>
      <w:r w:rsidRPr="0089353C">
        <w:rPr>
          <w:rFonts w:ascii="Aptos" w:hAnsi="Aptos" w:cs="Arial"/>
          <w:sz w:val="22"/>
          <w:szCs w:val="22"/>
          <w:u w:val="single"/>
        </w:rPr>
        <w:t>$20.000.000,</w:t>
      </w:r>
      <w:r w:rsidRPr="0089353C">
        <w:rPr>
          <w:rFonts w:ascii="Aptos" w:hAnsi="Aptos" w:cs="Arial"/>
          <w:sz w:val="22"/>
          <w:szCs w:val="22"/>
        </w:rPr>
        <w:t xml:space="preserve"> conforme al monto pactado contractualmente en caso de incumplimiento por parte del GRUPO CONSULTOR DE OCCIDENTE Y CÍA LTDA.</w:t>
      </w:r>
    </w:p>
    <w:p w:rsidR="0089353C" w:rsidRDefault="0089353C" w:rsidP="0089353C">
      <w:pPr>
        <w:spacing w:line="360" w:lineRule="auto"/>
        <w:ind w:left="720"/>
        <w:jc w:val="both"/>
        <w:rPr>
          <w:rFonts w:ascii="Aptos" w:hAnsi="Aptos" w:cs="Arial"/>
          <w:sz w:val="22"/>
          <w:szCs w:val="22"/>
        </w:rPr>
      </w:pPr>
    </w:p>
    <w:p w:rsidR="0089353C" w:rsidRP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 xml:space="preserve"> Daño moral causado a las socias comanditarias</w:t>
      </w:r>
      <w:r>
        <w:rPr>
          <w:rFonts w:ascii="Aptos" w:hAnsi="Aptos" w:cs="Arial"/>
          <w:sz w:val="22"/>
          <w:szCs w:val="22"/>
        </w:rPr>
        <w:t>:</w:t>
      </w:r>
      <w:r>
        <w:rPr>
          <w:rFonts w:ascii="Aptos" w:hAnsi="Aptos" w:cs="Arial"/>
          <w:sz w:val="22"/>
          <w:szCs w:val="22"/>
          <w:u w:val="single"/>
        </w:rPr>
        <w:t xml:space="preserve"> $287.700.000.</w:t>
      </w:r>
      <w:r>
        <w:rPr>
          <w:rFonts w:ascii="Aptos" w:hAnsi="Aptos" w:cs="Arial"/>
          <w:sz w:val="22"/>
          <w:szCs w:val="22"/>
        </w:rPr>
        <w:t xml:space="preserve"> </w:t>
      </w:r>
      <w:r w:rsidRPr="0089353C">
        <w:rPr>
          <w:rFonts w:ascii="Aptos" w:hAnsi="Aptos" w:cs="Arial"/>
          <w:sz w:val="22"/>
          <w:szCs w:val="22"/>
        </w:rPr>
        <w:t xml:space="preserve">El incumplimiento reiterado del contrato ha generado a las socias comanditarias </w:t>
      </w:r>
      <w:r w:rsidRPr="0089353C">
        <w:rPr>
          <w:rFonts w:ascii="Aptos" w:hAnsi="Aptos" w:cs="Arial"/>
          <w:b/>
          <w:bCs/>
          <w:sz w:val="22"/>
          <w:szCs w:val="22"/>
        </w:rPr>
        <w:t>Andrea Stella Hernández Ospina</w:t>
      </w:r>
      <w:r w:rsidRPr="0089353C">
        <w:rPr>
          <w:rFonts w:ascii="Aptos" w:hAnsi="Aptos" w:cs="Arial"/>
          <w:sz w:val="22"/>
          <w:szCs w:val="22"/>
        </w:rPr>
        <w:t xml:space="preserve"> y </w:t>
      </w:r>
      <w:r w:rsidRPr="0089353C">
        <w:rPr>
          <w:rFonts w:ascii="Aptos" w:hAnsi="Aptos" w:cs="Arial"/>
          <w:b/>
          <w:bCs/>
          <w:sz w:val="22"/>
          <w:szCs w:val="22"/>
        </w:rPr>
        <w:t>Catalina Hernández Márquez</w:t>
      </w:r>
      <w:r w:rsidRPr="0089353C">
        <w:rPr>
          <w:rFonts w:ascii="Aptos" w:hAnsi="Aptos" w:cs="Arial"/>
          <w:sz w:val="22"/>
          <w:szCs w:val="22"/>
        </w:rPr>
        <w:t xml:space="preserve"> un grave impacto emocional, afectando su tranquilidad y bienestar, al verse sometidas a procesos judiciales en su contra durante más de tres años, con la consecuente incertidumbre y angustia.</w:t>
      </w:r>
      <w:r>
        <w:rPr>
          <w:rFonts w:ascii="Aptos" w:hAnsi="Aptos" w:cs="Arial"/>
          <w:sz w:val="22"/>
          <w:szCs w:val="22"/>
        </w:rPr>
        <w:t xml:space="preserve"> </w:t>
      </w:r>
      <w:r w:rsidRPr="0089353C">
        <w:rPr>
          <w:rFonts w:ascii="Aptos" w:hAnsi="Aptos" w:cs="Arial"/>
          <w:sz w:val="22"/>
          <w:szCs w:val="22"/>
        </w:rPr>
        <w:t xml:space="preserve">Por ello, se solicita el reconocimiento de </w:t>
      </w:r>
      <w:r w:rsidRPr="0089353C">
        <w:rPr>
          <w:rFonts w:ascii="Aptos" w:hAnsi="Aptos" w:cs="Arial"/>
          <w:b/>
          <w:bCs/>
          <w:sz w:val="22"/>
          <w:szCs w:val="22"/>
        </w:rPr>
        <w:t>100 SMLMV</w:t>
      </w:r>
      <w:r w:rsidRPr="0089353C">
        <w:rPr>
          <w:rFonts w:ascii="Aptos" w:hAnsi="Aptos" w:cs="Arial"/>
          <w:sz w:val="22"/>
          <w:szCs w:val="22"/>
        </w:rPr>
        <w:t xml:space="preserve"> para cada una por concepto de </w:t>
      </w:r>
      <w:r w:rsidRPr="0089353C">
        <w:rPr>
          <w:rFonts w:ascii="Aptos" w:hAnsi="Aptos" w:cs="Arial"/>
          <w:b/>
          <w:bCs/>
          <w:sz w:val="22"/>
          <w:szCs w:val="22"/>
        </w:rPr>
        <w:t>daños morales</w:t>
      </w:r>
      <w:r w:rsidRPr="0089353C">
        <w:rPr>
          <w:rFonts w:ascii="Aptos" w:hAnsi="Aptos" w:cs="Arial"/>
          <w:sz w:val="22"/>
          <w:szCs w:val="22"/>
        </w:rPr>
        <w:t xml:space="preserve">, lo que equivale a </w:t>
      </w:r>
      <w:r w:rsidRPr="0089353C">
        <w:rPr>
          <w:rFonts w:ascii="Aptos" w:hAnsi="Aptos" w:cs="Arial"/>
          <w:b/>
          <w:bCs/>
          <w:sz w:val="22"/>
          <w:szCs w:val="22"/>
        </w:rPr>
        <w:t>$</w:t>
      </w:r>
      <w:r>
        <w:rPr>
          <w:rFonts w:ascii="Aptos" w:hAnsi="Aptos" w:cs="Arial"/>
          <w:b/>
          <w:bCs/>
          <w:sz w:val="22"/>
          <w:szCs w:val="22"/>
        </w:rPr>
        <w:t>142</w:t>
      </w:r>
      <w:r w:rsidRPr="0089353C">
        <w:rPr>
          <w:rFonts w:ascii="Aptos" w:hAnsi="Aptos" w:cs="Arial"/>
          <w:b/>
          <w:bCs/>
          <w:sz w:val="22"/>
          <w:szCs w:val="22"/>
        </w:rPr>
        <w:t>.</w:t>
      </w:r>
      <w:r>
        <w:rPr>
          <w:rFonts w:ascii="Aptos" w:hAnsi="Aptos" w:cs="Arial"/>
          <w:b/>
          <w:bCs/>
          <w:sz w:val="22"/>
          <w:szCs w:val="22"/>
        </w:rPr>
        <w:t>350</w:t>
      </w:r>
      <w:r w:rsidRPr="0089353C">
        <w:rPr>
          <w:rFonts w:ascii="Aptos" w:hAnsi="Aptos" w:cs="Arial"/>
          <w:b/>
          <w:bCs/>
          <w:sz w:val="22"/>
          <w:szCs w:val="22"/>
        </w:rPr>
        <w:t>.000</w:t>
      </w:r>
      <w:r w:rsidRPr="0089353C">
        <w:rPr>
          <w:rFonts w:ascii="Aptos" w:hAnsi="Aptos" w:cs="Arial"/>
          <w:sz w:val="22"/>
          <w:szCs w:val="22"/>
        </w:rPr>
        <w:t xml:space="preserve"> por persona a la fecha de presentación de la convocatoria.</w:t>
      </w:r>
    </w:p>
    <w:p w:rsidR="0089353C" w:rsidRPr="0089353C" w:rsidRDefault="0089353C" w:rsidP="0089353C">
      <w:pPr>
        <w:spacing w:line="360" w:lineRule="auto"/>
        <w:jc w:val="both"/>
        <w:rPr>
          <w:rFonts w:ascii="Aptos" w:hAnsi="Aptos" w:cs="Arial"/>
          <w:sz w:val="22"/>
          <w:szCs w:val="22"/>
        </w:rPr>
      </w:pPr>
    </w:p>
    <w:p w:rsidR="0089353C" w:rsidRPr="0089353C" w:rsidRDefault="0089353C" w:rsidP="0089353C">
      <w:pPr>
        <w:pStyle w:val="Prrafodelista"/>
        <w:numPr>
          <w:ilvl w:val="0"/>
          <w:numId w:val="6"/>
        </w:numPr>
        <w:spacing w:line="360" w:lineRule="auto"/>
        <w:jc w:val="both"/>
        <w:rPr>
          <w:rFonts w:ascii="Aptos" w:hAnsi="Aptos" w:cs="Arial"/>
          <w:b/>
          <w:bCs/>
          <w:sz w:val="22"/>
          <w:szCs w:val="22"/>
        </w:rPr>
      </w:pPr>
      <w:r w:rsidRPr="0089353C">
        <w:rPr>
          <w:rFonts w:ascii="Aptos" w:hAnsi="Aptos" w:cs="Arial"/>
          <w:b/>
          <w:bCs/>
          <w:sz w:val="22"/>
          <w:szCs w:val="22"/>
        </w:rPr>
        <w:t xml:space="preserve">Perjuicios por el incumplimiento del contrato de promesa de </w:t>
      </w:r>
      <w:r>
        <w:rPr>
          <w:rFonts w:ascii="Aptos" w:hAnsi="Aptos" w:cs="Arial"/>
          <w:b/>
          <w:bCs/>
          <w:sz w:val="22"/>
          <w:szCs w:val="22"/>
        </w:rPr>
        <w:t xml:space="preserve">cesión de derechos </w:t>
      </w:r>
      <w:proofErr w:type="spellStart"/>
      <w:r>
        <w:rPr>
          <w:rFonts w:ascii="Aptos" w:hAnsi="Aptos" w:cs="Arial"/>
          <w:b/>
          <w:bCs/>
          <w:sz w:val="22"/>
          <w:szCs w:val="22"/>
        </w:rPr>
        <w:t>herenciales</w:t>
      </w:r>
      <w:proofErr w:type="spellEnd"/>
    </w:p>
    <w:p w:rsidR="0089353C" w:rsidRDefault="0089353C" w:rsidP="0089353C">
      <w:pPr>
        <w:spacing w:line="360" w:lineRule="auto"/>
        <w:jc w:val="both"/>
        <w:rPr>
          <w:rFonts w:ascii="Aptos" w:hAnsi="Aptos" w:cs="Arial"/>
          <w:sz w:val="22"/>
          <w:szCs w:val="22"/>
        </w:rPr>
      </w:pPr>
    </w:p>
    <w:p w:rsidR="0089353C" w:rsidRDefault="0089353C" w:rsidP="0089353C">
      <w:pPr>
        <w:spacing w:line="360" w:lineRule="auto"/>
        <w:jc w:val="both"/>
        <w:rPr>
          <w:rFonts w:ascii="Aptos" w:hAnsi="Aptos" w:cs="Arial"/>
          <w:sz w:val="22"/>
          <w:szCs w:val="22"/>
        </w:rPr>
      </w:pPr>
      <w:r w:rsidRPr="0089353C">
        <w:rPr>
          <w:rFonts w:ascii="Aptos" w:hAnsi="Aptos" w:cs="Arial"/>
          <w:sz w:val="22"/>
          <w:szCs w:val="22"/>
        </w:rPr>
        <w:t xml:space="preserve">El incumplimiento del contrato de promesa de compraventa generó perjuicios que ascienden a la suma de </w:t>
      </w:r>
      <w:r w:rsidRPr="0089353C">
        <w:rPr>
          <w:rFonts w:ascii="Aptos" w:hAnsi="Aptos" w:cs="Arial"/>
          <w:b/>
          <w:bCs/>
          <w:sz w:val="22"/>
          <w:szCs w:val="22"/>
        </w:rPr>
        <w:t>$</w:t>
      </w:r>
      <w:r>
        <w:rPr>
          <w:rFonts w:ascii="Aptos" w:hAnsi="Aptos" w:cs="Arial"/>
          <w:b/>
          <w:bCs/>
          <w:sz w:val="22"/>
          <w:szCs w:val="22"/>
        </w:rPr>
        <w:t>872.945.148</w:t>
      </w:r>
      <w:r w:rsidRPr="0089353C">
        <w:rPr>
          <w:rFonts w:ascii="Aptos" w:hAnsi="Aptos" w:cs="Arial"/>
          <w:sz w:val="22"/>
          <w:szCs w:val="22"/>
        </w:rPr>
        <w:t>, discriminados así:</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Saldo pendiente de pago:</w:t>
      </w:r>
      <w:r w:rsidRPr="0089353C">
        <w:rPr>
          <w:rFonts w:ascii="Aptos" w:hAnsi="Aptos" w:cs="Arial"/>
          <w:sz w:val="22"/>
          <w:szCs w:val="22"/>
        </w:rPr>
        <w:t xml:space="preserve"> </w:t>
      </w:r>
      <w:r w:rsidRPr="0089353C">
        <w:rPr>
          <w:rFonts w:ascii="Aptos" w:hAnsi="Aptos" w:cs="Arial"/>
          <w:sz w:val="22"/>
          <w:szCs w:val="22"/>
          <w:u w:val="single"/>
        </w:rPr>
        <w:t>$</w:t>
      </w:r>
      <w:r>
        <w:rPr>
          <w:rFonts w:ascii="Aptos" w:hAnsi="Aptos" w:cs="Arial"/>
          <w:sz w:val="22"/>
          <w:szCs w:val="22"/>
          <w:u w:val="single"/>
        </w:rPr>
        <w:t>75</w:t>
      </w:r>
      <w:r w:rsidRPr="0089353C">
        <w:rPr>
          <w:rFonts w:ascii="Aptos" w:hAnsi="Aptos" w:cs="Arial"/>
          <w:sz w:val="22"/>
          <w:szCs w:val="22"/>
          <w:u w:val="single"/>
        </w:rPr>
        <w:t>.000.000</w:t>
      </w:r>
      <w:r w:rsidRPr="0089353C">
        <w:rPr>
          <w:rFonts w:ascii="Aptos" w:hAnsi="Aptos" w:cs="Arial"/>
          <w:sz w:val="22"/>
          <w:szCs w:val="22"/>
        </w:rPr>
        <w:t>, correspondiente a la última cuota acordada entre las partes, la cual no ha sido cancelada a la fecha.</w:t>
      </w:r>
    </w:p>
    <w:p w:rsidR="0089353C" w:rsidRPr="0089353C" w:rsidRDefault="0089353C" w:rsidP="0089353C">
      <w:pPr>
        <w:spacing w:line="360" w:lineRule="auto"/>
        <w:ind w:left="720"/>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Intereses moratorios:</w:t>
      </w:r>
      <w:r w:rsidRPr="0089353C">
        <w:rPr>
          <w:rFonts w:ascii="Aptos" w:hAnsi="Aptos" w:cs="Arial"/>
          <w:sz w:val="22"/>
          <w:szCs w:val="22"/>
        </w:rPr>
        <w:t xml:space="preserve"> </w:t>
      </w:r>
      <w:r w:rsidRPr="0089353C">
        <w:rPr>
          <w:rFonts w:ascii="Aptos" w:hAnsi="Aptos" w:cs="Arial"/>
          <w:sz w:val="22"/>
          <w:szCs w:val="22"/>
          <w:u w:val="single"/>
        </w:rPr>
        <w:t>$</w:t>
      </w:r>
      <w:r>
        <w:rPr>
          <w:rFonts w:ascii="Aptos" w:hAnsi="Aptos" w:cs="Arial"/>
          <w:sz w:val="22"/>
          <w:szCs w:val="22"/>
          <w:u w:val="single"/>
        </w:rPr>
        <w:t>93.330.334</w:t>
      </w:r>
      <w:r w:rsidRPr="0089353C">
        <w:rPr>
          <w:rFonts w:ascii="Aptos" w:hAnsi="Aptos" w:cs="Arial"/>
          <w:sz w:val="22"/>
          <w:szCs w:val="22"/>
          <w:u w:val="single"/>
        </w:rPr>
        <w:t>,</w:t>
      </w:r>
      <w:r w:rsidRPr="0089353C">
        <w:rPr>
          <w:rFonts w:ascii="Aptos" w:hAnsi="Aptos" w:cs="Arial"/>
          <w:sz w:val="22"/>
          <w:szCs w:val="22"/>
        </w:rPr>
        <w:t xml:space="preserve"> generados por la mora en el pago de las sumas adeudadas, lo que ha ocasionado un perjuicio económico real a mi representada.</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Cuotas de administración adeudadas al Edificio Alférez Real P.H.:</w:t>
      </w:r>
      <w:r w:rsidRPr="0089353C">
        <w:rPr>
          <w:rFonts w:ascii="Aptos" w:hAnsi="Aptos" w:cs="Arial"/>
          <w:sz w:val="22"/>
          <w:szCs w:val="22"/>
        </w:rPr>
        <w:t xml:space="preserve"> </w:t>
      </w:r>
      <w:r w:rsidRPr="0089353C">
        <w:rPr>
          <w:rFonts w:ascii="Aptos" w:hAnsi="Aptos" w:cs="Arial"/>
          <w:sz w:val="22"/>
          <w:szCs w:val="22"/>
          <w:u w:val="single"/>
        </w:rPr>
        <w:t>$</w:t>
      </w:r>
      <w:r>
        <w:rPr>
          <w:rFonts w:ascii="Aptos" w:hAnsi="Aptos" w:cs="Arial"/>
          <w:sz w:val="22"/>
          <w:szCs w:val="22"/>
          <w:u w:val="single"/>
        </w:rPr>
        <w:t>280.939.200</w:t>
      </w:r>
      <w:r w:rsidRPr="0089353C">
        <w:rPr>
          <w:rFonts w:ascii="Aptos" w:hAnsi="Aptos" w:cs="Arial"/>
          <w:sz w:val="22"/>
          <w:szCs w:val="22"/>
        </w:rPr>
        <w:t>, correspondientes a los inmuebles identificados con los folios de matrícula inmobiliaria 370-349869, 370-349676, 370-349677, 370-349678, 370-349870, 370-349679, 370-349680 y 370-349681, las cuales, conforme al contrato, debían ser asumidas por el GRUPO CONSULTOR DE OCCIDENTE Y CÍA LTDA.</w:t>
      </w:r>
    </w:p>
    <w:p w:rsidR="0089353C" w:rsidRPr="0089353C" w:rsidRDefault="0089353C" w:rsidP="0089353C">
      <w:pPr>
        <w:spacing w:line="360" w:lineRule="auto"/>
        <w:jc w:val="both"/>
        <w:rPr>
          <w:rFonts w:ascii="Aptos" w:hAnsi="Aptos" w:cs="Arial"/>
          <w:sz w:val="22"/>
          <w:szCs w:val="22"/>
        </w:rPr>
      </w:pPr>
    </w:p>
    <w:p w:rsidR="0089353C" w:rsidRP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lastRenderedPageBreak/>
        <w:t>Cuotas de administración adeudadas al Grupo Empresarial Bolívar - El Libertador:</w:t>
      </w:r>
    </w:p>
    <w:p w:rsidR="0089353C" w:rsidRPr="0089353C" w:rsidRDefault="0089353C" w:rsidP="0089353C">
      <w:pPr>
        <w:numPr>
          <w:ilvl w:val="1"/>
          <w:numId w:val="5"/>
        </w:numPr>
        <w:spacing w:line="360" w:lineRule="auto"/>
        <w:jc w:val="both"/>
        <w:rPr>
          <w:rFonts w:ascii="Aptos" w:hAnsi="Aptos" w:cs="Arial"/>
          <w:sz w:val="22"/>
          <w:szCs w:val="22"/>
        </w:rPr>
      </w:pPr>
      <w:r w:rsidRPr="0089353C">
        <w:rPr>
          <w:rFonts w:ascii="Aptos" w:hAnsi="Aptos" w:cs="Arial"/>
          <w:sz w:val="22"/>
          <w:szCs w:val="22"/>
          <w:u w:val="single"/>
        </w:rPr>
        <w:t>Valor principal: $</w:t>
      </w:r>
      <w:r>
        <w:rPr>
          <w:rFonts w:ascii="Aptos" w:hAnsi="Aptos" w:cs="Arial"/>
          <w:sz w:val="22"/>
          <w:szCs w:val="22"/>
          <w:u w:val="single"/>
        </w:rPr>
        <w:t>54.238.103</w:t>
      </w:r>
      <w:r w:rsidRPr="0089353C">
        <w:rPr>
          <w:rFonts w:ascii="Aptos" w:hAnsi="Aptos" w:cs="Arial"/>
          <w:sz w:val="22"/>
          <w:szCs w:val="22"/>
        </w:rPr>
        <w:t>.</w:t>
      </w:r>
    </w:p>
    <w:p w:rsidR="0089353C" w:rsidRPr="0089353C" w:rsidRDefault="0089353C" w:rsidP="0089353C">
      <w:pPr>
        <w:numPr>
          <w:ilvl w:val="1"/>
          <w:numId w:val="5"/>
        </w:numPr>
        <w:spacing w:line="360" w:lineRule="auto"/>
        <w:jc w:val="both"/>
        <w:rPr>
          <w:rFonts w:ascii="Aptos" w:hAnsi="Aptos" w:cs="Arial"/>
          <w:sz w:val="22"/>
          <w:szCs w:val="22"/>
          <w:u w:val="single"/>
        </w:rPr>
      </w:pPr>
      <w:r w:rsidRPr="0089353C">
        <w:rPr>
          <w:rFonts w:ascii="Aptos" w:hAnsi="Aptos" w:cs="Arial"/>
          <w:sz w:val="22"/>
          <w:szCs w:val="22"/>
          <w:u w:val="single"/>
        </w:rPr>
        <w:t>Intereses generados: $</w:t>
      </w:r>
      <w:r>
        <w:rPr>
          <w:rFonts w:ascii="Aptos" w:hAnsi="Aptos" w:cs="Arial"/>
          <w:sz w:val="22"/>
          <w:szCs w:val="22"/>
          <w:u w:val="single"/>
        </w:rPr>
        <w:t>33.407.282</w:t>
      </w:r>
    </w:p>
    <w:p w:rsidR="0089353C" w:rsidRDefault="0089353C" w:rsidP="0089353C">
      <w:pPr>
        <w:spacing w:line="360" w:lineRule="auto"/>
        <w:ind w:left="1080"/>
        <w:jc w:val="both"/>
        <w:rPr>
          <w:rFonts w:ascii="Aptos" w:hAnsi="Aptos" w:cs="Arial"/>
          <w:sz w:val="22"/>
          <w:szCs w:val="22"/>
        </w:rPr>
      </w:pPr>
      <w:r w:rsidRPr="0089353C">
        <w:rPr>
          <w:rFonts w:ascii="Aptos" w:hAnsi="Aptos" w:cs="Arial"/>
          <w:sz w:val="22"/>
          <w:szCs w:val="22"/>
        </w:rPr>
        <w:t>Dichas obligaciones, a cargo del promitente vendedor, no han sido saldadas, incluso después de la entrega material de los inmuebles.</w:t>
      </w:r>
    </w:p>
    <w:p w:rsidR="0089353C" w:rsidRPr="0089353C" w:rsidRDefault="0089353C" w:rsidP="0089353C">
      <w:pPr>
        <w:spacing w:line="360" w:lineRule="auto"/>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Impuestos prediales adeudados desde 2022:</w:t>
      </w:r>
      <w:r w:rsidRPr="0089353C">
        <w:rPr>
          <w:rFonts w:ascii="Aptos" w:hAnsi="Aptos" w:cs="Arial"/>
          <w:sz w:val="22"/>
          <w:szCs w:val="22"/>
        </w:rPr>
        <w:t xml:space="preserve"> $</w:t>
      </w:r>
      <w:r w:rsidRPr="0089353C">
        <w:rPr>
          <w:rFonts w:ascii="Aptos" w:hAnsi="Aptos" w:cs="Arial"/>
          <w:sz w:val="22"/>
          <w:szCs w:val="22"/>
          <w:u w:val="single"/>
        </w:rPr>
        <w:t>31.330.229</w:t>
      </w:r>
      <w:r w:rsidRPr="0089353C">
        <w:rPr>
          <w:rFonts w:ascii="Aptos" w:hAnsi="Aptos" w:cs="Arial"/>
          <w:sz w:val="22"/>
          <w:szCs w:val="22"/>
        </w:rPr>
        <w:t>, correspondientes a los</w:t>
      </w:r>
      <w:r>
        <w:rPr>
          <w:rFonts w:ascii="Aptos" w:hAnsi="Aptos" w:cs="Arial"/>
          <w:sz w:val="22"/>
          <w:szCs w:val="22"/>
        </w:rPr>
        <w:t xml:space="preserve"> impuestos de los</w:t>
      </w:r>
      <w:r w:rsidRPr="0089353C">
        <w:rPr>
          <w:rFonts w:ascii="Aptos" w:hAnsi="Aptos" w:cs="Arial"/>
          <w:sz w:val="22"/>
          <w:szCs w:val="22"/>
        </w:rPr>
        <w:t xml:space="preserve"> inmuebles identificados con los folios de matrícula inmobiliaria 370-349869, 370-349676, 370-349677, 370-349678, 370-349870, 370-349679, 370-349680 y 370-349681. Según lo pactado, dichos pagos debían ser asumidos por la promitente compradora desde la entrega de los inmuebles en 2021.</w:t>
      </w:r>
    </w:p>
    <w:p w:rsidR="0089353C" w:rsidRPr="0089353C" w:rsidRDefault="0089353C" w:rsidP="0089353C">
      <w:pPr>
        <w:spacing w:line="360" w:lineRule="auto"/>
        <w:ind w:left="720"/>
        <w:jc w:val="both"/>
        <w:rPr>
          <w:rFonts w:ascii="Aptos" w:hAnsi="Aptos" w:cs="Arial"/>
          <w:sz w:val="22"/>
          <w:szCs w:val="22"/>
        </w:rPr>
      </w:pPr>
    </w:p>
    <w:p w:rsidR="0089353C" w:rsidRDefault="0089353C" w:rsidP="0089353C">
      <w:pPr>
        <w:numPr>
          <w:ilvl w:val="0"/>
          <w:numId w:val="5"/>
        </w:numPr>
        <w:spacing w:line="360" w:lineRule="auto"/>
        <w:jc w:val="both"/>
        <w:rPr>
          <w:rFonts w:ascii="Aptos" w:hAnsi="Aptos" w:cs="Arial"/>
          <w:sz w:val="22"/>
          <w:szCs w:val="22"/>
        </w:rPr>
      </w:pPr>
      <w:r w:rsidRPr="0089353C">
        <w:rPr>
          <w:rFonts w:ascii="Aptos" w:hAnsi="Aptos" w:cs="Arial"/>
          <w:b/>
          <w:bCs/>
          <w:sz w:val="22"/>
          <w:szCs w:val="22"/>
        </w:rPr>
        <w:t>Cláusula penal por incumplimiento:</w:t>
      </w:r>
      <w:r w:rsidRPr="0089353C">
        <w:rPr>
          <w:rFonts w:ascii="Aptos" w:hAnsi="Aptos" w:cs="Arial"/>
          <w:sz w:val="22"/>
          <w:szCs w:val="22"/>
        </w:rPr>
        <w:t xml:space="preserve"> </w:t>
      </w:r>
      <w:r w:rsidRPr="0089353C">
        <w:rPr>
          <w:rFonts w:ascii="Aptos" w:hAnsi="Aptos" w:cs="Arial"/>
          <w:sz w:val="22"/>
          <w:szCs w:val="22"/>
          <w:u w:val="single"/>
        </w:rPr>
        <w:t>$20.000.000,</w:t>
      </w:r>
      <w:r w:rsidRPr="0089353C">
        <w:rPr>
          <w:rFonts w:ascii="Aptos" w:hAnsi="Aptos" w:cs="Arial"/>
          <w:sz w:val="22"/>
          <w:szCs w:val="22"/>
        </w:rPr>
        <w:t xml:space="preserve"> conforme al monto pactado contractualmente en caso de incumplimiento por parte del GRUPO CONSULTOR DE OCCIDENTE Y CÍA LTDA.</w:t>
      </w:r>
    </w:p>
    <w:p w:rsidR="0089353C" w:rsidRDefault="0089353C" w:rsidP="0089353C">
      <w:pPr>
        <w:spacing w:line="360" w:lineRule="auto"/>
        <w:ind w:left="720"/>
        <w:jc w:val="both"/>
        <w:rPr>
          <w:rFonts w:ascii="Aptos" w:hAnsi="Aptos" w:cs="Arial"/>
          <w:sz w:val="22"/>
          <w:szCs w:val="22"/>
        </w:rPr>
      </w:pPr>
    </w:p>
    <w:p w:rsidR="0089353C" w:rsidRPr="0089353C" w:rsidRDefault="0089353C" w:rsidP="0089353C">
      <w:pPr>
        <w:numPr>
          <w:ilvl w:val="0"/>
          <w:numId w:val="5"/>
        </w:numPr>
        <w:spacing w:line="360" w:lineRule="auto"/>
        <w:jc w:val="both"/>
        <w:rPr>
          <w:rFonts w:ascii="Aptos" w:hAnsi="Aptos" w:cs="Arial"/>
          <w:sz w:val="22"/>
          <w:szCs w:val="22"/>
          <w:lang w:val="es-ES_tradnl"/>
        </w:rPr>
      </w:pPr>
      <w:r w:rsidRPr="0089353C">
        <w:rPr>
          <w:rFonts w:ascii="Aptos" w:hAnsi="Aptos" w:cs="Arial"/>
          <w:b/>
          <w:bCs/>
          <w:sz w:val="22"/>
          <w:szCs w:val="22"/>
        </w:rPr>
        <w:t xml:space="preserve"> Daño moral causado a las socias comanditarias</w:t>
      </w:r>
      <w:r>
        <w:rPr>
          <w:rFonts w:ascii="Aptos" w:hAnsi="Aptos" w:cs="Arial"/>
          <w:sz w:val="22"/>
          <w:szCs w:val="22"/>
        </w:rPr>
        <w:t>:</w:t>
      </w:r>
      <w:r>
        <w:rPr>
          <w:rFonts w:ascii="Aptos" w:hAnsi="Aptos" w:cs="Arial"/>
          <w:sz w:val="22"/>
          <w:szCs w:val="22"/>
          <w:u w:val="single"/>
        </w:rPr>
        <w:t xml:space="preserve"> $287.700.000.</w:t>
      </w:r>
      <w:r>
        <w:rPr>
          <w:rFonts w:ascii="Aptos" w:hAnsi="Aptos" w:cs="Arial"/>
          <w:sz w:val="22"/>
          <w:szCs w:val="22"/>
        </w:rPr>
        <w:t xml:space="preserve"> </w:t>
      </w:r>
      <w:r w:rsidRPr="0089353C">
        <w:rPr>
          <w:rFonts w:ascii="Aptos" w:hAnsi="Aptos" w:cs="Arial"/>
          <w:sz w:val="22"/>
          <w:szCs w:val="22"/>
          <w:lang w:val="es-ES"/>
        </w:rPr>
        <w:t xml:space="preserve">El reiterado incumplimiento contractual por parte de </w:t>
      </w:r>
      <w:r w:rsidRPr="0089353C">
        <w:rPr>
          <w:rFonts w:ascii="Aptos" w:hAnsi="Aptos" w:cs="Arial"/>
          <w:b/>
          <w:bCs/>
          <w:sz w:val="22"/>
          <w:szCs w:val="22"/>
          <w:lang w:val="es-ES"/>
        </w:rPr>
        <w:t>JAMES CIFUENTES</w:t>
      </w:r>
      <w:r w:rsidRPr="0089353C">
        <w:rPr>
          <w:rFonts w:ascii="Aptos" w:hAnsi="Aptos" w:cs="Arial"/>
          <w:sz w:val="22"/>
          <w:szCs w:val="22"/>
          <w:lang w:val="es-ES"/>
        </w:rPr>
        <w:t xml:space="preserve"> </w:t>
      </w:r>
      <w:r w:rsidRPr="0089353C">
        <w:rPr>
          <w:rFonts w:ascii="Aptos" w:hAnsi="Aptos" w:cs="Arial"/>
          <w:b/>
          <w:bCs/>
          <w:sz w:val="22"/>
          <w:szCs w:val="22"/>
          <w:lang w:val="es-ES"/>
        </w:rPr>
        <w:t>PERLAZA</w:t>
      </w:r>
      <w:r w:rsidRPr="0089353C">
        <w:rPr>
          <w:rFonts w:ascii="Aptos" w:hAnsi="Aptos" w:cs="Arial"/>
          <w:sz w:val="22"/>
          <w:szCs w:val="22"/>
          <w:lang w:val="es-ES"/>
        </w:rPr>
        <w:t xml:space="preserve"> y el </w:t>
      </w:r>
      <w:r w:rsidRPr="0089353C">
        <w:rPr>
          <w:rFonts w:ascii="Aptos" w:hAnsi="Aptos" w:cs="Arial"/>
          <w:b/>
          <w:bCs/>
          <w:sz w:val="22"/>
          <w:szCs w:val="22"/>
          <w:lang w:val="es-ES"/>
        </w:rPr>
        <w:t>GRUPO CONSULTOR DE OCCIDENTE Y CÍA LTDA.</w:t>
      </w:r>
      <w:r w:rsidRPr="0089353C">
        <w:rPr>
          <w:rFonts w:ascii="Aptos" w:hAnsi="Aptos" w:cs="Arial"/>
          <w:sz w:val="22"/>
          <w:szCs w:val="22"/>
          <w:lang w:val="es-ES"/>
        </w:rPr>
        <w:t xml:space="preserve">, ha generado que mi prohijadas </w:t>
      </w:r>
      <w:r w:rsidRPr="0089353C">
        <w:rPr>
          <w:rFonts w:ascii="Aptos" w:hAnsi="Aptos" w:cs="Arial"/>
          <w:b/>
          <w:bCs/>
          <w:sz w:val="22"/>
          <w:szCs w:val="22"/>
          <w:lang w:val="es-ES"/>
        </w:rPr>
        <w:t>ANDREA STELLA HERNÁNDEZ OSPINA</w:t>
      </w:r>
      <w:r w:rsidRPr="0089353C">
        <w:rPr>
          <w:rFonts w:ascii="Aptos" w:hAnsi="Aptos" w:cs="Arial"/>
          <w:sz w:val="22"/>
          <w:szCs w:val="22"/>
          <w:lang w:val="es-ES"/>
        </w:rPr>
        <w:t xml:space="preserve"> y </w:t>
      </w:r>
      <w:r w:rsidRPr="0089353C">
        <w:rPr>
          <w:rFonts w:ascii="Aptos" w:hAnsi="Aptos" w:cs="Arial"/>
          <w:b/>
          <w:bCs/>
          <w:sz w:val="22"/>
          <w:szCs w:val="22"/>
          <w:lang w:val="es-ES"/>
        </w:rPr>
        <w:t>CATALINA HERNÁNDEZ MÁRQUEZ</w:t>
      </w:r>
      <w:r w:rsidRPr="0089353C">
        <w:rPr>
          <w:rFonts w:ascii="Aptos" w:hAnsi="Aptos" w:cs="Arial"/>
          <w:sz w:val="22"/>
          <w:szCs w:val="22"/>
          <w:lang w:val="es-ES"/>
        </w:rPr>
        <w:t xml:space="preserve"> hayan atravesado periodos de angustia, depresión, tristeza y congoja, debido a que dicho incumplimiento ha ocasionado que los procesos judiciales en su contra continúen avanzando, lo que ha implicado más de tres años de incertidumbre. Ante esta situación, se solicita el reconocimiento de una suma equivalente a </w:t>
      </w:r>
      <w:r w:rsidRPr="0089353C">
        <w:rPr>
          <w:rFonts w:ascii="Aptos" w:hAnsi="Aptos" w:cs="Arial"/>
          <w:b/>
          <w:bCs/>
          <w:sz w:val="22"/>
          <w:szCs w:val="22"/>
          <w:lang w:val="es-ES"/>
        </w:rPr>
        <w:t>100 SMLMV</w:t>
      </w:r>
      <w:r w:rsidRPr="0089353C">
        <w:rPr>
          <w:rFonts w:ascii="Aptos" w:hAnsi="Aptos" w:cs="Arial"/>
          <w:sz w:val="22"/>
          <w:szCs w:val="22"/>
          <w:lang w:val="es-ES"/>
        </w:rPr>
        <w:t xml:space="preserve"> para cada una, que, para la fecha de presentación de la convocatoria, asciende a </w:t>
      </w:r>
      <w:r w:rsidRPr="0089353C">
        <w:rPr>
          <w:rFonts w:ascii="Aptos" w:hAnsi="Aptos" w:cs="Arial"/>
          <w:b/>
          <w:bCs/>
          <w:sz w:val="22"/>
          <w:szCs w:val="22"/>
        </w:rPr>
        <w:t>$</w:t>
      </w:r>
      <w:r>
        <w:rPr>
          <w:rFonts w:ascii="Aptos" w:hAnsi="Aptos" w:cs="Arial"/>
          <w:b/>
          <w:bCs/>
          <w:sz w:val="22"/>
          <w:szCs w:val="22"/>
        </w:rPr>
        <w:t>142</w:t>
      </w:r>
      <w:r w:rsidRPr="0089353C">
        <w:rPr>
          <w:rFonts w:ascii="Aptos" w:hAnsi="Aptos" w:cs="Arial"/>
          <w:b/>
          <w:bCs/>
          <w:sz w:val="22"/>
          <w:szCs w:val="22"/>
        </w:rPr>
        <w:t>.</w:t>
      </w:r>
      <w:r>
        <w:rPr>
          <w:rFonts w:ascii="Aptos" w:hAnsi="Aptos" w:cs="Arial"/>
          <w:b/>
          <w:bCs/>
          <w:sz w:val="22"/>
          <w:szCs w:val="22"/>
        </w:rPr>
        <w:t>350</w:t>
      </w:r>
      <w:r w:rsidRPr="0089353C">
        <w:rPr>
          <w:rFonts w:ascii="Aptos" w:hAnsi="Aptos" w:cs="Arial"/>
          <w:b/>
          <w:bCs/>
          <w:sz w:val="22"/>
          <w:szCs w:val="22"/>
        </w:rPr>
        <w:t>.000</w:t>
      </w:r>
      <w:r w:rsidRPr="0089353C">
        <w:rPr>
          <w:rFonts w:ascii="Aptos" w:hAnsi="Aptos" w:cs="Arial"/>
          <w:sz w:val="22"/>
          <w:szCs w:val="22"/>
        </w:rPr>
        <w:t xml:space="preserve"> </w:t>
      </w:r>
      <w:r w:rsidRPr="0089353C">
        <w:rPr>
          <w:rFonts w:ascii="Aptos" w:hAnsi="Aptos" w:cs="Arial"/>
          <w:sz w:val="22"/>
          <w:szCs w:val="22"/>
          <w:lang w:val="es-ES"/>
        </w:rPr>
        <w:t xml:space="preserve">para cada </w:t>
      </w:r>
      <w:r>
        <w:rPr>
          <w:rFonts w:ascii="Aptos" w:hAnsi="Aptos" w:cs="Arial"/>
          <w:sz w:val="22"/>
          <w:szCs w:val="22"/>
          <w:lang w:val="es-ES"/>
        </w:rPr>
        <w:t>una de ellas</w:t>
      </w:r>
      <w:r w:rsidRPr="0089353C">
        <w:rPr>
          <w:rFonts w:ascii="Aptos" w:hAnsi="Aptos" w:cs="Arial"/>
          <w:sz w:val="22"/>
          <w:szCs w:val="22"/>
        </w:rPr>
        <w:t>.</w:t>
      </w:r>
    </w:p>
    <w:p w:rsidR="0089353C" w:rsidRDefault="0089353C" w:rsidP="00A123D1">
      <w:pPr>
        <w:spacing w:line="360" w:lineRule="auto"/>
        <w:jc w:val="both"/>
        <w:rPr>
          <w:rFonts w:ascii="Aptos" w:hAnsi="Aptos" w:cs="Arial"/>
          <w:sz w:val="22"/>
          <w:szCs w:val="22"/>
          <w:lang w:val="es-ES"/>
        </w:rPr>
      </w:pPr>
    </w:p>
    <w:p w:rsidR="00B834DB" w:rsidRPr="0089353C" w:rsidRDefault="0089353C" w:rsidP="00A123D1">
      <w:pPr>
        <w:spacing w:line="360" w:lineRule="auto"/>
        <w:jc w:val="both"/>
        <w:rPr>
          <w:rFonts w:ascii="Aptos" w:hAnsi="Aptos" w:cs="Arial"/>
          <w:sz w:val="22"/>
          <w:szCs w:val="22"/>
          <w:lang w:val="es-ES"/>
        </w:rPr>
      </w:pPr>
      <w:r w:rsidRPr="0089353C">
        <w:rPr>
          <w:rFonts w:ascii="Aptos" w:hAnsi="Aptos" w:cs="Arial"/>
          <w:sz w:val="22"/>
          <w:szCs w:val="22"/>
          <w:lang w:val="es-ES"/>
        </w:rPr>
        <w:lastRenderedPageBreak/>
        <w:drawing>
          <wp:anchor distT="0" distB="0" distL="114300" distR="114300" simplePos="0" relativeHeight="251658240" behindDoc="0" locked="0" layoutInCell="1" allowOverlap="1" wp14:anchorId="4A548B0B">
            <wp:simplePos x="0" y="0"/>
            <wp:positionH relativeFrom="column">
              <wp:posOffset>-622935</wp:posOffset>
            </wp:positionH>
            <wp:positionV relativeFrom="paragraph">
              <wp:posOffset>0</wp:posOffset>
            </wp:positionV>
            <wp:extent cx="6748145" cy="4070985"/>
            <wp:effectExtent l="0" t="0" r="0" b="5715"/>
            <wp:wrapSquare wrapText="bothSides"/>
            <wp:docPr id="1335252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52477" name=""/>
                    <pic:cNvPicPr/>
                  </pic:nvPicPr>
                  <pic:blipFill>
                    <a:blip r:embed="rId5"/>
                    <a:stretch>
                      <a:fillRect/>
                    </a:stretch>
                  </pic:blipFill>
                  <pic:spPr>
                    <a:xfrm>
                      <a:off x="0" y="0"/>
                      <a:ext cx="6748145" cy="4070985"/>
                    </a:xfrm>
                    <a:prstGeom prst="rect">
                      <a:avLst/>
                    </a:prstGeom>
                  </pic:spPr>
                </pic:pic>
              </a:graphicData>
            </a:graphic>
            <wp14:sizeRelH relativeFrom="page">
              <wp14:pctWidth>0</wp14:pctWidth>
            </wp14:sizeRelH>
            <wp14:sizeRelV relativeFrom="page">
              <wp14:pctHeight>0</wp14:pctHeight>
            </wp14:sizeRelV>
          </wp:anchor>
        </w:drawing>
      </w:r>
    </w:p>
    <w:sectPr w:rsidR="00B834DB" w:rsidRPr="008935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51D15"/>
    <w:multiLevelType w:val="hybridMultilevel"/>
    <w:tmpl w:val="6062E6BC"/>
    <w:lvl w:ilvl="0" w:tplc="3024462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F202EC"/>
    <w:multiLevelType w:val="hybridMultilevel"/>
    <w:tmpl w:val="EBF01BBC"/>
    <w:lvl w:ilvl="0" w:tplc="57FCC1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A56DCB"/>
    <w:multiLevelType w:val="hybridMultilevel"/>
    <w:tmpl w:val="99524DF2"/>
    <w:lvl w:ilvl="0" w:tplc="0BF285D4">
      <w:start w:val="103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585D19"/>
    <w:multiLevelType w:val="multilevel"/>
    <w:tmpl w:val="86D64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53F45"/>
    <w:multiLevelType w:val="hybridMultilevel"/>
    <w:tmpl w:val="F5683BDA"/>
    <w:lvl w:ilvl="0" w:tplc="68E82D8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6C19A4"/>
    <w:multiLevelType w:val="hybridMultilevel"/>
    <w:tmpl w:val="09567E94"/>
    <w:lvl w:ilvl="0" w:tplc="7194B464">
      <w:start w:val="1"/>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1547890">
    <w:abstractNumId w:val="5"/>
  </w:num>
  <w:num w:numId="2" w16cid:durableId="649558123">
    <w:abstractNumId w:val="2"/>
  </w:num>
  <w:num w:numId="3" w16cid:durableId="1391415685">
    <w:abstractNumId w:val="1"/>
  </w:num>
  <w:num w:numId="4" w16cid:durableId="821434186">
    <w:abstractNumId w:val="0"/>
  </w:num>
  <w:num w:numId="5" w16cid:durableId="1017342702">
    <w:abstractNumId w:val="3"/>
  </w:num>
  <w:num w:numId="6" w16cid:durableId="1587154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0A"/>
    <w:rsid w:val="001244B8"/>
    <w:rsid w:val="001943F9"/>
    <w:rsid w:val="005E4419"/>
    <w:rsid w:val="0089353C"/>
    <w:rsid w:val="00A123D1"/>
    <w:rsid w:val="00A6630A"/>
    <w:rsid w:val="00AD01CE"/>
    <w:rsid w:val="00B834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5C4F"/>
  <w15:chartTrackingRefBased/>
  <w15:docId w15:val="{2CC307A7-BBC9-974B-B9D5-7046391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autoRedefine/>
    <w:uiPriority w:val="9"/>
    <w:qFormat/>
    <w:rsid w:val="001943F9"/>
    <w:pPr>
      <w:widowControl w:val="0"/>
      <w:autoSpaceDE w:val="0"/>
      <w:autoSpaceDN w:val="0"/>
      <w:spacing w:line="360" w:lineRule="auto"/>
      <w:ind w:left="822"/>
      <w:jc w:val="center"/>
      <w:outlineLvl w:val="0"/>
    </w:pPr>
    <w:rPr>
      <w:rFonts w:ascii="Arial" w:eastAsia="Calibri" w:hAnsi="Arial" w:cs="Calibri"/>
      <w:b/>
      <w:bCs/>
      <w:szCs w:val="21"/>
      <w:lang w:val="es-ES"/>
    </w:rPr>
  </w:style>
  <w:style w:type="paragraph" w:styleId="Ttulo2">
    <w:name w:val="heading 2"/>
    <w:basedOn w:val="Normal"/>
    <w:next w:val="Normal"/>
    <w:link w:val="Ttulo2Car"/>
    <w:uiPriority w:val="9"/>
    <w:semiHidden/>
    <w:unhideWhenUsed/>
    <w:qFormat/>
    <w:rsid w:val="00A663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6630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6630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6630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6630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630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630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630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3F9"/>
    <w:rPr>
      <w:rFonts w:ascii="Arial" w:eastAsia="Calibri" w:hAnsi="Arial" w:cs="Calibri"/>
      <w:b/>
      <w:bCs/>
      <w:szCs w:val="21"/>
      <w:lang w:val="es-ES"/>
    </w:rPr>
  </w:style>
  <w:style w:type="character" w:customStyle="1" w:styleId="Ttulo2Car">
    <w:name w:val="Título 2 Car"/>
    <w:basedOn w:val="Fuentedeprrafopredeter"/>
    <w:link w:val="Ttulo2"/>
    <w:uiPriority w:val="9"/>
    <w:semiHidden/>
    <w:rsid w:val="00A6630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6630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6630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6630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663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63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63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630A"/>
    <w:rPr>
      <w:rFonts w:eastAsiaTheme="majorEastAsia" w:cstheme="majorBidi"/>
      <w:color w:val="272727" w:themeColor="text1" w:themeTint="D8"/>
    </w:rPr>
  </w:style>
  <w:style w:type="paragraph" w:styleId="Ttulo">
    <w:name w:val="Title"/>
    <w:basedOn w:val="Normal"/>
    <w:next w:val="Normal"/>
    <w:link w:val="TtuloCar"/>
    <w:uiPriority w:val="10"/>
    <w:qFormat/>
    <w:rsid w:val="00A6630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63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630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63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630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6630A"/>
    <w:rPr>
      <w:i/>
      <w:iCs/>
      <w:color w:val="404040" w:themeColor="text1" w:themeTint="BF"/>
    </w:rPr>
  </w:style>
  <w:style w:type="paragraph" w:styleId="Prrafodelista">
    <w:name w:val="List Paragraph"/>
    <w:basedOn w:val="Normal"/>
    <w:uiPriority w:val="34"/>
    <w:qFormat/>
    <w:rsid w:val="00A6630A"/>
    <w:pPr>
      <w:ind w:left="720"/>
      <w:contextualSpacing/>
    </w:pPr>
  </w:style>
  <w:style w:type="character" w:styleId="nfasisintenso">
    <w:name w:val="Intense Emphasis"/>
    <w:basedOn w:val="Fuentedeprrafopredeter"/>
    <w:uiPriority w:val="21"/>
    <w:qFormat/>
    <w:rsid w:val="00A6630A"/>
    <w:rPr>
      <w:i/>
      <w:iCs/>
      <w:color w:val="2F5496" w:themeColor="accent1" w:themeShade="BF"/>
    </w:rPr>
  </w:style>
  <w:style w:type="paragraph" w:styleId="Citadestacada">
    <w:name w:val="Intense Quote"/>
    <w:basedOn w:val="Normal"/>
    <w:next w:val="Normal"/>
    <w:link w:val="CitadestacadaCar"/>
    <w:uiPriority w:val="30"/>
    <w:qFormat/>
    <w:rsid w:val="00A66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6630A"/>
    <w:rPr>
      <w:i/>
      <w:iCs/>
      <w:color w:val="2F5496" w:themeColor="accent1" w:themeShade="BF"/>
    </w:rPr>
  </w:style>
  <w:style w:type="character" w:styleId="Referenciaintensa">
    <w:name w:val="Intense Reference"/>
    <w:basedOn w:val="Fuentedeprrafopredeter"/>
    <w:uiPriority w:val="32"/>
    <w:qFormat/>
    <w:rsid w:val="00A66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79283">
      <w:bodyDiv w:val="1"/>
      <w:marLeft w:val="0"/>
      <w:marRight w:val="0"/>
      <w:marTop w:val="0"/>
      <w:marBottom w:val="0"/>
      <w:divBdr>
        <w:top w:val="none" w:sz="0" w:space="0" w:color="auto"/>
        <w:left w:val="none" w:sz="0" w:space="0" w:color="auto"/>
        <w:bottom w:val="none" w:sz="0" w:space="0" w:color="auto"/>
        <w:right w:val="none" w:sz="0" w:space="0" w:color="auto"/>
      </w:divBdr>
    </w:div>
    <w:div w:id="18385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2025-03-19T15:30:00Z</dcterms:created>
  <dcterms:modified xsi:type="dcterms:W3CDTF">2025-03-27T05:12:00Z</dcterms:modified>
</cp:coreProperties>
</file>