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22BB" w14:textId="77777777" w:rsidR="0057097F" w:rsidRPr="004005B9" w:rsidRDefault="000B7A27" w:rsidP="004005B9">
      <w:pPr>
        <w:spacing w:after="0" w:line="276" w:lineRule="auto"/>
        <w:jc w:val="center"/>
        <w:rPr>
          <w:rFonts w:asciiTheme="majorHAnsi" w:hAnsiTheme="majorHAnsi" w:cstheme="majorHAnsi"/>
          <w:b/>
        </w:rPr>
      </w:pPr>
      <w:r w:rsidRPr="004005B9">
        <w:rPr>
          <w:rFonts w:asciiTheme="majorHAnsi" w:hAnsiTheme="majorHAnsi" w:cstheme="majorHAnsi"/>
          <w:b/>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57097F" w:rsidRPr="00004712" w14:paraId="500322BE" w14:textId="77777777" w:rsidTr="75020658">
        <w:tc>
          <w:tcPr>
            <w:tcW w:w="6000" w:type="dxa"/>
            <w:shd w:val="clear" w:color="auto" w:fill="D9D9D9" w:themeFill="background1" w:themeFillShade="D9"/>
          </w:tcPr>
          <w:p w14:paraId="500322B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Apoderado:</w:t>
            </w:r>
          </w:p>
        </w:tc>
        <w:tc>
          <w:tcPr>
            <w:tcW w:w="4410" w:type="dxa"/>
          </w:tcPr>
          <w:p w14:paraId="500322BD" w14:textId="77777777" w:rsidR="0057097F" w:rsidRPr="004005B9" w:rsidRDefault="000B7A27" w:rsidP="004005B9">
            <w:pPr>
              <w:spacing w:line="276" w:lineRule="auto"/>
              <w:jc w:val="both"/>
              <w:rPr>
                <w:rFonts w:asciiTheme="majorHAnsi" w:hAnsiTheme="majorHAnsi" w:cstheme="majorHAnsi"/>
              </w:rPr>
            </w:pPr>
            <w:r w:rsidRPr="004005B9">
              <w:rPr>
                <w:rFonts w:asciiTheme="majorHAnsi" w:hAnsiTheme="majorHAnsi" w:cstheme="majorHAnsi"/>
              </w:rPr>
              <w:t>GUSTAVO ALBERTO HERRERA ÁVILA</w:t>
            </w:r>
          </w:p>
        </w:tc>
      </w:tr>
      <w:tr w:rsidR="0057097F" w:rsidRPr="00004712" w14:paraId="500322C1" w14:textId="77777777" w:rsidTr="75020658">
        <w:tc>
          <w:tcPr>
            <w:tcW w:w="6000" w:type="dxa"/>
            <w:shd w:val="clear" w:color="auto" w:fill="D9D9D9" w:themeFill="background1" w:themeFillShade="D9"/>
          </w:tcPr>
          <w:p w14:paraId="500322B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y # de Póliza:</w:t>
            </w:r>
          </w:p>
        </w:tc>
        <w:tc>
          <w:tcPr>
            <w:tcW w:w="4410" w:type="dxa"/>
          </w:tcPr>
          <w:p w14:paraId="500322C0" w14:textId="1FC90FBD" w:rsidR="0057097F" w:rsidRPr="004005B9" w:rsidRDefault="00660EFF" w:rsidP="004005B9">
            <w:pPr>
              <w:spacing w:line="276" w:lineRule="auto"/>
              <w:rPr>
                <w:rFonts w:asciiTheme="majorHAnsi" w:hAnsiTheme="majorHAnsi" w:cstheme="majorHAnsi"/>
                <w:color w:val="000000" w:themeColor="text1"/>
              </w:rPr>
            </w:pPr>
            <w:r>
              <w:rPr>
                <w:rFonts w:asciiTheme="majorHAnsi" w:hAnsiTheme="majorHAnsi" w:cstheme="majorHAnsi"/>
                <w:color w:val="000000" w:themeColor="text1"/>
              </w:rPr>
              <w:t>PÓLIZA SEGURO DE AUTOMÓVILES</w:t>
            </w:r>
          </w:p>
        </w:tc>
      </w:tr>
      <w:tr w:rsidR="0057097F" w:rsidRPr="00004712" w14:paraId="500322C4" w14:textId="77777777" w:rsidTr="75020658">
        <w:tc>
          <w:tcPr>
            <w:tcW w:w="6000" w:type="dxa"/>
            <w:shd w:val="clear" w:color="auto" w:fill="D9D9D9" w:themeFill="background1" w:themeFillShade="D9"/>
          </w:tcPr>
          <w:p w14:paraId="500322C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Amparos afectados:</w:t>
            </w:r>
          </w:p>
        </w:tc>
        <w:tc>
          <w:tcPr>
            <w:tcW w:w="4410" w:type="dxa"/>
          </w:tcPr>
          <w:p w14:paraId="500322C3" w14:textId="7F6D84E5" w:rsidR="0057097F" w:rsidRPr="004005B9" w:rsidRDefault="37910FBB" w:rsidP="004005B9">
            <w:pPr>
              <w:spacing w:line="276" w:lineRule="auto"/>
              <w:jc w:val="both"/>
              <w:rPr>
                <w:rFonts w:asciiTheme="majorHAnsi" w:hAnsiTheme="majorHAnsi" w:cstheme="majorHAnsi"/>
              </w:rPr>
            </w:pPr>
            <w:r w:rsidRPr="004005B9">
              <w:rPr>
                <w:rFonts w:asciiTheme="majorHAnsi" w:hAnsiTheme="majorHAnsi" w:cstheme="majorHAnsi"/>
              </w:rPr>
              <w:t xml:space="preserve">RCE </w:t>
            </w:r>
          </w:p>
        </w:tc>
      </w:tr>
      <w:tr w:rsidR="0057097F" w:rsidRPr="00004712" w14:paraId="500322C7" w14:textId="77777777" w:rsidTr="75020658">
        <w:tc>
          <w:tcPr>
            <w:tcW w:w="6000" w:type="dxa"/>
            <w:shd w:val="clear" w:color="auto" w:fill="D9D9D9" w:themeFill="background1" w:themeFillShade="D9"/>
          </w:tcPr>
          <w:p w14:paraId="500322C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Tomador:</w:t>
            </w:r>
          </w:p>
        </w:tc>
        <w:tc>
          <w:tcPr>
            <w:tcW w:w="4410" w:type="dxa"/>
          </w:tcPr>
          <w:p w14:paraId="500322C6" w14:textId="0B3E1189" w:rsidR="0057097F" w:rsidRPr="004005B9" w:rsidRDefault="00F456F0" w:rsidP="004005B9">
            <w:pPr>
              <w:spacing w:line="276" w:lineRule="auto"/>
              <w:jc w:val="both"/>
              <w:rPr>
                <w:rFonts w:asciiTheme="majorHAnsi" w:hAnsiTheme="majorHAnsi" w:cstheme="majorHAnsi"/>
              </w:rPr>
            </w:pPr>
            <w:r>
              <w:rPr>
                <w:rFonts w:asciiTheme="majorHAnsi" w:hAnsiTheme="majorHAnsi" w:cstheme="majorHAnsi"/>
              </w:rPr>
              <w:t>Paola Andrea Centeno Cortes</w:t>
            </w:r>
          </w:p>
        </w:tc>
      </w:tr>
      <w:tr w:rsidR="0057097F" w:rsidRPr="00004712" w14:paraId="500322CA" w14:textId="77777777" w:rsidTr="75020658">
        <w:tc>
          <w:tcPr>
            <w:tcW w:w="6000" w:type="dxa"/>
            <w:shd w:val="clear" w:color="auto" w:fill="D9D9D9" w:themeFill="background1" w:themeFillShade="D9"/>
          </w:tcPr>
          <w:p w14:paraId="500322C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Asegurado:</w:t>
            </w:r>
          </w:p>
        </w:tc>
        <w:tc>
          <w:tcPr>
            <w:tcW w:w="4410" w:type="dxa"/>
          </w:tcPr>
          <w:p w14:paraId="500322C9" w14:textId="6337D347" w:rsidR="0057097F" w:rsidRPr="004005B9" w:rsidRDefault="00F456F0" w:rsidP="004005B9">
            <w:pPr>
              <w:spacing w:line="276" w:lineRule="auto"/>
              <w:jc w:val="both"/>
              <w:rPr>
                <w:rFonts w:asciiTheme="majorHAnsi" w:hAnsiTheme="majorHAnsi" w:cstheme="majorHAnsi"/>
              </w:rPr>
            </w:pPr>
            <w:r>
              <w:rPr>
                <w:rFonts w:asciiTheme="majorHAnsi" w:hAnsiTheme="majorHAnsi" w:cstheme="majorHAnsi"/>
              </w:rPr>
              <w:t>Paola Andrea Centeno Cortes</w:t>
            </w:r>
            <w:r w:rsidR="7C6BFB0A" w:rsidRPr="004005B9">
              <w:rPr>
                <w:rFonts w:asciiTheme="majorHAnsi" w:hAnsiTheme="majorHAnsi" w:cstheme="majorHAnsi"/>
              </w:rPr>
              <w:t xml:space="preserve"> C.C. </w:t>
            </w:r>
            <w:r>
              <w:rPr>
                <w:rFonts w:asciiTheme="majorHAnsi" w:hAnsiTheme="majorHAnsi" w:cstheme="majorHAnsi"/>
              </w:rPr>
              <w:t>67.041.958</w:t>
            </w:r>
          </w:p>
        </w:tc>
      </w:tr>
      <w:tr w:rsidR="0057097F" w:rsidRPr="00004712" w14:paraId="500322CD" w14:textId="77777777" w:rsidTr="75020658">
        <w:tc>
          <w:tcPr>
            <w:tcW w:w="6000" w:type="dxa"/>
            <w:shd w:val="clear" w:color="auto" w:fill="D9D9D9" w:themeFill="background1" w:themeFillShade="D9"/>
          </w:tcPr>
          <w:p w14:paraId="500322CB"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Proceso:</w:t>
            </w:r>
          </w:p>
        </w:tc>
        <w:tc>
          <w:tcPr>
            <w:tcW w:w="4410" w:type="dxa"/>
          </w:tcPr>
          <w:p w14:paraId="500322CC" w14:textId="4E640F39" w:rsidR="0057097F" w:rsidRPr="004005B9" w:rsidRDefault="574312A0" w:rsidP="004005B9">
            <w:pPr>
              <w:spacing w:line="276" w:lineRule="auto"/>
              <w:jc w:val="both"/>
              <w:rPr>
                <w:rFonts w:asciiTheme="majorHAnsi" w:hAnsiTheme="majorHAnsi" w:cstheme="majorHAnsi"/>
              </w:rPr>
            </w:pPr>
            <w:r w:rsidRPr="004005B9">
              <w:rPr>
                <w:rFonts w:asciiTheme="majorHAnsi" w:hAnsiTheme="majorHAnsi" w:cstheme="majorHAnsi"/>
              </w:rPr>
              <w:t>Verbal Responsabilidad Civil Ex</w:t>
            </w:r>
            <w:r w:rsidR="4B67827A" w:rsidRPr="004005B9">
              <w:rPr>
                <w:rFonts w:asciiTheme="majorHAnsi" w:hAnsiTheme="majorHAnsi" w:cstheme="majorHAnsi"/>
              </w:rPr>
              <w:t>tracontractual</w:t>
            </w:r>
          </w:p>
        </w:tc>
      </w:tr>
      <w:tr w:rsidR="0057097F" w:rsidRPr="00004712" w14:paraId="500322D0" w14:textId="77777777" w:rsidTr="75020658">
        <w:tc>
          <w:tcPr>
            <w:tcW w:w="6000" w:type="dxa"/>
            <w:shd w:val="clear" w:color="auto" w:fill="D9D9D9" w:themeFill="background1" w:themeFillShade="D9"/>
          </w:tcPr>
          <w:p w14:paraId="500322CE"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Jurisdicción:</w:t>
            </w:r>
          </w:p>
        </w:tc>
        <w:tc>
          <w:tcPr>
            <w:tcW w:w="4410" w:type="dxa"/>
          </w:tcPr>
          <w:p w14:paraId="500322CF" w14:textId="10CD5395" w:rsidR="0057097F" w:rsidRPr="004005B9" w:rsidRDefault="42D0E48C" w:rsidP="004005B9">
            <w:pPr>
              <w:spacing w:line="276" w:lineRule="auto"/>
              <w:jc w:val="both"/>
              <w:rPr>
                <w:rFonts w:asciiTheme="majorHAnsi" w:hAnsiTheme="majorHAnsi" w:cstheme="majorHAnsi"/>
              </w:rPr>
            </w:pPr>
            <w:r w:rsidRPr="004005B9">
              <w:rPr>
                <w:rFonts w:asciiTheme="majorHAnsi" w:hAnsiTheme="majorHAnsi" w:cstheme="majorHAnsi"/>
              </w:rPr>
              <w:t>Ordinaria</w:t>
            </w:r>
          </w:p>
        </w:tc>
      </w:tr>
      <w:tr w:rsidR="0057097F" w:rsidRPr="00004712" w14:paraId="500322D3" w14:textId="77777777" w:rsidTr="75020658">
        <w:tc>
          <w:tcPr>
            <w:tcW w:w="6000" w:type="dxa"/>
            <w:shd w:val="clear" w:color="auto" w:fill="D9D9D9" w:themeFill="background1" w:themeFillShade="D9"/>
          </w:tcPr>
          <w:p w14:paraId="500322D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Despacho:</w:t>
            </w:r>
          </w:p>
        </w:tc>
        <w:tc>
          <w:tcPr>
            <w:tcW w:w="4410" w:type="dxa"/>
          </w:tcPr>
          <w:p w14:paraId="500322D2" w14:textId="4DE78BA0" w:rsidR="0057097F" w:rsidRPr="004005B9" w:rsidRDefault="00660EFF" w:rsidP="004005B9">
            <w:pPr>
              <w:spacing w:line="276" w:lineRule="auto"/>
              <w:jc w:val="both"/>
              <w:rPr>
                <w:rFonts w:asciiTheme="majorHAnsi" w:hAnsiTheme="majorHAnsi" w:cstheme="majorHAnsi"/>
              </w:rPr>
            </w:pPr>
            <w:r>
              <w:rPr>
                <w:rFonts w:asciiTheme="majorHAnsi" w:hAnsiTheme="majorHAnsi" w:cstheme="majorHAnsi"/>
              </w:rPr>
              <w:t xml:space="preserve">JUZGADO </w:t>
            </w:r>
            <w:r w:rsidR="00F456F0">
              <w:rPr>
                <w:rFonts w:asciiTheme="majorHAnsi" w:hAnsiTheme="majorHAnsi" w:cstheme="majorHAnsi"/>
              </w:rPr>
              <w:t>DIECISÉIS CIVIL DEL CIRCUITO DE CALI</w:t>
            </w:r>
          </w:p>
        </w:tc>
      </w:tr>
      <w:tr w:rsidR="0057097F" w:rsidRPr="00004712" w14:paraId="500322D6" w14:textId="77777777" w:rsidTr="75020658">
        <w:tc>
          <w:tcPr>
            <w:tcW w:w="6000" w:type="dxa"/>
            <w:shd w:val="clear" w:color="auto" w:fill="D9D9D9" w:themeFill="background1" w:themeFillShade="D9"/>
          </w:tcPr>
          <w:p w14:paraId="500322D4"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Ciudad:</w:t>
            </w:r>
          </w:p>
        </w:tc>
        <w:tc>
          <w:tcPr>
            <w:tcW w:w="4410" w:type="dxa"/>
          </w:tcPr>
          <w:p w14:paraId="500322D5" w14:textId="7EB00566" w:rsidR="0057097F" w:rsidRPr="004005B9" w:rsidRDefault="00F456F0" w:rsidP="004005B9">
            <w:pPr>
              <w:spacing w:line="276" w:lineRule="auto"/>
              <w:jc w:val="both"/>
              <w:rPr>
                <w:rFonts w:asciiTheme="majorHAnsi" w:hAnsiTheme="majorHAnsi" w:cstheme="majorHAnsi"/>
              </w:rPr>
            </w:pPr>
            <w:r>
              <w:rPr>
                <w:rFonts w:asciiTheme="majorHAnsi" w:hAnsiTheme="majorHAnsi" w:cstheme="majorHAnsi"/>
              </w:rPr>
              <w:t>Cali</w:t>
            </w:r>
            <w:r w:rsidR="00660EFF">
              <w:rPr>
                <w:rFonts w:asciiTheme="majorHAnsi" w:hAnsiTheme="majorHAnsi" w:cstheme="majorHAnsi"/>
              </w:rPr>
              <w:t xml:space="preserve"> (Valle del Cauca)</w:t>
            </w:r>
          </w:p>
        </w:tc>
      </w:tr>
      <w:tr w:rsidR="0057097F" w:rsidRPr="00004712" w14:paraId="500322D9" w14:textId="77777777" w:rsidTr="75020658">
        <w:tc>
          <w:tcPr>
            <w:tcW w:w="6000" w:type="dxa"/>
            <w:shd w:val="clear" w:color="auto" w:fill="D9D9D9" w:themeFill="background1" w:themeFillShade="D9"/>
          </w:tcPr>
          <w:p w14:paraId="500322D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Radicado (23 dígitos):</w:t>
            </w:r>
          </w:p>
        </w:tc>
        <w:tc>
          <w:tcPr>
            <w:tcW w:w="4410" w:type="dxa"/>
          </w:tcPr>
          <w:p w14:paraId="500322D8" w14:textId="1CAC9364" w:rsidR="0057097F" w:rsidRPr="004005B9" w:rsidRDefault="00F456F0" w:rsidP="004005B9">
            <w:pPr>
              <w:spacing w:line="276" w:lineRule="auto"/>
              <w:rPr>
                <w:rFonts w:asciiTheme="majorHAnsi" w:hAnsiTheme="majorHAnsi" w:cstheme="majorHAnsi"/>
              </w:rPr>
            </w:pPr>
            <w:r>
              <w:rPr>
                <w:rFonts w:asciiTheme="majorHAnsi" w:hAnsiTheme="majorHAnsi" w:cstheme="majorHAnsi"/>
              </w:rPr>
              <w:t>76001310301620240023500</w:t>
            </w:r>
          </w:p>
        </w:tc>
      </w:tr>
      <w:tr w:rsidR="0057097F" w:rsidRPr="00004712" w14:paraId="500322DC" w14:textId="77777777" w:rsidTr="75020658">
        <w:tc>
          <w:tcPr>
            <w:tcW w:w="6000" w:type="dxa"/>
            <w:shd w:val="clear" w:color="auto" w:fill="D9D9D9" w:themeFill="background1" w:themeFillShade="D9"/>
          </w:tcPr>
          <w:p w14:paraId="500322D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Demandantes:</w:t>
            </w:r>
          </w:p>
        </w:tc>
        <w:tc>
          <w:tcPr>
            <w:tcW w:w="4410" w:type="dxa"/>
          </w:tcPr>
          <w:p w14:paraId="3523731E" w14:textId="500E1163" w:rsidR="00660EFF" w:rsidRPr="00F456F0" w:rsidRDefault="00F456F0" w:rsidP="00F456F0">
            <w:pPr>
              <w:pStyle w:val="Prrafodelista"/>
              <w:numPr>
                <w:ilvl w:val="0"/>
                <w:numId w:val="10"/>
              </w:numPr>
              <w:spacing w:line="276" w:lineRule="auto"/>
              <w:jc w:val="both"/>
              <w:rPr>
                <w:rFonts w:asciiTheme="majorHAnsi" w:hAnsiTheme="majorHAnsi" w:cstheme="majorHAnsi"/>
                <w:lang w:val="es-419"/>
              </w:rPr>
            </w:pPr>
            <w:r w:rsidRPr="00F456F0">
              <w:rPr>
                <w:rFonts w:asciiTheme="majorHAnsi" w:hAnsiTheme="majorHAnsi" w:cstheme="majorHAnsi"/>
                <w:lang w:val="es-419"/>
              </w:rPr>
              <w:t xml:space="preserve">DINER LAME ZÚÑIGA </w:t>
            </w:r>
            <w:r w:rsidR="0071062E">
              <w:rPr>
                <w:rFonts w:asciiTheme="majorHAnsi" w:hAnsiTheme="majorHAnsi" w:cstheme="majorHAnsi"/>
                <w:lang w:val="es-419"/>
              </w:rPr>
              <w:t>– lesionada</w:t>
            </w:r>
          </w:p>
          <w:p w14:paraId="6C4EAAD8" w14:textId="739C4B18" w:rsidR="00F456F0" w:rsidRPr="00F456F0" w:rsidRDefault="00F456F0" w:rsidP="00F456F0">
            <w:pPr>
              <w:pStyle w:val="Prrafodelista"/>
              <w:numPr>
                <w:ilvl w:val="0"/>
                <w:numId w:val="10"/>
              </w:numPr>
              <w:spacing w:line="276" w:lineRule="auto"/>
              <w:jc w:val="both"/>
              <w:rPr>
                <w:rFonts w:asciiTheme="majorHAnsi" w:hAnsiTheme="majorHAnsi" w:cstheme="majorHAnsi"/>
                <w:lang w:val="es-419"/>
              </w:rPr>
            </w:pPr>
            <w:r w:rsidRPr="00F456F0">
              <w:rPr>
                <w:rFonts w:asciiTheme="majorHAnsi" w:hAnsiTheme="majorHAnsi" w:cstheme="majorHAnsi"/>
                <w:lang w:val="es-419"/>
              </w:rPr>
              <w:t>JOSÉ ULPIANO VIDAL IDROBO</w:t>
            </w:r>
            <w:r w:rsidR="0071062E">
              <w:rPr>
                <w:rFonts w:asciiTheme="majorHAnsi" w:hAnsiTheme="majorHAnsi" w:cstheme="majorHAnsi"/>
                <w:lang w:val="es-419"/>
              </w:rPr>
              <w:t>- compañero permanente</w:t>
            </w:r>
          </w:p>
          <w:p w14:paraId="44AC5145" w14:textId="2D674C37" w:rsidR="00F456F0" w:rsidRPr="00F456F0" w:rsidRDefault="00F456F0" w:rsidP="00F456F0">
            <w:pPr>
              <w:pStyle w:val="Prrafodelista"/>
              <w:numPr>
                <w:ilvl w:val="0"/>
                <w:numId w:val="10"/>
              </w:numPr>
              <w:spacing w:line="276" w:lineRule="auto"/>
              <w:jc w:val="both"/>
              <w:rPr>
                <w:rFonts w:asciiTheme="majorHAnsi" w:hAnsiTheme="majorHAnsi" w:cstheme="majorHAnsi"/>
                <w:lang w:val="es-419"/>
              </w:rPr>
            </w:pPr>
            <w:proofErr w:type="spellStart"/>
            <w:r w:rsidRPr="00F456F0">
              <w:rPr>
                <w:rFonts w:asciiTheme="majorHAnsi" w:hAnsiTheme="majorHAnsi" w:cstheme="majorHAnsi"/>
                <w:lang w:val="es-419"/>
              </w:rPr>
              <w:t>JEIMI</w:t>
            </w:r>
            <w:proofErr w:type="spellEnd"/>
            <w:r w:rsidRPr="00F456F0">
              <w:rPr>
                <w:rFonts w:asciiTheme="majorHAnsi" w:hAnsiTheme="majorHAnsi" w:cstheme="majorHAnsi"/>
                <w:lang w:val="es-419"/>
              </w:rPr>
              <w:t xml:space="preserve"> ANDREA VIDAL LAME</w:t>
            </w:r>
            <w:r w:rsidR="0071062E">
              <w:rPr>
                <w:rFonts w:asciiTheme="majorHAnsi" w:hAnsiTheme="majorHAnsi" w:cstheme="majorHAnsi"/>
                <w:lang w:val="es-419"/>
              </w:rPr>
              <w:t>- hija</w:t>
            </w:r>
          </w:p>
          <w:p w14:paraId="500322DB" w14:textId="19228C95" w:rsidR="00F456F0" w:rsidRPr="00F456F0" w:rsidRDefault="00F456F0" w:rsidP="00F456F0">
            <w:pPr>
              <w:pStyle w:val="Prrafodelista"/>
              <w:numPr>
                <w:ilvl w:val="0"/>
                <w:numId w:val="10"/>
              </w:numPr>
              <w:spacing w:line="276" w:lineRule="auto"/>
              <w:jc w:val="both"/>
              <w:rPr>
                <w:rFonts w:asciiTheme="majorHAnsi" w:hAnsiTheme="majorHAnsi" w:cstheme="majorHAnsi"/>
                <w:lang w:val="es-419"/>
              </w:rPr>
            </w:pPr>
            <w:r w:rsidRPr="00F456F0">
              <w:rPr>
                <w:rFonts w:asciiTheme="majorHAnsi" w:hAnsiTheme="majorHAnsi" w:cstheme="majorHAnsi"/>
                <w:lang w:val="es-419"/>
              </w:rPr>
              <w:t>FABIÁN ANDRÉS VIDAL LAME</w:t>
            </w:r>
            <w:r w:rsidR="0071062E">
              <w:rPr>
                <w:rFonts w:asciiTheme="majorHAnsi" w:hAnsiTheme="majorHAnsi" w:cstheme="majorHAnsi"/>
                <w:lang w:val="es-419"/>
              </w:rPr>
              <w:t>- hijo</w:t>
            </w:r>
          </w:p>
        </w:tc>
      </w:tr>
      <w:tr w:rsidR="0057097F" w:rsidRPr="00004712" w14:paraId="500322DF" w14:textId="77777777" w:rsidTr="75020658">
        <w:tc>
          <w:tcPr>
            <w:tcW w:w="6000" w:type="dxa"/>
            <w:shd w:val="clear" w:color="auto" w:fill="D9D9D9" w:themeFill="background1" w:themeFillShade="D9"/>
          </w:tcPr>
          <w:p w14:paraId="500322D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Demandados:</w:t>
            </w:r>
          </w:p>
        </w:tc>
        <w:tc>
          <w:tcPr>
            <w:tcW w:w="4410" w:type="dxa"/>
          </w:tcPr>
          <w:p w14:paraId="21D7F036" w14:textId="09361959" w:rsidR="00004712" w:rsidRDefault="00F456F0" w:rsidP="004005B9">
            <w:pPr>
              <w:pStyle w:val="Prrafodelista"/>
              <w:numPr>
                <w:ilvl w:val="0"/>
                <w:numId w:val="8"/>
              </w:numPr>
              <w:spacing w:line="276" w:lineRule="auto"/>
              <w:jc w:val="both"/>
              <w:rPr>
                <w:rFonts w:asciiTheme="majorHAnsi" w:hAnsiTheme="majorHAnsi" w:cstheme="majorHAnsi"/>
              </w:rPr>
            </w:pPr>
            <w:r>
              <w:rPr>
                <w:rFonts w:asciiTheme="majorHAnsi" w:hAnsiTheme="majorHAnsi" w:cstheme="majorHAnsi"/>
              </w:rPr>
              <w:t>PAOLA ANDREA CENTENO CORTEZ</w:t>
            </w:r>
          </w:p>
          <w:p w14:paraId="49388F6B" w14:textId="3A8130B3" w:rsidR="00F456F0" w:rsidRDefault="00F456F0" w:rsidP="004005B9">
            <w:pPr>
              <w:pStyle w:val="Prrafodelista"/>
              <w:numPr>
                <w:ilvl w:val="0"/>
                <w:numId w:val="8"/>
              </w:numPr>
              <w:spacing w:line="276" w:lineRule="auto"/>
              <w:jc w:val="both"/>
              <w:rPr>
                <w:rFonts w:asciiTheme="majorHAnsi" w:hAnsiTheme="majorHAnsi" w:cstheme="majorHAnsi"/>
              </w:rPr>
            </w:pPr>
            <w:r>
              <w:rPr>
                <w:rFonts w:asciiTheme="majorHAnsi" w:hAnsiTheme="majorHAnsi" w:cstheme="majorHAnsi"/>
              </w:rPr>
              <w:t>DIEGO GALLEGO TORRES</w:t>
            </w:r>
            <w:r w:rsidR="0071062E">
              <w:rPr>
                <w:rFonts w:asciiTheme="majorHAnsi" w:hAnsiTheme="majorHAnsi" w:cstheme="majorHAnsi"/>
              </w:rPr>
              <w:t xml:space="preserve"> </w:t>
            </w:r>
          </w:p>
          <w:p w14:paraId="0B2F6E25" w14:textId="1A7A8C8C" w:rsidR="00F456F0" w:rsidRPr="004005B9" w:rsidRDefault="00F456F0" w:rsidP="004005B9">
            <w:pPr>
              <w:pStyle w:val="Prrafodelista"/>
              <w:numPr>
                <w:ilvl w:val="0"/>
                <w:numId w:val="8"/>
              </w:numPr>
              <w:spacing w:line="276" w:lineRule="auto"/>
              <w:jc w:val="both"/>
              <w:rPr>
                <w:rFonts w:asciiTheme="majorHAnsi" w:hAnsiTheme="majorHAnsi" w:cstheme="majorHAnsi"/>
              </w:rPr>
            </w:pPr>
            <w:r>
              <w:rPr>
                <w:rFonts w:asciiTheme="majorHAnsi" w:hAnsiTheme="majorHAnsi" w:cstheme="majorHAnsi"/>
              </w:rPr>
              <w:t>HDI SEGUROS S.A.</w:t>
            </w:r>
          </w:p>
          <w:p w14:paraId="500322DE" w14:textId="72A913AE" w:rsidR="0057097F" w:rsidRPr="004005B9" w:rsidRDefault="0057097F" w:rsidP="00F456F0">
            <w:pPr>
              <w:pStyle w:val="Prrafodelista"/>
              <w:spacing w:line="276" w:lineRule="auto"/>
              <w:ind w:left="360"/>
              <w:jc w:val="both"/>
              <w:rPr>
                <w:rFonts w:asciiTheme="majorHAnsi" w:hAnsiTheme="majorHAnsi" w:cstheme="majorHAnsi"/>
              </w:rPr>
            </w:pPr>
          </w:p>
        </w:tc>
      </w:tr>
      <w:tr w:rsidR="0057097F" w:rsidRPr="00004712" w14:paraId="500322E2" w14:textId="77777777" w:rsidTr="75020658">
        <w:tc>
          <w:tcPr>
            <w:tcW w:w="6000" w:type="dxa"/>
            <w:shd w:val="clear" w:color="auto" w:fill="D9D9D9" w:themeFill="background1" w:themeFillShade="D9"/>
          </w:tcPr>
          <w:p w14:paraId="500322E0"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Tipo de vinculación de Liberty (directa, llamamiento en garantía, litisconsorte):</w:t>
            </w:r>
          </w:p>
        </w:tc>
        <w:tc>
          <w:tcPr>
            <w:tcW w:w="4410" w:type="dxa"/>
          </w:tcPr>
          <w:p w14:paraId="500322E1" w14:textId="1F2C3C40" w:rsidR="0057097F" w:rsidRPr="004005B9" w:rsidRDefault="0ABD064A" w:rsidP="004005B9">
            <w:pPr>
              <w:spacing w:line="276" w:lineRule="auto"/>
              <w:jc w:val="both"/>
              <w:rPr>
                <w:rFonts w:asciiTheme="majorHAnsi" w:hAnsiTheme="majorHAnsi" w:cstheme="majorHAnsi"/>
              </w:rPr>
            </w:pPr>
            <w:r w:rsidRPr="004005B9">
              <w:rPr>
                <w:rFonts w:asciiTheme="majorHAnsi" w:hAnsiTheme="majorHAnsi" w:cstheme="majorHAnsi"/>
              </w:rPr>
              <w:t>Directa</w:t>
            </w:r>
          </w:p>
        </w:tc>
      </w:tr>
      <w:tr w:rsidR="0057097F" w:rsidRPr="00004712" w14:paraId="500322E5" w14:textId="77777777" w:rsidTr="00680B69">
        <w:trPr>
          <w:trHeight w:val="2395"/>
        </w:trPr>
        <w:tc>
          <w:tcPr>
            <w:tcW w:w="6000" w:type="dxa"/>
            <w:shd w:val="clear" w:color="auto" w:fill="D9D9D9" w:themeFill="background1" w:themeFillShade="D9"/>
          </w:tcPr>
          <w:p w14:paraId="500322E3"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Resumen de los hechos:</w:t>
            </w:r>
          </w:p>
        </w:tc>
        <w:tc>
          <w:tcPr>
            <w:tcW w:w="4410" w:type="dxa"/>
          </w:tcPr>
          <w:p w14:paraId="0D172F4A" w14:textId="7F10251C" w:rsidR="0057097F" w:rsidRPr="004005B9" w:rsidRDefault="0057097F" w:rsidP="004005B9">
            <w:pPr>
              <w:spacing w:line="276" w:lineRule="auto"/>
              <w:jc w:val="both"/>
              <w:rPr>
                <w:rFonts w:asciiTheme="majorHAnsi" w:hAnsiTheme="majorHAnsi" w:cstheme="majorHAnsi"/>
              </w:rPr>
            </w:pPr>
          </w:p>
          <w:p w14:paraId="089BFFE7" w14:textId="55835035" w:rsidR="0051524C" w:rsidRDefault="00F456F0" w:rsidP="004005B9">
            <w:pPr>
              <w:spacing w:line="276" w:lineRule="auto"/>
              <w:jc w:val="both"/>
              <w:rPr>
                <w:rFonts w:asciiTheme="majorHAnsi" w:hAnsiTheme="majorHAnsi" w:cstheme="majorHAnsi"/>
              </w:rPr>
            </w:pPr>
            <w:r>
              <w:rPr>
                <w:rFonts w:asciiTheme="majorHAnsi" w:hAnsiTheme="majorHAnsi" w:cstheme="majorHAnsi"/>
              </w:rPr>
              <w:t xml:space="preserve">Accidente de tránsito que ocurre el 28 de octubre de 2021 en la avenida 2ª norte entre calles 34ª y 35 Norte de Cali. Vehículo de placas JKS-214 chocó con la motocicleta de placas HDL-75A que era conducido por el señor José Ulpiano Vida </w:t>
            </w:r>
            <w:r w:rsidR="002C64CB">
              <w:rPr>
                <w:rFonts w:asciiTheme="majorHAnsi" w:hAnsiTheme="majorHAnsi" w:cstheme="majorHAnsi"/>
              </w:rPr>
              <w:t>Idrobo y</w:t>
            </w:r>
            <w:r>
              <w:rPr>
                <w:rFonts w:asciiTheme="majorHAnsi" w:hAnsiTheme="majorHAnsi" w:cstheme="majorHAnsi"/>
              </w:rPr>
              <w:t xml:space="preserve"> donde era pasajera la señora Diner Lame </w:t>
            </w:r>
            <w:r w:rsidR="002C64CB">
              <w:rPr>
                <w:rFonts w:asciiTheme="majorHAnsi" w:hAnsiTheme="majorHAnsi" w:cstheme="majorHAnsi"/>
              </w:rPr>
              <w:t>Zúñiga</w:t>
            </w:r>
            <w:r>
              <w:rPr>
                <w:rFonts w:asciiTheme="majorHAnsi" w:hAnsiTheme="majorHAnsi" w:cstheme="majorHAnsi"/>
              </w:rPr>
              <w:t xml:space="preserve">. </w:t>
            </w:r>
          </w:p>
          <w:p w14:paraId="0677838A" w14:textId="77777777" w:rsidR="002C64CB" w:rsidRDefault="002C64CB" w:rsidP="004005B9">
            <w:pPr>
              <w:spacing w:line="276" w:lineRule="auto"/>
              <w:jc w:val="both"/>
              <w:rPr>
                <w:rFonts w:asciiTheme="majorHAnsi" w:hAnsiTheme="majorHAnsi" w:cstheme="majorHAnsi"/>
              </w:rPr>
            </w:pPr>
          </w:p>
          <w:p w14:paraId="0659C2DE" w14:textId="3DFB97DE" w:rsidR="002C64CB" w:rsidRDefault="002C64CB" w:rsidP="004005B9">
            <w:pPr>
              <w:spacing w:line="276" w:lineRule="auto"/>
              <w:jc w:val="both"/>
              <w:rPr>
                <w:rFonts w:asciiTheme="majorHAnsi" w:hAnsiTheme="majorHAnsi" w:cstheme="majorHAnsi"/>
              </w:rPr>
            </w:pPr>
            <w:r>
              <w:rPr>
                <w:rFonts w:asciiTheme="majorHAnsi" w:hAnsiTheme="majorHAnsi" w:cstheme="majorHAnsi"/>
              </w:rPr>
              <w:t xml:space="preserve">La señora Diner Lame Zúñiga estuvo hospitalizada entre el 28 de octubre de 2021 y el 31 de octubre de 2021 en la Clínica Cristo Rey, y luego en la Clínica Valle Salud, donde estuvo hospitalizada desde el 31 de octubre de 2021 y el 10 de noviembre de 2021, cuando fue dada de egreso.  La demandante recibió el alta y la autorización para el reintegro laboral el 03 de mayo de 2022. </w:t>
            </w:r>
          </w:p>
          <w:p w14:paraId="6572E0EB" w14:textId="77777777" w:rsidR="002C64CB" w:rsidRDefault="002C64CB" w:rsidP="004005B9">
            <w:pPr>
              <w:spacing w:line="276" w:lineRule="auto"/>
              <w:jc w:val="both"/>
              <w:rPr>
                <w:rFonts w:asciiTheme="majorHAnsi" w:hAnsiTheme="majorHAnsi" w:cstheme="majorHAnsi"/>
              </w:rPr>
            </w:pPr>
          </w:p>
          <w:p w14:paraId="34C574BD" w14:textId="7B31FA41" w:rsidR="002C64CB" w:rsidRDefault="002C64CB" w:rsidP="004005B9">
            <w:pPr>
              <w:spacing w:line="276" w:lineRule="auto"/>
              <w:jc w:val="both"/>
              <w:rPr>
                <w:rFonts w:asciiTheme="majorHAnsi" w:hAnsiTheme="majorHAnsi" w:cstheme="majorHAnsi"/>
              </w:rPr>
            </w:pPr>
            <w:r>
              <w:rPr>
                <w:rFonts w:asciiTheme="majorHAnsi" w:hAnsiTheme="majorHAnsi" w:cstheme="majorHAnsi"/>
              </w:rPr>
              <w:lastRenderedPageBreak/>
              <w:t xml:space="preserve">Dictamen pericial de clínica forense determinó perturbación funcional de órgano sistema de locomoción de carácter transitorio, perturbación funcional de órgano de sistema musculo esquelético y axial de carácter transitorio. </w:t>
            </w:r>
          </w:p>
          <w:p w14:paraId="795A4A83" w14:textId="77777777" w:rsidR="002C64CB" w:rsidRDefault="002C64CB" w:rsidP="004005B9">
            <w:pPr>
              <w:spacing w:line="276" w:lineRule="auto"/>
              <w:jc w:val="both"/>
              <w:rPr>
                <w:rFonts w:asciiTheme="majorHAnsi" w:hAnsiTheme="majorHAnsi" w:cstheme="majorHAnsi"/>
              </w:rPr>
            </w:pPr>
          </w:p>
          <w:p w14:paraId="74DC2FA1" w14:textId="6E5B7A64" w:rsidR="002C64CB" w:rsidRDefault="002C64CB" w:rsidP="004005B9">
            <w:pPr>
              <w:spacing w:line="276" w:lineRule="auto"/>
              <w:jc w:val="both"/>
              <w:rPr>
                <w:rFonts w:asciiTheme="majorHAnsi" w:hAnsiTheme="majorHAnsi" w:cstheme="majorHAnsi"/>
              </w:rPr>
            </w:pPr>
            <w:r>
              <w:rPr>
                <w:rFonts w:asciiTheme="majorHAnsi" w:hAnsiTheme="majorHAnsi" w:cstheme="majorHAnsi"/>
              </w:rPr>
              <w:t xml:space="preserve">Fue calificada en su pérdida de capacidad laboral en un 17.0%. </w:t>
            </w:r>
          </w:p>
          <w:p w14:paraId="7A1A2019" w14:textId="77777777" w:rsidR="002C64CB" w:rsidRPr="004005B9" w:rsidRDefault="002C64CB" w:rsidP="004005B9">
            <w:pPr>
              <w:spacing w:line="276" w:lineRule="auto"/>
              <w:jc w:val="both"/>
              <w:rPr>
                <w:rFonts w:asciiTheme="majorHAnsi" w:hAnsiTheme="majorHAnsi" w:cstheme="majorHAnsi"/>
              </w:rPr>
            </w:pPr>
          </w:p>
          <w:p w14:paraId="500322E4" w14:textId="45D32212" w:rsidR="0057097F" w:rsidRPr="004005B9" w:rsidRDefault="0057097F" w:rsidP="004005B9">
            <w:pPr>
              <w:spacing w:line="276" w:lineRule="auto"/>
              <w:jc w:val="both"/>
              <w:rPr>
                <w:rFonts w:asciiTheme="majorHAnsi" w:hAnsiTheme="majorHAnsi" w:cstheme="majorHAnsi"/>
              </w:rPr>
            </w:pPr>
          </w:p>
        </w:tc>
      </w:tr>
      <w:tr w:rsidR="0057097F" w:rsidRPr="00004712" w14:paraId="500322E8" w14:textId="77777777" w:rsidTr="75020658">
        <w:tc>
          <w:tcPr>
            <w:tcW w:w="6000" w:type="dxa"/>
            <w:shd w:val="clear" w:color="auto" w:fill="D9D9D9" w:themeFill="background1" w:themeFillShade="D9"/>
          </w:tcPr>
          <w:p w14:paraId="500322E6" w14:textId="33A78CB4" w:rsidR="0057097F" w:rsidRPr="004005B9" w:rsidRDefault="00EA75AB" w:rsidP="004005B9">
            <w:pPr>
              <w:spacing w:line="276" w:lineRule="auto"/>
              <w:rPr>
                <w:rFonts w:asciiTheme="majorHAnsi" w:hAnsiTheme="majorHAnsi" w:cstheme="majorHAnsi"/>
                <w:b/>
              </w:rPr>
            </w:pPr>
            <w:r>
              <w:rPr>
                <w:rFonts w:asciiTheme="majorHAnsi" w:hAnsiTheme="majorHAnsi" w:cstheme="majorHAnsi"/>
                <w:b/>
              </w:rPr>
              <w:lastRenderedPageBreak/>
              <w:t>Descripción de las pretensiones</w:t>
            </w:r>
          </w:p>
        </w:tc>
        <w:tc>
          <w:tcPr>
            <w:tcW w:w="4410" w:type="dxa"/>
          </w:tcPr>
          <w:p w14:paraId="43C943E9" w14:textId="77777777" w:rsidR="0057097F" w:rsidRDefault="002C64CB" w:rsidP="002C64CB">
            <w:pPr>
              <w:spacing w:line="276" w:lineRule="auto"/>
              <w:jc w:val="both"/>
              <w:rPr>
                <w:rFonts w:asciiTheme="majorHAnsi" w:hAnsiTheme="majorHAnsi" w:cstheme="majorHAnsi"/>
              </w:rPr>
            </w:pPr>
            <w:r>
              <w:rPr>
                <w:rFonts w:asciiTheme="majorHAnsi" w:hAnsiTheme="majorHAnsi" w:cstheme="majorHAnsi"/>
              </w:rPr>
              <w:t xml:space="preserve">Que se declare que el accidente ocurrido el 28 de octubre de 2021 se originó o tuvo lugar como causa efectiva y directa de la imprudencia, negligencia e impericia del conductor del automotor de placa No. JKS-214, Diego Gallego Torres, propiedad de la señora Paola Andrea Centeno Cortez. </w:t>
            </w:r>
          </w:p>
          <w:p w14:paraId="5FEB8BC2" w14:textId="77777777" w:rsidR="002C64CB" w:rsidRDefault="002C64CB" w:rsidP="002C64CB">
            <w:pPr>
              <w:spacing w:line="276" w:lineRule="auto"/>
              <w:jc w:val="both"/>
              <w:rPr>
                <w:rFonts w:asciiTheme="majorHAnsi" w:hAnsiTheme="majorHAnsi" w:cstheme="majorHAnsi"/>
              </w:rPr>
            </w:pPr>
          </w:p>
          <w:p w14:paraId="29808CD1" w14:textId="0BDBA562" w:rsidR="002C64CB" w:rsidRDefault="002C64CB" w:rsidP="002C64CB">
            <w:pPr>
              <w:spacing w:line="276" w:lineRule="auto"/>
              <w:jc w:val="both"/>
              <w:rPr>
                <w:rFonts w:asciiTheme="majorHAnsi" w:hAnsiTheme="majorHAnsi" w:cstheme="majorHAnsi"/>
              </w:rPr>
            </w:pPr>
            <w:proofErr w:type="gramStart"/>
            <w:r>
              <w:rPr>
                <w:rFonts w:asciiTheme="majorHAnsi" w:hAnsiTheme="majorHAnsi" w:cstheme="majorHAnsi"/>
              </w:rPr>
              <w:t>Declarar</w:t>
            </w:r>
            <w:proofErr w:type="gramEnd"/>
            <w:r>
              <w:rPr>
                <w:rFonts w:asciiTheme="majorHAnsi" w:hAnsiTheme="majorHAnsi" w:cstheme="majorHAnsi"/>
              </w:rPr>
              <w:t xml:space="preserve"> que el vehículo de placas JKS-214, para la fecha de ocurrencia de los hechos, era de propiedad de la codemandada Paola Andrea Centeno Cortez, por lo tanto, es responsable civilmente de los perjuicios causados con ocasión del mencionado accidente. </w:t>
            </w:r>
          </w:p>
          <w:p w14:paraId="76BFBFF4" w14:textId="77777777" w:rsidR="002C64CB" w:rsidRDefault="002C64CB" w:rsidP="002C64CB">
            <w:pPr>
              <w:spacing w:line="276" w:lineRule="auto"/>
              <w:jc w:val="both"/>
              <w:rPr>
                <w:rFonts w:asciiTheme="majorHAnsi" w:hAnsiTheme="majorHAnsi" w:cstheme="majorHAnsi"/>
              </w:rPr>
            </w:pPr>
          </w:p>
          <w:p w14:paraId="3DD3136B" w14:textId="77777777" w:rsidR="002C64CB" w:rsidRDefault="002C64CB" w:rsidP="002C64CB">
            <w:pPr>
              <w:spacing w:line="276" w:lineRule="auto"/>
              <w:jc w:val="both"/>
              <w:rPr>
                <w:rFonts w:asciiTheme="majorHAnsi" w:hAnsiTheme="majorHAnsi" w:cstheme="majorHAnsi"/>
              </w:rPr>
            </w:pPr>
            <w:proofErr w:type="gramStart"/>
            <w:r>
              <w:rPr>
                <w:rFonts w:asciiTheme="majorHAnsi" w:hAnsiTheme="majorHAnsi" w:cstheme="majorHAnsi"/>
              </w:rPr>
              <w:t>Declarar</w:t>
            </w:r>
            <w:proofErr w:type="gramEnd"/>
            <w:r>
              <w:rPr>
                <w:rFonts w:asciiTheme="majorHAnsi" w:hAnsiTheme="majorHAnsi" w:cstheme="majorHAnsi"/>
              </w:rPr>
              <w:t xml:space="preserve"> que el vehículo de placas JKS-214 se encontraba asegurado por la compañía HDI SEGUROS S.A., para la fecha de los hechos, </w:t>
            </w:r>
            <w:proofErr w:type="gramStart"/>
            <w:r>
              <w:rPr>
                <w:rFonts w:asciiTheme="majorHAnsi" w:hAnsiTheme="majorHAnsi" w:cstheme="majorHAnsi"/>
              </w:rPr>
              <w:t>y</w:t>
            </w:r>
            <w:proofErr w:type="gramEnd"/>
            <w:r>
              <w:rPr>
                <w:rFonts w:asciiTheme="majorHAnsi" w:hAnsiTheme="majorHAnsi" w:cstheme="majorHAnsi"/>
              </w:rPr>
              <w:t xml:space="preserve"> por lo tanto, es responsablemente contractualmente bajo la póliza de automóviles y el amparado de Responsabilidad Civil Extracontractual. </w:t>
            </w:r>
          </w:p>
          <w:p w14:paraId="4CD04752" w14:textId="77777777" w:rsidR="002C64CB" w:rsidRDefault="002C64CB" w:rsidP="002C64CB">
            <w:pPr>
              <w:spacing w:line="276" w:lineRule="auto"/>
              <w:jc w:val="both"/>
              <w:rPr>
                <w:rFonts w:asciiTheme="majorHAnsi" w:hAnsiTheme="majorHAnsi" w:cstheme="majorHAnsi"/>
              </w:rPr>
            </w:pPr>
          </w:p>
          <w:p w14:paraId="135FE6C3" w14:textId="77777777" w:rsidR="002C64CB" w:rsidRDefault="002C64CB" w:rsidP="002C64CB">
            <w:pPr>
              <w:spacing w:line="276" w:lineRule="auto"/>
              <w:jc w:val="both"/>
              <w:rPr>
                <w:rFonts w:asciiTheme="majorHAnsi" w:hAnsiTheme="majorHAnsi" w:cstheme="majorHAnsi"/>
              </w:rPr>
            </w:pPr>
            <w:r>
              <w:rPr>
                <w:rFonts w:asciiTheme="majorHAnsi" w:hAnsiTheme="majorHAnsi" w:cstheme="majorHAnsi"/>
              </w:rPr>
              <w:t xml:space="preserve">Como consecuencia de las anteriores declaraciones, condenar a los demandados al pago de los siguientes perjuicios inmateriales y materiales: </w:t>
            </w:r>
          </w:p>
          <w:p w14:paraId="52ED7F23" w14:textId="77777777" w:rsidR="002C64CB" w:rsidRDefault="002C64CB" w:rsidP="002C64CB">
            <w:pPr>
              <w:spacing w:line="276" w:lineRule="auto"/>
              <w:jc w:val="both"/>
              <w:rPr>
                <w:rFonts w:asciiTheme="majorHAnsi" w:hAnsiTheme="majorHAnsi" w:cstheme="majorHAnsi"/>
              </w:rPr>
            </w:pPr>
          </w:p>
          <w:p w14:paraId="5FDAB030" w14:textId="77777777" w:rsidR="002C64CB" w:rsidRDefault="002C64CB" w:rsidP="002C64CB">
            <w:pPr>
              <w:pStyle w:val="Prrafodelista"/>
              <w:numPr>
                <w:ilvl w:val="0"/>
                <w:numId w:val="11"/>
              </w:numPr>
              <w:spacing w:line="276" w:lineRule="auto"/>
              <w:jc w:val="both"/>
              <w:rPr>
                <w:rFonts w:asciiTheme="majorHAnsi" w:hAnsiTheme="majorHAnsi" w:cstheme="majorHAnsi"/>
              </w:rPr>
            </w:pPr>
            <w:r>
              <w:rPr>
                <w:rFonts w:asciiTheme="majorHAnsi" w:hAnsiTheme="majorHAnsi" w:cstheme="majorHAnsi"/>
              </w:rPr>
              <w:t>Daño emergente: $5.300.337</w:t>
            </w:r>
          </w:p>
          <w:p w14:paraId="18678F4B" w14:textId="3BBFAE18" w:rsidR="002C64CB" w:rsidRDefault="002C64CB" w:rsidP="002C64CB">
            <w:pPr>
              <w:pStyle w:val="Prrafodelista"/>
              <w:numPr>
                <w:ilvl w:val="0"/>
                <w:numId w:val="11"/>
              </w:numPr>
              <w:spacing w:line="276" w:lineRule="auto"/>
              <w:jc w:val="both"/>
              <w:rPr>
                <w:rFonts w:asciiTheme="majorHAnsi" w:hAnsiTheme="majorHAnsi" w:cstheme="majorHAnsi"/>
              </w:rPr>
            </w:pPr>
            <w:r>
              <w:rPr>
                <w:rFonts w:asciiTheme="majorHAnsi" w:hAnsiTheme="majorHAnsi" w:cstheme="majorHAnsi"/>
              </w:rPr>
              <w:t>Lucro cesante: $6</w:t>
            </w:r>
            <w:r w:rsidR="0071062E">
              <w:rPr>
                <w:rFonts w:asciiTheme="majorHAnsi" w:hAnsiTheme="majorHAnsi" w:cstheme="majorHAnsi"/>
              </w:rPr>
              <w:t>2</w:t>
            </w:r>
            <w:r>
              <w:rPr>
                <w:rFonts w:asciiTheme="majorHAnsi" w:hAnsiTheme="majorHAnsi" w:cstheme="majorHAnsi"/>
              </w:rPr>
              <w:t>.</w:t>
            </w:r>
            <w:r w:rsidR="0071062E">
              <w:rPr>
                <w:rFonts w:asciiTheme="majorHAnsi" w:hAnsiTheme="majorHAnsi" w:cstheme="majorHAnsi"/>
              </w:rPr>
              <w:t>213</w:t>
            </w:r>
            <w:r>
              <w:rPr>
                <w:rFonts w:asciiTheme="majorHAnsi" w:hAnsiTheme="majorHAnsi" w:cstheme="majorHAnsi"/>
              </w:rPr>
              <w:t>.</w:t>
            </w:r>
            <w:r w:rsidR="0071062E">
              <w:rPr>
                <w:rFonts w:asciiTheme="majorHAnsi" w:hAnsiTheme="majorHAnsi" w:cstheme="majorHAnsi"/>
              </w:rPr>
              <w:t>432,06</w:t>
            </w:r>
          </w:p>
          <w:p w14:paraId="013373ED" w14:textId="77777777" w:rsidR="002C64CB" w:rsidRDefault="002C64CB" w:rsidP="002C64CB">
            <w:pPr>
              <w:pStyle w:val="Prrafodelista"/>
              <w:numPr>
                <w:ilvl w:val="0"/>
                <w:numId w:val="11"/>
              </w:numPr>
              <w:spacing w:line="276" w:lineRule="auto"/>
              <w:jc w:val="both"/>
              <w:rPr>
                <w:rFonts w:asciiTheme="majorHAnsi" w:hAnsiTheme="majorHAnsi" w:cstheme="majorHAnsi"/>
              </w:rPr>
            </w:pPr>
            <w:r>
              <w:rPr>
                <w:rFonts w:asciiTheme="majorHAnsi" w:hAnsiTheme="majorHAnsi" w:cstheme="majorHAnsi"/>
              </w:rPr>
              <w:t>Daño moral: $104.000.000</w:t>
            </w:r>
          </w:p>
          <w:p w14:paraId="229B5D61" w14:textId="77777777" w:rsidR="002C64CB" w:rsidRDefault="002C64CB" w:rsidP="002C64CB">
            <w:pPr>
              <w:pStyle w:val="Prrafodelista"/>
              <w:numPr>
                <w:ilvl w:val="0"/>
                <w:numId w:val="11"/>
              </w:numPr>
              <w:spacing w:line="276" w:lineRule="auto"/>
              <w:jc w:val="both"/>
              <w:rPr>
                <w:rFonts w:asciiTheme="majorHAnsi" w:hAnsiTheme="majorHAnsi" w:cstheme="majorHAnsi"/>
              </w:rPr>
            </w:pPr>
            <w:r>
              <w:rPr>
                <w:rFonts w:asciiTheme="majorHAnsi" w:hAnsiTheme="majorHAnsi" w:cstheme="majorHAnsi"/>
              </w:rPr>
              <w:lastRenderedPageBreak/>
              <w:t>Daño a la vida en relación: $104.000.000</w:t>
            </w:r>
          </w:p>
          <w:p w14:paraId="500322E7" w14:textId="6AC1AB28" w:rsidR="002C64CB" w:rsidRPr="002C64CB" w:rsidRDefault="002C64CB" w:rsidP="002C64CB">
            <w:pPr>
              <w:pStyle w:val="Prrafodelista"/>
              <w:numPr>
                <w:ilvl w:val="0"/>
                <w:numId w:val="11"/>
              </w:numPr>
              <w:spacing w:line="276" w:lineRule="auto"/>
              <w:jc w:val="both"/>
              <w:rPr>
                <w:rFonts w:asciiTheme="majorHAnsi" w:hAnsiTheme="majorHAnsi" w:cstheme="majorHAnsi"/>
              </w:rPr>
            </w:pPr>
            <w:r>
              <w:rPr>
                <w:rFonts w:asciiTheme="majorHAnsi" w:hAnsiTheme="majorHAnsi" w:cstheme="majorHAnsi"/>
              </w:rPr>
              <w:t>Daño a la salud: $26.000.000</w:t>
            </w:r>
          </w:p>
        </w:tc>
      </w:tr>
      <w:tr w:rsidR="0057097F" w:rsidRPr="00004712" w14:paraId="500322EB" w14:textId="77777777" w:rsidTr="75020658">
        <w:tc>
          <w:tcPr>
            <w:tcW w:w="6000" w:type="dxa"/>
            <w:shd w:val="clear" w:color="auto" w:fill="D9D9D9" w:themeFill="background1" w:themeFillShade="D9"/>
          </w:tcPr>
          <w:p w14:paraId="500322E9"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Pretensiones cuantificadas ($):</w:t>
            </w:r>
          </w:p>
        </w:tc>
        <w:tc>
          <w:tcPr>
            <w:tcW w:w="4410" w:type="dxa"/>
          </w:tcPr>
          <w:p w14:paraId="500322EA" w14:textId="455B4366" w:rsidR="0057097F" w:rsidRPr="004005B9" w:rsidRDefault="0C8F4989" w:rsidP="004005B9">
            <w:pPr>
              <w:spacing w:line="276" w:lineRule="auto"/>
              <w:jc w:val="both"/>
              <w:rPr>
                <w:rFonts w:asciiTheme="majorHAnsi" w:hAnsiTheme="majorHAnsi" w:cstheme="majorHAnsi"/>
              </w:rPr>
            </w:pPr>
            <w:r w:rsidRPr="004005B9">
              <w:rPr>
                <w:rFonts w:asciiTheme="majorHAnsi" w:hAnsiTheme="majorHAnsi" w:cstheme="majorHAnsi"/>
              </w:rPr>
              <w:t>$</w:t>
            </w:r>
            <w:r w:rsidR="00DF1598">
              <w:rPr>
                <w:rFonts w:asciiTheme="majorHAnsi" w:hAnsiTheme="majorHAnsi" w:cstheme="majorHAnsi"/>
              </w:rPr>
              <w:t>300.490.298</w:t>
            </w:r>
          </w:p>
        </w:tc>
      </w:tr>
      <w:tr w:rsidR="0057097F" w:rsidRPr="00004712" w14:paraId="500322EE" w14:textId="77777777" w:rsidTr="75020658">
        <w:tc>
          <w:tcPr>
            <w:tcW w:w="6000" w:type="dxa"/>
            <w:shd w:val="clear" w:color="auto" w:fill="D9D9D9" w:themeFill="background1" w:themeFillShade="D9"/>
          </w:tcPr>
          <w:p w14:paraId="500322EC"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 asegurado amparos afectados:</w:t>
            </w:r>
          </w:p>
        </w:tc>
        <w:tc>
          <w:tcPr>
            <w:tcW w:w="4410" w:type="dxa"/>
          </w:tcPr>
          <w:p w14:paraId="500322ED" w14:textId="52E9FEFD" w:rsidR="00830C3E" w:rsidRPr="004005B9" w:rsidRDefault="00EA75AB" w:rsidP="004005B9">
            <w:pPr>
              <w:spacing w:line="276" w:lineRule="auto"/>
              <w:rPr>
                <w:rFonts w:asciiTheme="majorHAnsi" w:hAnsiTheme="majorHAnsi" w:cstheme="majorHAnsi"/>
                <w:b/>
                <w:bCs/>
              </w:rPr>
            </w:pPr>
            <w:proofErr w:type="spellStart"/>
            <w:r>
              <w:rPr>
                <w:rFonts w:asciiTheme="majorHAnsi" w:hAnsiTheme="majorHAnsi" w:cstheme="majorHAnsi"/>
                <w:b/>
                <w:bCs/>
              </w:rPr>
              <w:t>RCE</w:t>
            </w:r>
            <w:proofErr w:type="spellEnd"/>
            <w:r>
              <w:rPr>
                <w:rFonts w:asciiTheme="majorHAnsi" w:hAnsiTheme="majorHAnsi" w:cstheme="majorHAnsi"/>
                <w:b/>
                <w:bCs/>
              </w:rPr>
              <w:t xml:space="preserve"> - $</w:t>
            </w:r>
            <w:r w:rsidR="00DF1598">
              <w:rPr>
                <w:rFonts w:asciiTheme="majorHAnsi" w:hAnsiTheme="majorHAnsi" w:cstheme="majorHAnsi"/>
                <w:b/>
                <w:bCs/>
              </w:rPr>
              <w:t>4.000.000.000</w:t>
            </w:r>
          </w:p>
        </w:tc>
      </w:tr>
      <w:tr w:rsidR="0057097F" w:rsidRPr="00004712" w14:paraId="500322F1" w14:textId="77777777" w:rsidTr="75020658">
        <w:tc>
          <w:tcPr>
            <w:tcW w:w="6000" w:type="dxa"/>
            <w:shd w:val="clear" w:color="auto" w:fill="D9D9D9" w:themeFill="background1" w:themeFillShade="D9"/>
          </w:tcPr>
          <w:p w14:paraId="500322EF"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Valoración objetiva de las pretensiones:</w:t>
            </w:r>
          </w:p>
        </w:tc>
        <w:tc>
          <w:tcPr>
            <w:tcW w:w="4410" w:type="dxa"/>
          </w:tcPr>
          <w:p w14:paraId="7A91695F" w14:textId="73894453" w:rsidR="0057097F" w:rsidRDefault="72F47928" w:rsidP="00004712">
            <w:pPr>
              <w:spacing w:line="276" w:lineRule="auto"/>
              <w:jc w:val="both"/>
              <w:rPr>
                <w:rFonts w:asciiTheme="majorHAnsi" w:hAnsiTheme="majorHAnsi" w:cstheme="majorHAnsi"/>
              </w:rPr>
            </w:pPr>
            <w:r w:rsidRPr="00187D28">
              <w:rPr>
                <w:rFonts w:asciiTheme="majorHAnsi" w:hAnsiTheme="majorHAnsi" w:cstheme="majorHAnsi"/>
              </w:rPr>
              <w:t xml:space="preserve">Se presenta como pretensiones objetivadas la suma de </w:t>
            </w:r>
            <w:r w:rsidR="2E493F49" w:rsidRPr="00187D28">
              <w:rPr>
                <w:rFonts w:asciiTheme="majorHAnsi" w:hAnsiTheme="majorHAnsi" w:cstheme="majorHAnsi"/>
              </w:rPr>
              <w:t>$</w:t>
            </w:r>
            <w:r w:rsidR="001871B7">
              <w:rPr>
                <w:rFonts w:asciiTheme="majorHAnsi" w:hAnsiTheme="majorHAnsi" w:cstheme="majorHAnsi"/>
              </w:rPr>
              <w:t>212.917.927</w:t>
            </w:r>
            <w:r w:rsidR="2E493F49" w:rsidRPr="00187D28">
              <w:rPr>
                <w:rFonts w:asciiTheme="majorHAnsi" w:hAnsiTheme="majorHAnsi" w:cstheme="majorHAnsi"/>
              </w:rPr>
              <w:t xml:space="preserve">, </w:t>
            </w:r>
            <w:r w:rsidR="002F4CD8" w:rsidRPr="00187D28">
              <w:rPr>
                <w:rFonts w:asciiTheme="majorHAnsi" w:hAnsiTheme="majorHAnsi" w:cstheme="majorHAnsi"/>
              </w:rPr>
              <w:t>de conformidad</w:t>
            </w:r>
            <w:r w:rsidR="2E493F49" w:rsidRPr="00187D28">
              <w:rPr>
                <w:rFonts w:asciiTheme="majorHAnsi" w:hAnsiTheme="majorHAnsi" w:cstheme="majorHAnsi"/>
              </w:rPr>
              <w:t xml:space="preserve"> con lo siguiente:</w:t>
            </w:r>
          </w:p>
          <w:p w14:paraId="33331AC0" w14:textId="77777777" w:rsidR="00DD10CF" w:rsidRDefault="00DD10CF" w:rsidP="00004712">
            <w:pPr>
              <w:spacing w:line="276" w:lineRule="auto"/>
              <w:jc w:val="both"/>
              <w:rPr>
                <w:rFonts w:asciiTheme="majorHAnsi" w:hAnsiTheme="majorHAnsi" w:cstheme="majorHAnsi"/>
              </w:rPr>
            </w:pPr>
          </w:p>
          <w:p w14:paraId="79BAA4B2" w14:textId="47D116BB" w:rsidR="00DD10CF" w:rsidRPr="00DD10CF" w:rsidRDefault="00DD10CF" w:rsidP="00DD10CF">
            <w:pPr>
              <w:pStyle w:val="Prrafodelista"/>
              <w:numPr>
                <w:ilvl w:val="0"/>
                <w:numId w:val="13"/>
              </w:numPr>
              <w:spacing w:line="276" w:lineRule="auto"/>
              <w:jc w:val="both"/>
              <w:rPr>
                <w:rFonts w:asciiTheme="majorHAnsi" w:hAnsiTheme="majorHAnsi" w:cstheme="majorHAnsi"/>
                <w:b/>
                <w:bCs/>
              </w:rPr>
            </w:pPr>
            <w:r w:rsidRPr="00DD10CF">
              <w:rPr>
                <w:rFonts w:asciiTheme="majorHAnsi" w:hAnsiTheme="majorHAnsi" w:cstheme="majorHAnsi"/>
                <w:b/>
                <w:bCs/>
              </w:rPr>
              <w:t>LUCRO CESANTE (en favor de Diner Lame Zúñiga)</w:t>
            </w:r>
          </w:p>
          <w:p w14:paraId="4DD7B06B" w14:textId="77777777" w:rsidR="00DD10CF" w:rsidRDefault="00DD10CF" w:rsidP="00004712">
            <w:pPr>
              <w:spacing w:line="276" w:lineRule="auto"/>
              <w:jc w:val="both"/>
              <w:rPr>
                <w:rFonts w:asciiTheme="majorHAnsi" w:hAnsiTheme="majorHAnsi" w:cstheme="majorHAnsi"/>
                <w:b/>
                <w:bCs/>
              </w:rPr>
            </w:pPr>
          </w:p>
          <w:p w14:paraId="1A59B497" w14:textId="77777777" w:rsidR="00DD10CF" w:rsidRDefault="00DD10CF" w:rsidP="00DD10CF">
            <w:pPr>
              <w:jc w:val="both"/>
            </w:pPr>
            <w:r>
              <w:t>Lucro cesante: $47.791.927</w:t>
            </w:r>
          </w:p>
          <w:p w14:paraId="62B110D8" w14:textId="77777777" w:rsidR="00DD10CF" w:rsidRDefault="00DD10CF" w:rsidP="00DD10CF">
            <w:pPr>
              <w:jc w:val="both"/>
            </w:pPr>
          </w:p>
          <w:p w14:paraId="7E71C8F6" w14:textId="77777777" w:rsidR="00DD10CF" w:rsidRDefault="00DD10CF" w:rsidP="00DD10CF">
            <w:pPr>
              <w:jc w:val="both"/>
            </w:pPr>
            <w:r>
              <w:t xml:space="preserve">Para liquidar este rubro de pretensiones se tendrá en cuenta los siguientes factores objetivos: </w:t>
            </w:r>
          </w:p>
          <w:p w14:paraId="5FCA95F9" w14:textId="77777777" w:rsidR="00DD10CF" w:rsidRDefault="00DD10CF" w:rsidP="00DD10CF"/>
          <w:p w14:paraId="6E3789D7" w14:textId="77777777" w:rsidR="00DD10CF" w:rsidRDefault="00DD10CF" w:rsidP="00DD10CF">
            <w:pPr>
              <w:pStyle w:val="Prrafodelista"/>
              <w:numPr>
                <w:ilvl w:val="0"/>
                <w:numId w:val="12"/>
              </w:numPr>
              <w:spacing w:line="279" w:lineRule="auto"/>
            </w:pPr>
            <w:r>
              <w:t>Fecha de nacimiento de la víctima: 21/11/1977</w:t>
            </w:r>
          </w:p>
          <w:p w14:paraId="63AFDC56" w14:textId="77777777" w:rsidR="00DD10CF" w:rsidRDefault="00DD10CF" w:rsidP="00DD10CF">
            <w:pPr>
              <w:pStyle w:val="Prrafodelista"/>
              <w:numPr>
                <w:ilvl w:val="0"/>
                <w:numId w:val="12"/>
              </w:numPr>
              <w:spacing w:line="279" w:lineRule="auto"/>
            </w:pPr>
            <w:r>
              <w:t>Edad a la fecha de ocurrencia de los hechos: 43 años</w:t>
            </w:r>
          </w:p>
          <w:p w14:paraId="6CA4CA59" w14:textId="77777777" w:rsidR="00DD10CF" w:rsidRDefault="00DD10CF" w:rsidP="00DD10CF">
            <w:pPr>
              <w:pStyle w:val="Prrafodelista"/>
              <w:numPr>
                <w:ilvl w:val="0"/>
                <w:numId w:val="12"/>
              </w:numPr>
              <w:spacing w:line="279" w:lineRule="auto"/>
            </w:pPr>
            <w:r>
              <w:t>Expectativa de vida (resolución 1555 de 2010): 42.8 años (513.6)</w:t>
            </w:r>
          </w:p>
          <w:p w14:paraId="08F3A2E2" w14:textId="77777777" w:rsidR="00DD10CF" w:rsidRDefault="00DD10CF" w:rsidP="00DD10CF">
            <w:pPr>
              <w:pStyle w:val="Prrafodelista"/>
              <w:numPr>
                <w:ilvl w:val="0"/>
                <w:numId w:val="12"/>
              </w:numPr>
              <w:spacing w:line="279" w:lineRule="auto"/>
            </w:pPr>
            <w:r>
              <w:t>Reclamante: la víctima directa</w:t>
            </w:r>
          </w:p>
          <w:p w14:paraId="05BC76F8" w14:textId="77777777" w:rsidR="00DD10CF" w:rsidRDefault="00DD10CF" w:rsidP="00DD10CF">
            <w:pPr>
              <w:pStyle w:val="Prrafodelista"/>
              <w:numPr>
                <w:ilvl w:val="0"/>
                <w:numId w:val="12"/>
              </w:numPr>
              <w:spacing w:line="279" w:lineRule="auto"/>
            </w:pPr>
            <w:r>
              <w:t>Ingreso: $908.526 (</w:t>
            </w:r>
            <w:proofErr w:type="spellStart"/>
            <w:r>
              <w:t>smlmv</w:t>
            </w:r>
            <w:proofErr w:type="spellEnd"/>
            <w:r>
              <w:t xml:space="preserve"> vigente para la fecha de ocurrencia de los hechos</w:t>
            </w:r>
          </w:p>
          <w:p w14:paraId="2A2CCAC8" w14:textId="77777777" w:rsidR="00DD10CF" w:rsidRDefault="00DD10CF" w:rsidP="00DD10CF">
            <w:pPr>
              <w:pStyle w:val="Prrafodelista"/>
              <w:numPr>
                <w:ilvl w:val="0"/>
                <w:numId w:val="12"/>
              </w:numPr>
              <w:spacing w:line="279" w:lineRule="auto"/>
            </w:pPr>
            <w:r>
              <w:t>Sin factor prestacional. No se ha acreditado relación mediada por un contrato de trabajo</w:t>
            </w:r>
          </w:p>
          <w:p w14:paraId="136C2776" w14:textId="77777777" w:rsidR="00DD10CF" w:rsidRDefault="00DD10CF" w:rsidP="00DD10CF">
            <w:pPr>
              <w:pStyle w:val="Prrafodelista"/>
              <w:numPr>
                <w:ilvl w:val="0"/>
                <w:numId w:val="12"/>
              </w:numPr>
              <w:spacing w:line="279" w:lineRule="auto"/>
            </w:pPr>
            <w:r>
              <w:t>Ingreso indexado: $1.220.888,56</w:t>
            </w:r>
          </w:p>
          <w:p w14:paraId="37329450" w14:textId="77777777" w:rsidR="00DD10CF" w:rsidRDefault="00DD10CF" w:rsidP="00DD10CF">
            <w:pPr>
              <w:pStyle w:val="Prrafodelista"/>
              <w:numPr>
                <w:ilvl w:val="0"/>
                <w:numId w:val="12"/>
              </w:numPr>
              <w:spacing w:line="279" w:lineRule="auto"/>
            </w:pPr>
            <w:r>
              <w:t>Porcentaje PCL: 17%</w:t>
            </w:r>
          </w:p>
          <w:p w14:paraId="2A708E9D" w14:textId="77777777" w:rsidR="00DD10CF" w:rsidRDefault="00DD10CF" w:rsidP="00DD10CF">
            <w:pPr>
              <w:pStyle w:val="Prrafodelista"/>
              <w:numPr>
                <w:ilvl w:val="0"/>
                <w:numId w:val="12"/>
              </w:numPr>
              <w:spacing w:line="279" w:lineRule="auto"/>
            </w:pPr>
            <w:r>
              <w:t>IBL: $207.551</w:t>
            </w:r>
          </w:p>
          <w:p w14:paraId="3B1BF6CD" w14:textId="77777777" w:rsidR="00DD10CF" w:rsidRDefault="00DD10CF" w:rsidP="00DD10CF">
            <w:pPr>
              <w:pStyle w:val="Prrafodelista"/>
              <w:numPr>
                <w:ilvl w:val="0"/>
                <w:numId w:val="12"/>
              </w:numPr>
              <w:spacing w:line="279" w:lineRule="auto"/>
            </w:pPr>
            <w:r>
              <w:t>Periodo lucro cesante consolidado: 41.23 meses</w:t>
            </w:r>
          </w:p>
          <w:p w14:paraId="3AD7E12D" w14:textId="77777777" w:rsidR="00DD10CF" w:rsidRDefault="00DD10CF" w:rsidP="00DD10CF">
            <w:pPr>
              <w:pStyle w:val="Prrafodelista"/>
              <w:numPr>
                <w:ilvl w:val="0"/>
                <w:numId w:val="12"/>
              </w:numPr>
              <w:spacing w:line="279" w:lineRule="auto"/>
            </w:pPr>
            <w:r>
              <w:t>Periodo lucro cesante futuro: expectativa de vida – periodo consolidado: 472.37 meses</w:t>
            </w:r>
          </w:p>
          <w:p w14:paraId="400B67F4" w14:textId="77777777" w:rsidR="00DD10CF" w:rsidRDefault="00DD10CF" w:rsidP="00DD10CF">
            <w:pPr>
              <w:pStyle w:val="Prrafodelista"/>
              <w:spacing w:line="279" w:lineRule="auto"/>
            </w:pPr>
          </w:p>
          <w:p w14:paraId="06E658DD" w14:textId="77777777" w:rsidR="00DD10CF" w:rsidRDefault="00DD10CF" w:rsidP="00DD10CF">
            <w:r w:rsidRPr="70B29200">
              <w:rPr>
                <w:b/>
                <w:bCs/>
              </w:rPr>
              <w:t xml:space="preserve">Lucro cesante consolidado: </w:t>
            </w:r>
            <w:r>
              <w:t>$9.450.979</w:t>
            </w:r>
          </w:p>
          <w:p w14:paraId="4DEBBDC6" w14:textId="77777777" w:rsidR="00DD10CF" w:rsidRPr="00602B5E" w:rsidRDefault="00DD10CF" w:rsidP="00DD10CF">
            <w:r w:rsidRPr="70B29200">
              <w:rPr>
                <w:b/>
                <w:bCs/>
              </w:rPr>
              <w:t xml:space="preserve">Lucro cesante futuro: </w:t>
            </w:r>
            <w:r>
              <w:t>$38.340.948</w:t>
            </w:r>
          </w:p>
          <w:p w14:paraId="697E41A8" w14:textId="77777777" w:rsidR="00DD10CF" w:rsidRPr="00DD10CF" w:rsidRDefault="00DD10CF" w:rsidP="00004712">
            <w:pPr>
              <w:spacing w:line="276" w:lineRule="auto"/>
              <w:jc w:val="both"/>
              <w:rPr>
                <w:rFonts w:asciiTheme="majorHAnsi" w:hAnsiTheme="majorHAnsi" w:cstheme="majorHAnsi"/>
                <w:b/>
                <w:bCs/>
              </w:rPr>
            </w:pPr>
          </w:p>
          <w:p w14:paraId="00DA1A66" w14:textId="37520DFC" w:rsidR="0057097F" w:rsidRPr="00187D28" w:rsidRDefault="0057097F">
            <w:pPr>
              <w:spacing w:line="276" w:lineRule="auto"/>
              <w:jc w:val="both"/>
              <w:rPr>
                <w:rFonts w:asciiTheme="majorHAnsi" w:hAnsiTheme="majorHAnsi" w:cstheme="majorHAnsi"/>
              </w:rPr>
            </w:pPr>
          </w:p>
          <w:p w14:paraId="5348204A" w14:textId="31F29F2D" w:rsidR="77DD67C5" w:rsidRPr="00DD10CF" w:rsidRDefault="77DD67C5" w:rsidP="00DD10CF">
            <w:pPr>
              <w:pStyle w:val="Prrafodelista"/>
              <w:numPr>
                <w:ilvl w:val="0"/>
                <w:numId w:val="13"/>
              </w:numPr>
              <w:spacing w:line="276" w:lineRule="auto"/>
              <w:jc w:val="both"/>
              <w:rPr>
                <w:rFonts w:asciiTheme="majorHAnsi" w:hAnsiTheme="majorHAnsi" w:cstheme="majorHAnsi"/>
                <w:b/>
                <w:bCs/>
              </w:rPr>
            </w:pPr>
            <w:r w:rsidRPr="00DD10CF">
              <w:rPr>
                <w:rFonts w:asciiTheme="majorHAnsi" w:hAnsiTheme="majorHAnsi" w:cstheme="majorHAnsi"/>
                <w:b/>
                <w:bCs/>
              </w:rPr>
              <w:t>DAÑO MORAL</w:t>
            </w:r>
            <w:r w:rsidR="0C995684" w:rsidRPr="00DD10CF">
              <w:rPr>
                <w:rFonts w:asciiTheme="majorHAnsi" w:hAnsiTheme="majorHAnsi" w:cstheme="majorHAnsi"/>
                <w:b/>
                <w:bCs/>
              </w:rPr>
              <w:t xml:space="preserve"> (</w:t>
            </w:r>
            <w:r w:rsidR="00DD10CF">
              <w:rPr>
                <w:rFonts w:asciiTheme="majorHAnsi" w:hAnsiTheme="majorHAnsi" w:cstheme="majorHAnsi"/>
                <w:b/>
                <w:bCs/>
              </w:rPr>
              <w:t>en favor de Diner Lame Zúñiga, su compañero permanente y sus hijos</w:t>
            </w:r>
            <w:r w:rsidR="0C995684" w:rsidRPr="00DD10CF">
              <w:rPr>
                <w:rFonts w:asciiTheme="majorHAnsi" w:hAnsiTheme="majorHAnsi" w:cstheme="majorHAnsi"/>
                <w:b/>
                <w:bCs/>
              </w:rPr>
              <w:t>):</w:t>
            </w:r>
          </w:p>
          <w:p w14:paraId="57F1142A" w14:textId="77777777" w:rsidR="00A77D7E" w:rsidRPr="00187D28" w:rsidRDefault="00A77D7E">
            <w:pPr>
              <w:spacing w:line="276" w:lineRule="auto"/>
              <w:jc w:val="both"/>
              <w:rPr>
                <w:rFonts w:asciiTheme="majorHAnsi" w:hAnsiTheme="majorHAnsi" w:cstheme="majorHAnsi"/>
                <w:b/>
                <w:bCs/>
              </w:rPr>
            </w:pPr>
          </w:p>
          <w:p w14:paraId="750D8BE2" w14:textId="6C54B958" w:rsidR="00DD10CF" w:rsidRDefault="007A7FD9" w:rsidP="00DD10CF">
            <w:pPr>
              <w:jc w:val="both"/>
            </w:pPr>
            <w:r>
              <w:t>$</w:t>
            </w:r>
            <w:r w:rsidR="00DD10CF">
              <w:t>85.410.000. La indemnización por concepto de daño moral se estima en 15 salario mínimos para la señora Diner Lame Zúñiga, 15 salarios mínimos para su compañero permanente y 15 salarios mínimos para cada uno de sus hijos, esto teniendo en cuenta por un lado el dictamen de pérdida de capacidad laboral que le otorgó un porcentaje de PCL del 17%, y a la vez el último dictamen pericial de clínica</w:t>
            </w:r>
            <w:r w:rsidR="00F23673">
              <w:t xml:space="preserve"> emitido por el Instituto Colombiano de Medicina Legal se consignó una incapacidad médico legal definitiva de 100 días.</w:t>
            </w:r>
            <w:r w:rsidR="00DD10CF">
              <w:t xml:space="preserve"> </w:t>
            </w:r>
          </w:p>
          <w:p w14:paraId="699CFCE3" w14:textId="49F6A846" w:rsidR="0057097F" w:rsidRPr="00187D28" w:rsidRDefault="0057097F">
            <w:pPr>
              <w:spacing w:line="276" w:lineRule="auto"/>
              <w:jc w:val="both"/>
              <w:rPr>
                <w:rFonts w:asciiTheme="majorHAnsi" w:hAnsiTheme="majorHAnsi" w:cstheme="majorHAnsi"/>
              </w:rPr>
            </w:pPr>
          </w:p>
          <w:p w14:paraId="24899F07" w14:textId="30CFD1AD" w:rsidR="00A77D7E" w:rsidRPr="00DD10CF" w:rsidRDefault="00A77D7E" w:rsidP="00DD10CF">
            <w:pPr>
              <w:pStyle w:val="Prrafodelista"/>
              <w:numPr>
                <w:ilvl w:val="0"/>
                <w:numId w:val="13"/>
              </w:numPr>
              <w:spacing w:line="276" w:lineRule="auto"/>
              <w:jc w:val="both"/>
              <w:rPr>
                <w:rFonts w:asciiTheme="majorHAnsi" w:hAnsiTheme="majorHAnsi" w:cstheme="majorHAnsi"/>
                <w:b/>
                <w:bCs/>
              </w:rPr>
            </w:pPr>
            <w:r w:rsidRPr="00DD10CF">
              <w:rPr>
                <w:rFonts w:asciiTheme="majorHAnsi" w:hAnsiTheme="majorHAnsi" w:cstheme="majorHAnsi"/>
                <w:b/>
                <w:bCs/>
              </w:rPr>
              <w:t xml:space="preserve">DAÑO </w:t>
            </w:r>
            <w:r w:rsidR="00680B69" w:rsidRPr="00DD10CF">
              <w:rPr>
                <w:rFonts w:asciiTheme="majorHAnsi" w:hAnsiTheme="majorHAnsi" w:cstheme="majorHAnsi"/>
                <w:b/>
                <w:bCs/>
              </w:rPr>
              <w:t>A LA VIDA EN RELACIÓN</w:t>
            </w:r>
            <w:r w:rsidR="00DD10CF" w:rsidRPr="00DD10CF">
              <w:rPr>
                <w:rFonts w:asciiTheme="majorHAnsi" w:hAnsiTheme="majorHAnsi" w:cstheme="majorHAnsi"/>
                <w:b/>
                <w:bCs/>
              </w:rPr>
              <w:t xml:space="preserve"> (en favor de Diner Lame Zúñiga como víctima directa</w:t>
            </w:r>
            <w:r w:rsidRPr="00DD10CF">
              <w:rPr>
                <w:rFonts w:asciiTheme="majorHAnsi" w:hAnsiTheme="majorHAnsi" w:cstheme="majorHAnsi"/>
                <w:b/>
                <w:bCs/>
              </w:rPr>
              <w:t>):</w:t>
            </w:r>
          </w:p>
          <w:p w14:paraId="1F754D3E" w14:textId="77777777" w:rsidR="00A77D7E" w:rsidRPr="00187D28" w:rsidRDefault="00A77D7E">
            <w:pPr>
              <w:spacing w:line="276" w:lineRule="auto"/>
              <w:jc w:val="both"/>
              <w:rPr>
                <w:rFonts w:asciiTheme="majorHAnsi" w:hAnsiTheme="majorHAnsi" w:cstheme="majorHAnsi"/>
              </w:rPr>
            </w:pPr>
          </w:p>
          <w:p w14:paraId="64413BD0" w14:textId="31D84DFF" w:rsidR="00DD10CF" w:rsidRPr="00156F3F" w:rsidRDefault="00DD10CF" w:rsidP="00DD10CF">
            <w:pPr>
              <w:jc w:val="both"/>
            </w:pPr>
            <w:r>
              <w:t>$</w:t>
            </w:r>
            <w:r w:rsidR="007A7FD9">
              <w:t>79.716.000</w:t>
            </w:r>
            <w:r>
              <w:t>. Se reconocerá este rubro en favor de la señora Diner Lame Zúñiga</w:t>
            </w:r>
            <w:r w:rsidR="007A7FD9">
              <w:t>, su compañero permanente y cada uno de sus hijos por valor de 14 SMLMV para cada uno</w:t>
            </w:r>
            <w:r>
              <w:t xml:space="preserve">, y únicamente frente a esta teniendo en cuenta lo siguiente: la señora Diner Lame Zúñiga presenta perturbación de miembro inferior de carácter transitorio, perturbación funcional de órgano sistema de la locomoción de carácter transitorio; perturbación funcional de órgano de sistema musculoesquelético y axial de carácter transitorio. Es decir, no presenta ni afectaciones graves que impidan actividades esenciales de la vida, deformidad facial, pérdida parcial de órganos de los sentidos, y no se trata de un fallecimiento, por lo cual se estaría ante el último escenario descrito por la Corte Suprema de Justicia en la Sentencia SC072-2025 </w:t>
            </w:r>
            <w:r>
              <w:rPr>
                <w:i/>
                <w:iCs/>
              </w:rPr>
              <w:t xml:space="preserve">“otras afectaciones en el cuerpo”. </w:t>
            </w:r>
            <w:r>
              <w:t xml:space="preserve">En este caso, el porcentaje indicativo en comparación del máximo parámetro indemnizatorio está entre el 3% y el 15%.  No se liquida este rubro en favor de los demás </w:t>
            </w:r>
            <w:r>
              <w:lastRenderedPageBreak/>
              <w:t xml:space="preserve">demandantes, pues según el cuadro contenido en la providencia en comento, la única víctima a indemnizar por este rubro es la persona con afectaciones en su cuerpo. </w:t>
            </w:r>
          </w:p>
          <w:p w14:paraId="3528E2E9" w14:textId="73F18A87" w:rsidR="00A77D7E" w:rsidRPr="00187D28" w:rsidRDefault="00A77D7E">
            <w:pPr>
              <w:spacing w:line="276" w:lineRule="auto"/>
              <w:jc w:val="both"/>
              <w:rPr>
                <w:rFonts w:asciiTheme="majorHAnsi" w:hAnsiTheme="majorHAnsi" w:cstheme="majorHAnsi"/>
              </w:rPr>
            </w:pPr>
          </w:p>
          <w:p w14:paraId="088109FF" w14:textId="32C882A4" w:rsidR="00187D28" w:rsidRPr="00187D28" w:rsidRDefault="00187D28">
            <w:pPr>
              <w:spacing w:line="276" w:lineRule="auto"/>
              <w:jc w:val="both"/>
              <w:rPr>
                <w:rFonts w:asciiTheme="majorHAnsi" w:hAnsiTheme="majorHAnsi" w:cstheme="majorHAnsi"/>
              </w:rPr>
            </w:pPr>
          </w:p>
          <w:p w14:paraId="656901AF" w14:textId="2EE03FCA" w:rsidR="00187D28" w:rsidRPr="00DD10CF" w:rsidRDefault="00187D28" w:rsidP="00DD10CF">
            <w:pPr>
              <w:pStyle w:val="Prrafodelista"/>
              <w:numPr>
                <w:ilvl w:val="0"/>
                <w:numId w:val="13"/>
              </w:numPr>
              <w:spacing w:line="276" w:lineRule="auto"/>
              <w:jc w:val="both"/>
              <w:rPr>
                <w:rFonts w:asciiTheme="majorHAnsi" w:hAnsiTheme="majorHAnsi" w:cstheme="majorHAnsi"/>
              </w:rPr>
            </w:pPr>
            <w:r w:rsidRPr="00DD10CF">
              <w:rPr>
                <w:rFonts w:asciiTheme="majorHAnsi" w:hAnsiTheme="majorHAnsi" w:cstheme="majorHAnsi"/>
                <w:b/>
                <w:bCs/>
              </w:rPr>
              <w:t xml:space="preserve">Daño a la salud (en favor de la masa herencial de la señora María Isabel Londoño): </w:t>
            </w:r>
            <w:r w:rsidRPr="00DD10CF">
              <w:rPr>
                <w:rFonts w:asciiTheme="majorHAnsi" w:hAnsiTheme="majorHAnsi" w:cstheme="majorHAnsi"/>
              </w:rPr>
              <w:t xml:space="preserve">no se reconoce por ser un rubro de daños inmateriales impropio de la </w:t>
            </w:r>
            <w:r w:rsidR="00DD10CF">
              <w:rPr>
                <w:rFonts w:asciiTheme="majorHAnsi" w:hAnsiTheme="majorHAnsi" w:cstheme="majorHAnsi"/>
              </w:rPr>
              <w:t xml:space="preserve">clase de asunto que se discute. </w:t>
            </w:r>
            <w:r w:rsidRPr="00DD10CF">
              <w:rPr>
                <w:rFonts w:asciiTheme="majorHAnsi" w:hAnsiTheme="majorHAnsi" w:cstheme="majorHAnsi"/>
              </w:rPr>
              <w:t xml:space="preserve"> </w:t>
            </w:r>
            <w:r w:rsidR="00DD10CF">
              <w:rPr>
                <w:rFonts w:asciiTheme="majorHAnsi" w:hAnsiTheme="majorHAnsi" w:cstheme="majorHAnsi"/>
              </w:rPr>
              <w:t xml:space="preserve"> </w:t>
            </w:r>
          </w:p>
          <w:p w14:paraId="70C9829A" w14:textId="77777777" w:rsidR="00A77D7E" w:rsidRPr="00187D28" w:rsidRDefault="00A77D7E">
            <w:pPr>
              <w:spacing w:line="276" w:lineRule="auto"/>
              <w:jc w:val="both"/>
              <w:rPr>
                <w:rFonts w:asciiTheme="majorHAnsi" w:hAnsiTheme="majorHAnsi" w:cstheme="majorHAnsi"/>
              </w:rPr>
            </w:pPr>
          </w:p>
          <w:p w14:paraId="738824E5" w14:textId="66BCE813" w:rsidR="0057097F" w:rsidRPr="00187D28" w:rsidRDefault="46C6FF85">
            <w:pPr>
              <w:spacing w:line="276" w:lineRule="auto"/>
              <w:jc w:val="both"/>
              <w:rPr>
                <w:rFonts w:asciiTheme="majorHAnsi" w:hAnsiTheme="majorHAnsi" w:cstheme="majorHAnsi"/>
              </w:rPr>
            </w:pPr>
            <w:r w:rsidRPr="00187D28">
              <w:rPr>
                <w:rFonts w:asciiTheme="majorHAnsi" w:hAnsiTheme="majorHAnsi" w:cstheme="majorHAnsi"/>
              </w:rPr>
              <w:t>Dicho valor se encuentra contenido en la suma asegurable, pues el límite asegurado es de $</w:t>
            </w:r>
            <w:r w:rsidR="00DD10CF">
              <w:rPr>
                <w:rFonts w:asciiTheme="majorHAnsi" w:hAnsiTheme="majorHAnsi" w:cstheme="majorHAnsi"/>
              </w:rPr>
              <w:t>4</w:t>
            </w:r>
            <w:r w:rsidR="00A77D7E" w:rsidRPr="00187D28">
              <w:rPr>
                <w:rFonts w:asciiTheme="majorHAnsi" w:hAnsiTheme="majorHAnsi" w:cstheme="majorHAnsi"/>
              </w:rPr>
              <w:t>.</w:t>
            </w:r>
            <w:r w:rsidR="00DD10CF">
              <w:rPr>
                <w:rFonts w:asciiTheme="majorHAnsi" w:hAnsiTheme="majorHAnsi" w:cstheme="majorHAnsi"/>
              </w:rPr>
              <w:t>0</w:t>
            </w:r>
            <w:r w:rsidR="00A77D7E" w:rsidRPr="00187D28">
              <w:rPr>
                <w:rFonts w:asciiTheme="majorHAnsi" w:hAnsiTheme="majorHAnsi" w:cstheme="majorHAnsi"/>
              </w:rPr>
              <w:t>00.000.000</w:t>
            </w:r>
            <w:r w:rsidRPr="00187D28">
              <w:rPr>
                <w:rFonts w:asciiTheme="majorHAnsi" w:hAnsiTheme="majorHAnsi" w:cstheme="majorHAnsi"/>
              </w:rPr>
              <w:t>, sin existir deducible pactado.</w:t>
            </w:r>
          </w:p>
          <w:p w14:paraId="500322F0" w14:textId="28A5CDA0" w:rsidR="0057097F" w:rsidRPr="00187D28" w:rsidRDefault="0057097F" w:rsidP="004005B9">
            <w:pPr>
              <w:spacing w:line="276" w:lineRule="auto"/>
              <w:rPr>
                <w:rFonts w:asciiTheme="majorHAnsi" w:hAnsiTheme="majorHAnsi" w:cstheme="majorHAnsi"/>
              </w:rPr>
            </w:pPr>
          </w:p>
        </w:tc>
      </w:tr>
      <w:tr w:rsidR="0057097F" w:rsidRPr="00004712" w14:paraId="500322F4" w14:textId="77777777" w:rsidTr="75020658">
        <w:tc>
          <w:tcPr>
            <w:tcW w:w="6000" w:type="dxa"/>
            <w:shd w:val="clear" w:color="auto" w:fill="D9D9D9" w:themeFill="background1" w:themeFillShade="D9"/>
          </w:tcPr>
          <w:p w14:paraId="500322F2"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Calificación de la contingencia:</w:t>
            </w:r>
          </w:p>
        </w:tc>
        <w:tc>
          <w:tcPr>
            <w:tcW w:w="4410" w:type="dxa"/>
          </w:tcPr>
          <w:p w14:paraId="500322F3" w14:textId="6032ED69" w:rsidR="00E275BB" w:rsidRPr="004005B9" w:rsidRDefault="001354DA" w:rsidP="004005B9">
            <w:pPr>
              <w:spacing w:line="276" w:lineRule="auto"/>
              <w:jc w:val="both"/>
              <w:rPr>
                <w:rFonts w:asciiTheme="majorHAnsi" w:hAnsiTheme="majorHAnsi" w:cstheme="majorHAnsi"/>
              </w:rPr>
            </w:pPr>
            <w:r>
              <w:rPr>
                <w:rFonts w:asciiTheme="majorHAnsi" w:hAnsiTheme="majorHAnsi" w:cstheme="majorHAnsi"/>
              </w:rPr>
              <w:t>PROBABLE</w:t>
            </w:r>
          </w:p>
        </w:tc>
      </w:tr>
      <w:tr w:rsidR="0057097F" w:rsidRPr="00004712" w14:paraId="500322F7" w14:textId="77777777" w:rsidTr="75020658">
        <w:tc>
          <w:tcPr>
            <w:tcW w:w="6000" w:type="dxa"/>
            <w:shd w:val="clear" w:color="auto" w:fill="D9D9D9" w:themeFill="background1" w:themeFillShade="D9"/>
          </w:tcPr>
          <w:p w14:paraId="500322F5"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Motivos de la calificación:</w:t>
            </w:r>
          </w:p>
        </w:tc>
        <w:tc>
          <w:tcPr>
            <w:tcW w:w="4410" w:type="dxa"/>
          </w:tcPr>
          <w:p w14:paraId="234235D2" w14:textId="60E6E5BB" w:rsidR="0022265D" w:rsidRDefault="0022265D" w:rsidP="0022265D">
            <w:pPr>
              <w:jc w:val="both"/>
            </w:pPr>
            <w:r>
              <w:t xml:space="preserve">En el presente asunto la contingencia se califica como </w:t>
            </w:r>
            <w:r>
              <w:rPr>
                <w:b/>
                <w:bCs/>
                <w:u w:val="single"/>
              </w:rPr>
              <w:t>PROBABLE</w:t>
            </w:r>
            <w:r>
              <w:t xml:space="preserve"> como quiera que la póliza presta cobertura material y temporal para los hechos materia de litigo</w:t>
            </w:r>
            <w:r w:rsidR="001871B7">
              <w:t>.</w:t>
            </w:r>
            <w:r>
              <w:t xml:space="preserve"> </w:t>
            </w:r>
            <w:r w:rsidR="001871B7">
              <w:t xml:space="preserve">Así mismo, </w:t>
            </w:r>
            <w:r>
              <w:t xml:space="preserve">la responsabilidad civil del asegurado se encuentra </w:t>
            </w:r>
            <w:r w:rsidR="001871B7">
              <w:t>acreditada.</w:t>
            </w:r>
            <w:r>
              <w:t xml:space="preserve"> </w:t>
            </w:r>
          </w:p>
          <w:p w14:paraId="04CFDEC7" w14:textId="77777777" w:rsidR="001871B7" w:rsidRDefault="001871B7" w:rsidP="0022265D">
            <w:pPr>
              <w:jc w:val="both"/>
            </w:pPr>
          </w:p>
          <w:p w14:paraId="27D808DD" w14:textId="10213BAC" w:rsidR="001871B7" w:rsidRDefault="001871B7" w:rsidP="0022265D">
            <w:pPr>
              <w:jc w:val="both"/>
            </w:pPr>
            <w:r>
              <w:t xml:space="preserve">En primera medida frente a la Póliza de Seguro de Automóviles NO. 4062634, cuya asegurada es la señora Paola Andrea Centeno, presta </w:t>
            </w:r>
            <w:r w:rsidR="0022265D">
              <w:t xml:space="preserve">cobertura </w:t>
            </w:r>
            <w:r>
              <w:t xml:space="preserve">material y temporal </w:t>
            </w:r>
            <w:r w:rsidR="0022265D">
              <w:t xml:space="preserve">de </w:t>
            </w:r>
            <w:r>
              <w:t xml:space="preserve">conformidad con los hechos y pretensiones expuestos en la demanda. Frente a la cobertura temporal, debe considerarse que el accidente de tránsito se presentó el 28 de octubre del 2021. Esto es, dentro de la delimitación </w:t>
            </w:r>
            <w:r w:rsidR="00E6202D">
              <w:t>temporal de</w:t>
            </w:r>
            <w:r>
              <w:t xml:space="preserve"> la póliza, comprendida </w:t>
            </w:r>
            <w:r w:rsidR="0022265D">
              <w:t>entre el 01</w:t>
            </w:r>
            <w:r>
              <w:t xml:space="preserve"> de octubre de </w:t>
            </w:r>
            <w:r w:rsidR="0022265D">
              <w:t>2021 y el 01</w:t>
            </w:r>
            <w:r>
              <w:t xml:space="preserve"> de octubre del </w:t>
            </w:r>
            <w:r w:rsidR="0022265D">
              <w:t xml:space="preserve">2022. De otro lado, la </w:t>
            </w:r>
            <w:r w:rsidR="00E6202D">
              <w:t xml:space="preserve">póliza en mención presta cobertura </w:t>
            </w:r>
            <w:r w:rsidR="0022265D">
              <w:t>material</w:t>
            </w:r>
            <w:r w:rsidR="00E6202D">
              <w:t>, en tanto ampara la responsabilidad civil extracontractual</w:t>
            </w:r>
            <w:r w:rsidR="0022265D">
              <w:t xml:space="preserve"> </w:t>
            </w:r>
            <w:r w:rsidR="00E6202D">
              <w:t xml:space="preserve">de la asegurada, </w:t>
            </w:r>
            <w:r w:rsidR="0022265D">
              <w:t>siendo este precisamente el objeto del litigio.</w:t>
            </w:r>
          </w:p>
          <w:p w14:paraId="3E177070" w14:textId="35A220FB" w:rsidR="0022265D" w:rsidRDefault="0022265D" w:rsidP="0022265D">
            <w:pPr>
              <w:jc w:val="both"/>
            </w:pPr>
            <w:r>
              <w:t xml:space="preserve"> </w:t>
            </w:r>
          </w:p>
          <w:p w14:paraId="2441468A" w14:textId="44423466" w:rsidR="0022265D" w:rsidRDefault="0022265D" w:rsidP="0022265D">
            <w:pPr>
              <w:jc w:val="both"/>
            </w:pPr>
            <w:r>
              <w:t xml:space="preserve">De otro lado, frente a la responsabilidad del asegurado, debemos indicar que se encuentra </w:t>
            </w:r>
            <w:r w:rsidR="005A694A">
              <w:t xml:space="preserve">acreditada. En primera medida, </w:t>
            </w:r>
            <w:r>
              <w:t xml:space="preserve">con la demanda se aportó el Informe Policial de Tránsito en el cual se codificó al vehículo 004 (vehículo asegurado) con </w:t>
            </w:r>
            <w:r w:rsidR="005A694A">
              <w:t xml:space="preserve">la hipótesis No. </w:t>
            </w:r>
            <w:r>
              <w:t>157</w:t>
            </w:r>
            <w:r w:rsidR="009A1AC9">
              <w:t xml:space="preserve"> y </w:t>
            </w:r>
            <w:r w:rsidR="009A1AC9">
              <w:lastRenderedPageBreak/>
              <w:t xml:space="preserve">precisa el agente de tránsito en dicho informe que el vehículo realizó una maniobra de adelantamiento en zona prohibida. </w:t>
            </w:r>
            <w:r w:rsidR="00F97966">
              <w:t xml:space="preserve">De otra parte, dentro del proceso no se encuentra acreditada ninguna causal que pueda eximir de responsabilidad al asegurado. </w:t>
            </w:r>
            <w:r w:rsidR="008C036E">
              <w:t xml:space="preserve">En ese sentido, y con base en el Informe Policial de Accidente de Tránsito, resulta clara la responsabilidad del asegurado en la ocurrencia del accidente de tránsito. </w:t>
            </w:r>
          </w:p>
          <w:p w14:paraId="052929A6" w14:textId="77777777" w:rsidR="0022265D" w:rsidRPr="00CB0279" w:rsidRDefault="0022265D" w:rsidP="0022265D">
            <w:pPr>
              <w:jc w:val="both"/>
            </w:pPr>
          </w:p>
          <w:p w14:paraId="50C2D55D" w14:textId="77777777" w:rsidR="0022265D" w:rsidRPr="0039029A" w:rsidRDefault="0022265D" w:rsidP="0022265D">
            <w:pPr>
              <w:jc w:val="both"/>
            </w:pPr>
            <w:r w:rsidRPr="0039029A">
              <w:t>Lo anterior sin perjuicio del carácter contingente de la calificación.</w:t>
            </w:r>
          </w:p>
          <w:p w14:paraId="500322F6" w14:textId="05405698" w:rsidR="00A064DB" w:rsidRPr="004005B9" w:rsidRDefault="00A064DB" w:rsidP="004005B9">
            <w:pPr>
              <w:spacing w:line="276" w:lineRule="auto"/>
              <w:rPr>
                <w:rFonts w:asciiTheme="majorHAnsi" w:hAnsiTheme="majorHAnsi" w:cstheme="majorHAnsi"/>
                <w:color w:val="000000" w:themeColor="text1"/>
              </w:rPr>
            </w:pPr>
            <w:r w:rsidRPr="004005B9">
              <w:rPr>
                <w:rFonts w:asciiTheme="majorHAnsi" w:hAnsiTheme="majorHAnsi" w:cstheme="majorHAnsi"/>
                <w:color w:val="000000" w:themeColor="text1"/>
              </w:rPr>
              <w:t>.</w:t>
            </w:r>
          </w:p>
        </w:tc>
      </w:tr>
      <w:tr w:rsidR="0057097F" w:rsidRPr="00004712" w14:paraId="50032300" w14:textId="77777777" w:rsidTr="75020658">
        <w:tc>
          <w:tcPr>
            <w:tcW w:w="6000" w:type="dxa"/>
            <w:shd w:val="clear" w:color="auto" w:fill="D9D9D9" w:themeFill="background1" w:themeFillShade="D9"/>
          </w:tcPr>
          <w:p w14:paraId="500322F8"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Excepciones propuestas:</w:t>
            </w:r>
          </w:p>
        </w:tc>
        <w:tc>
          <w:tcPr>
            <w:tcW w:w="4410" w:type="dxa"/>
          </w:tcPr>
          <w:p w14:paraId="32D5DAB4" w14:textId="6F78732E" w:rsidR="000B7A27" w:rsidRDefault="000B7A27" w:rsidP="004005B9">
            <w:pPr>
              <w:spacing w:line="276" w:lineRule="auto"/>
              <w:jc w:val="both"/>
              <w:rPr>
                <w:rFonts w:asciiTheme="majorHAnsi" w:hAnsiTheme="majorHAnsi" w:cstheme="majorHAnsi"/>
              </w:rPr>
            </w:pPr>
            <w:r w:rsidRPr="004005B9">
              <w:rPr>
                <w:rFonts w:asciiTheme="majorHAnsi" w:hAnsiTheme="majorHAnsi" w:cstheme="majorHAnsi"/>
              </w:rPr>
              <w:t>EXCEPCIONES DE FONDO FRENTE A LA DEMANDA</w:t>
            </w:r>
            <w:r w:rsidR="0BAEC5E2" w:rsidRPr="004005B9">
              <w:rPr>
                <w:rFonts w:asciiTheme="majorHAnsi" w:hAnsiTheme="majorHAnsi" w:cstheme="majorHAnsi"/>
              </w:rPr>
              <w:t>:</w:t>
            </w:r>
          </w:p>
          <w:p w14:paraId="3B5B34F5" w14:textId="77777777" w:rsidR="0098050F" w:rsidRPr="004005B9" w:rsidRDefault="0098050F" w:rsidP="004005B9">
            <w:pPr>
              <w:spacing w:line="276" w:lineRule="auto"/>
              <w:jc w:val="both"/>
              <w:rPr>
                <w:rFonts w:asciiTheme="majorHAnsi" w:hAnsiTheme="majorHAnsi" w:cstheme="majorHAnsi"/>
              </w:rPr>
            </w:pPr>
          </w:p>
          <w:p w14:paraId="3D42C420" w14:textId="02C60DC0" w:rsidR="4989938B" w:rsidRPr="004005B9" w:rsidRDefault="4989938B" w:rsidP="004005B9">
            <w:pPr>
              <w:spacing w:line="276" w:lineRule="auto"/>
              <w:jc w:val="both"/>
              <w:rPr>
                <w:rFonts w:asciiTheme="majorHAnsi" w:hAnsiTheme="majorHAnsi" w:cstheme="majorHAnsi"/>
                <w:b/>
                <w:bCs/>
              </w:rPr>
            </w:pPr>
            <w:r w:rsidRPr="004005B9">
              <w:rPr>
                <w:rFonts w:asciiTheme="majorHAnsi" w:hAnsiTheme="majorHAnsi" w:cstheme="majorHAnsi"/>
                <w:b/>
                <w:bCs/>
              </w:rPr>
              <w:t>EXCEPCIONES DE FONDO FRENTE A LA INEXISTENTE RESPONSABILIDAD DERIVADA DEL ACCIDENTE DE TRÁNSITO.</w:t>
            </w:r>
          </w:p>
          <w:p w14:paraId="39865E04" w14:textId="08037BA6" w:rsidR="28CA36A8" w:rsidRPr="004005B9" w:rsidRDefault="28CA36A8" w:rsidP="004005B9">
            <w:pPr>
              <w:spacing w:line="276" w:lineRule="auto"/>
              <w:jc w:val="both"/>
              <w:rPr>
                <w:rFonts w:asciiTheme="majorHAnsi" w:eastAsiaTheme="minorEastAsia" w:hAnsiTheme="majorHAnsi" w:cstheme="majorHAnsi"/>
                <w:b/>
                <w:bCs/>
              </w:rPr>
            </w:pPr>
          </w:p>
          <w:p w14:paraId="7F519CBB" w14:textId="4F248595" w:rsidR="28CA36A8" w:rsidRPr="004D64E9" w:rsidRDefault="004D64E9"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t>Inexistencia de responsabilidad a cargo de los demandados por la falta de acreditación del nexo causal</w:t>
            </w:r>
          </w:p>
          <w:p w14:paraId="030C32B6" w14:textId="650629E2" w:rsidR="004D64E9" w:rsidRPr="004D64E9" w:rsidRDefault="004D64E9" w:rsidP="00D36E1C">
            <w:pPr>
              <w:pStyle w:val="Prrafodelista"/>
              <w:numPr>
                <w:ilvl w:val="0"/>
                <w:numId w:val="3"/>
              </w:numPr>
              <w:spacing w:line="276" w:lineRule="auto"/>
              <w:jc w:val="both"/>
              <w:rPr>
                <w:rFonts w:asciiTheme="majorHAnsi" w:hAnsiTheme="majorHAnsi" w:cstheme="majorHAnsi"/>
                <w:b/>
                <w:bCs/>
              </w:rPr>
            </w:pPr>
            <w:r>
              <w:rPr>
                <w:rFonts w:asciiTheme="majorHAnsi" w:eastAsiaTheme="minorEastAsia" w:hAnsiTheme="majorHAnsi" w:cstheme="majorHAnsi"/>
              </w:rPr>
              <w:t xml:space="preserve">Anulación de la presunción de culpa como consecuencia de la concurrencia de actividades peligrosas </w:t>
            </w:r>
          </w:p>
          <w:p w14:paraId="75730BBA" w14:textId="2D8C0354" w:rsidR="004D64E9" w:rsidRPr="004D64E9" w:rsidRDefault="004D64E9" w:rsidP="00D36E1C">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rPr>
              <w:t>Reducción de la indemnización como consecuencia de la incidencia de la conducta de la señora Diner Lame Zúñiga en la causación del daño</w:t>
            </w:r>
          </w:p>
          <w:p w14:paraId="151562A7" w14:textId="4AE2851A" w:rsidR="004D64E9" w:rsidRPr="004D64E9" w:rsidRDefault="004D64E9" w:rsidP="00D36E1C">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rPr>
              <w:t>Improcedencia del reconocimiento del daño emergente por falta de prueba</w:t>
            </w:r>
          </w:p>
          <w:p w14:paraId="1BE0D429" w14:textId="663B90A4" w:rsidR="004D64E9" w:rsidRPr="004D64E9" w:rsidRDefault="004D64E9" w:rsidP="00D36E1C">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rPr>
              <w:t xml:space="preserve">Improcedencia de reconocimiento del lucro cesante por falta de prueba del perjuicio alegado </w:t>
            </w:r>
          </w:p>
          <w:p w14:paraId="358FB12E" w14:textId="0AFB2EDE" w:rsidR="004D64E9" w:rsidRPr="004D64E9" w:rsidRDefault="004D64E9" w:rsidP="00D36E1C">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rPr>
              <w:t xml:space="preserve">Improcedencia de reconocimiento y tasación exorbitante del daño moral </w:t>
            </w:r>
          </w:p>
          <w:p w14:paraId="2E016779" w14:textId="1C1B6173" w:rsidR="004D64E9" w:rsidRPr="004D64E9" w:rsidRDefault="004D64E9" w:rsidP="00D36E1C">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rPr>
              <w:t xml:space="preserve">Improcedencia del reconocimiento del daño a la vida </w:t>
            </w:r>
            <w:proofErr w:type="gramStart"/>
            <w:r>
              <w:rPr>
                <w:rFonts w:asciiTheme="majorHAnsi" w:hAnsiTheme="majorHAnsi" w:cstheme="majorHAnsi"/>
              </w:rPr>
              <w:t>en relación al</w:t>
            </w:r>
            <w:proofErr w:type="gramEnd"/>
            <w:r>
              <w:rPr>
                <w:rFonts w:asciiTheme="majorHAnsi" w:hAnsiTheme="majorHAnsi" w:cstheme="majorHAnsi"/>
              </w:rPr>
              <w:t xml:space="preserve"> extremo actor </w:t>
            </w:r>
          </w:p>
          <w:p w14:paraId="11218209" w14:textId="01B0803A" w:rsidR="004D64E9" w:rsidRPr="00550890" w:rsidRDefault="004D64E9" w:rsidP="00D36E1C">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rPr>
              <w:t xml:space="preserve">Improcedencia del reconocimiento del daño a la salud </w:t>
            </w:r>
          </w:p>
          <w:p w14:paraId="798C687F" w14:textId="513DB223" w:rsidR="00550890" w:rsidRPr="00550890" w:rsidRDefault="00550890" w:rsidP="00D36E1C">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rPr>
              <w:lastRenderedPageBreak/>
              <w:t xml:space="preserve">Falta de legitimación en la causa por activa del señor José Ulpiano Vidal Idrobo </w:t>
            </w:r>
          </w:p>
          <w:p w14:paraId="43423D37" w14:textId="77777777" w:rsidR="00550890" w:rsidRPr="004D64E9" w:rsidRDefault="00550890" w:rsidP="00550890">
            <w:pPr>
              <w:pStyle w:val="Prrafodelista"/>
              <w:spacing w:line="276" w:lineRule="auto"/>
              <w:jc w:val="both"/>
              <w:rPr>
                <w:rFonts w:asciiTheme="majorHAnsi" w:hAnsiTheme="majorHAnsi" w:cstheme="majorHAnsi"/>
                <w:b/>
                <w:bCs/>
              </w:rPr>
            </w:pPr>
          </w:p>
          <w:p w14:paraId="35F05CA6" w14:textId="41A4F672" w:rsidR="4989938B" w:rsidRPr="004005B9" w:rsidRDefault="4989938B" w:rsidP="004005B9">
            <w:pPr>
              <w:spacing w:line="276" w:lineRule="auto"/>
              <w:jc w:val="both"/>
              <w:rPr>
                <w:rFonts w:asciiTheme="majorHAnsi" w:hAnsiTheme="majorHAnsi" w:cstheme="majorHAnsi"/>
                <w:b/>
                <w:bCs/>
              </w:rPr>
            </w:pPr>
            <w:r w:rsidRPr="004005B9">
              <w:rPr>
                <w:rFonts w:asciiTheme="majorHAnsi" w:hAnsiTheme="majorHAnsi" w:cstheme="majorHAnsi"/>
                <w:b/>
                <w:bCs/>
              </w:rPr>
              <w:t>EXCEPCIONES DE FONDO FRENTE AL CONTRATO DE SEGURO</w:t>
            </w:r>
          </w:p>
          <w:p w14:paraId="229E1505" w14:textId="082394A3" w:rsidR="28CA36A8" w:rsidRPr="004005B9" w:rsidRDefault="28CA36A8" w:rsidP="004005B9">
            <w:pPr>
              <w:spacing w:line="276" w:lineRule="auto"/>
              <w:jc w:val="both"/>
              <w:rPr>
                <w:rFonts w:asciiTheme="majorHAnsi" w:hAnsiTheme="majorHAnsi" w:cstheme="majorHAnsi"/>
                <w:b/>
                <w:bCs/>
              </w:rPr>
            </w:pPr>
          </w:p>
          <w:p w14:paraId="4BDEEE91" w14:textId="7D133615" w:rsidR="4989938B" w:rsidRPr="00930325" w:rsidRDefault="00550890"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rPr>
              <w:t xml:space="preserve">Inexistencia de obligación de indemnizar por incumplimiento de las cargas del artículo 1077 del Código de Comercio </w:t>
            </w:r>
          </w:p>
          <w:p w14:paraId="6CA081CC" w14:textId="73E17A4B" w:rsidR="4989938B" w:rsidRPr="004005B9" w:rsidRDefault="00550890"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rPr>
              <w:t>Carácter meramente indemnizatorio que revisten los contratos de seguros</w:t>
            </w:r>
          </w:p>
          <w:p w14:paraId="0A8CDBD2" w14:textId="7717AE40" w:rsidR="23DD097A" w:rsidRPr="004005B9" w:rsidRDefault="00445D3D"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rPr>
              <w:t>En cualquier caos de ninguna forma se podrá exceder el limite del valor asegurado en la póliza de seguros de automóviles no 4062634</w:t>
            </w:r>
          </w:p>
          <w:p w14:paraId="682C35C0" w14:textId="3244C69E" w:rsidR="4989938B" w:rsidRPr="004005B9" w:rsidRDefault="00445D3D"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rPr>
              <w:t>Disponibilidad de la suma asegurada</w:t>
            </w:r>
          </w:p>
          <w:p w14:paraId="47A92508" w14:textId="3B5C2362" w:rsidR="4D43B7A6" w:rsidRPr="004005B9" w:rsidRDefault="00445D3D" w:rsidP="00930325">
            <w:pPr>
              <w:pStyle w:val="Prrafodelista"/>
              <w:numPr>
                <w:ilvl w:val="0"/>
                <w:numId w:val="3"/>
              </w:numPr>
              <w:spacing w:line="276" w:lineRule="auto"/>
              <w:jc w:val="both"/>
              <w:rPr>
                <w:rFonts w:asciiTheme="majorHAnsi" w:hAnsiTheme="majorHAnsi" w:cstheme="majorHAnsi"/>
                <w:b/>
                <w:bCs/>
              </w:rPr>
            </w:pPr>
            <w:r>
              <w:rPr>
                <w:rFonts w:asciiTheme="majorHAnsi" w:hAnsiTheme="majorHAnsi" w:cstheme="majorHAnsi"/>
              </w:rPr>
              <w:t>Riesgos expresamente excluidos en la póliza seguro de automóviles No. 4062634</w:t>
            </w:r>
          </w:p>
          <w:p w14:paraId="03BA252B" w14:textId="3EA25287" w:rsidR="4989938B" w:rsidRPr="000B70E8" w:rsidRDefault="000B70E8" w:rsidP="00930325">
            <w:pPr>
              <w:pStyle w:val="Prrafodelista"/>
              <w:numPr>
                <w:ilvl w:val="0"/>
                <w:numId w:val="3"/>
              </w:numPr>
              <w:spacing w:line="276" w:lineRule="auto"/>
              <w:jc w:val="both"/>
              <w:rPr>
                <w:rFonts w:asciiTheme="majorHAnsi" w:hAnsiTheme="majorHAnsi" w:cstheme="majorHAnsi"/>
              </w:rPr>
            </w:pPr>
            <w:r w:rsidRPr="000B70E8">
              <w:rPr>
                <w:rFonts w:asciiTheme="majorHAnsi" w:hAnsiTheme="majorHAnsi" w:cstheme="majorHAnsi"/>
              </w:rPr>
              <w:t xml:space="preserve">Genérica o innominada </w:t>
            </w:r>
          </w:p>
          <w:p w14:paraId="500322FF" w14:textId="77777777" w:rsidR="00A064DB" w:rsidRPr="00AC2D08" w:rsidRDefault="00A064DB" w:rsidP="000B70E8">
            <w:pPr>
              <w:pStyle w:val="Prrafodelista"/>
              <w:spacing w:line="276" w:lineRule="auto"/>
              <w:jc w:val="both"/>
              <w:rPr>
                <w:rFonts w:asciiTheme="majorHAnsi" w:hAnsiTheme="majorHAnsi" w:cstheme="majorHAnsi"/>
              </w:rPr>
            </w:pPr>
          </w:p>
        </w:tc>
      </w:tr>
      <w:tr w:rsidR="0057097F" w:rsidRPr="00004712" w14:paraId="50032303" w14:textId="77777777" w:rsidTr="75020658">
        <w:tc>
          <w:tcPr>
            <w:tcW w:w="6000" w:type="dxa"/>
            <w:shd w:val="clear" w:color="auto" w:fill="D9D9D9" w:themeFill="background1" w:themeFillShade="D9"/>
          </w:tcPr>
          <w:p w14:paraId="50032301"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lastRenderedPageBreak/>
              <w:t>Concepto del abogado sobre la posibilidad de conciliar el caso y valor de una propuesta conciliatoria:</w:t>
            </w:r>
          </w:p>
        </w:tc>
        <w:tc>
          <w:tcPr>
            <w:tcW w:w="4410" w:type="dxa"/>
          </w:tcPr>
          <w:p w14:paraId="50032302" w14:textId="03AD4EAA" w:rsidR="0057097F" w:rsidRPr="006C3582" w:rsidRDefault="0057097F" w:rsidP="004005B9">
            <w:pPr>
              <w:spacing w:line="276" w:lineRule="auto"/>
              <w:jc w:val="both"/>
              <w:rPr>
                <w:rFonts w:asciiTheme="majorHAnsi" w:hAnsiTheme="majorHAnsi" w:cstheme="majorHAnsi"/>
              </w:rPr>
            </w:pPr>
          </w:p>
        </w:tc>
      </w:tr>
    </w:tbl>
    <w:p w14:paraId="50032304" w14:textId="77777777" w:rsidR="0057097F" w:rsidRPr="004005B9" w:rsidRDefault="0057097F" w:rsidP="004005B9">
      <w:pPr>
        <w:spacing w:after="0" w:line="276" w:lineRule="auto"/>
        <w:rPr>
          <w:rFonts w:asciiTheme="majorHAnsi" w:hAnsiTheme="majorHAnsi" w:cstheme="majorHAnsi"/>
          <w:b/>
        </w:rPr>
      </w:pPr>
    </w:p>
    <w:p w14:paraId="50032305" w14:textId="77777777" w:rsidR="0057097F" w:rsidRPr="004005B9" w:rsidRDefault="0057097F" w:rsidP="004005B9">
      <w:pPr>
        <w:spacing w:after="0" w:line="276" w:lineRule="auto"/>
        <w:rPr>
          <w:rFonts w:asciiTheme="majorHAnsi" w:hAnsiTheme="majorHAnsi" w:cstheme="majorHAnsi"/>
          <w:b/>
        </w:rPr>
      </w:pPr>
    </w:p>
    <w:p w14:paraId="50032306" w14:textId="77777777" w:rsidR="0057097F" w:rsidRPr="004005B9" w:rsidRDefault="000B7A27" w:rsidP="004005B9">
      <w:pPr>
        <w:spacing w:after="0" w:line="276" w:lineRule="auto"/>
        <w:rPr>
          <w:rFonts w:asciiTheme="majorHAnsi" w:hAnsiTheme="majorHAnsi" w:cstheme="majorHAnsi"/>
          <w:b/>
        </w:rPr>
      </w:pPr>
      <w:r w:rsidRPr="004005B9">
        <w:rPr>
          <w:rFonts w:asciiTheme="majorHAnsi" w:hAnsiTheme="majorHAnsi" w:cstheme="maj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04712" w14:paraId="50032309" w14:textId="77777777">
        <w:trPr>
          <w:trHeight w:val="238"/>
        </w:trPr>
        <w:tc>
          <w:tcPr>
            <w:tcW w:w="4414" w:type="dxa"/>
            <w:shd w:val="clear" w:color="auto" w:fill="D9D9D9"/>
          </w:tcPr>
          <w:p w14:paraId="50032307"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Fecha y hora de la diligencia:</w:t>
            </w:r>
          </w:p>
        </w:tc>
        <w:tc>
          <w:tcPr>
            <w:tcW w:w="4414" w:type="dxa"/>
          </w:tcPr>
          <w:p w14:paraId="50032308" w14:textId="77777777" w:rsidR="0057097F" w:rsidRPr="004005B9" w:rsidRDefault="0057097F" w:rsidP="004005B9">
            <w:pPr>
              <w:spacing w:line="276" w:lineRule="auto"/>
              <w:rPr>
                <w:rFonts w:asciiTheme="majorHAnsi" w:hAnsiTheme="majorHAnsi" w:cstheme="majorHAnsi"/>
                <w:b/>
              </w:rPr>
            </w:pPr>
          </w:p>
        </w:tc>
      </w:tr>
      <w:tr w:rsidR="0057097F" w:rsidRPr="00004712" w14:paraId="5003230C" w14:textId="77777777">
        <w:tc>
          <w:tcPr>
            <w:tcW w:w="4414" w:type="dxa"/>
            <w:shd w:val="clear" w:color="auto" w:fill="D9D9D9"/>
          </w:tcPr>
          <w:p w14:paraId="5003230A"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Síntesis de los argumentos de la Compañía:</w:t>
            </w:r>
          </w:p>
        </w:tc>
        <w:tc>
          <w:tcPr>
            <w:tcW w:w="4414" w:type="dxa"/>
          </w:tcPr>
          <w:p w14:paraId="5003230B" w14:textId="77777777" w:rsidR="0057097F" w:rsidRPr="004005B9" w:rsidRDefault="0057097F" w:rsidP="004005B9">
            <w:pPr>
              <w:pBdr>
                <w:top w:val="nil"/>
                <w:left w:val="nil"/>
                <w:bottom w:val="nil"/>
                <w:right w:val="nil"/>
                <w:between w:val="nil"/>
              </w:pBdr>
              <w:spacing w:line="276" w:lineRule="auto"/>
              <w:ind w:left="720"/>
              <w:jc w:val="both"/>
              <w:rPr>
                <w:rFonts w:asciiTheme="majorHAnsi" w:hAnsiTheme="majorHAnsi" w:cstheme="majorHAnsi"/>
                <w:color w:val="000000"/>
              </w:rPr>
            </w:pPr>
          </w:p>
        </w:tc>
      </w:tr>
      <w:tr w:rsidR="0057097F" w:rsidRPr="00004712" w14:paraId="5003230F" w14:textId="77777777">
        <w:tc>
          <w:tcPr>
            <w:tcW w:w="4414" w:type="dxa"/>
            <w:shd w:val="clear" w:color="auto" w:fill="D9D9D9"/>
          </w:tcPr>
          <w:p w14:paraId="5003230D" w14:textId="77777777" w:rsidR="0057097F" w:rsidRPr="004005B9" w:rsidRDefault="000B7A27" w:rsidP="004005B9">
            <w:pPr>
              <w:spacing w:line="276" w:lineRule="auto"/>
              <w:rPr>
                <w:rFonts w:asciiTheme="majorHAnsi" w:hAnsiTheme="majorHAnsi" w:cstheme="majorHAnsi"/>
                <w:b/>
              </w:rPr>
            </w:pPr>
            <w:r w:rsidRPr="004005B9">
              <w:rPr>
                <w:rFonts w:asciiTheme="majorHAnsi" w:hAnsiTheme="majorHAnsi" w:cstheme="majorHAnsi"/>
                <w:b/>
              </w:rPr>
              <w:t>Recomendaciones para la diligencia:</w:t>
            </w:r>
          </w:p>
        </w:tc>
        <w:tc>
          <w:tcPr>
            <w:tcW w:w="4414" w:type="dxa"/>
          </w:tcPr>
          <w:p w14:paraId="5003230E" w14:textId="77777777" w:rsidR="0057097F" w:rsidRPr="004005B9" w:rsidRDefault="0057097F" w:rsidP="004005B9">
            <w:pPr>
              <w:spacing w:line="276" w:lineRule="auto"/>
              <w:jc w:val="both"/>
              <w:rPr>
                <w:rFonts w:asciiTheme="majorHAnsi" w:hAnsiTheme="majorHAnsi" w:cstheme="majorHAnsi"/>
              </w:rPr>
            </w:pPr>
          </w:p>
        </w:tc>
      </w:tr>
    </w:tbl>
    <w:p w14:paraId="50032310" w14:textId="77777777" w:rsidR="0057097F" w:rsidRPr="004005B9" w:rsidRDefault="0057097F" w:rsidP="004005B9">
      <w:pPr>
        <w:spacing w:after="0" w:line="276" w:lineRule="auto"/>
        <w:rPr>
          <w:rFonts w:asciiTheme="majorHAnsi" w:hAnsiTheme="majorHAnsi" w:cstheme="majorHAnsi"/>
          <w:b/>
        </w:rPr>
      </w:pPr>
    </w:p>
    <w:sectPr w:rsidR="0057097F" w:rsidRPr="004005B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78C79" w14:textId="77777777" w:rsidR="00A16054" w:rsidRDefault="00A16054">
      <w:pPr>
        <w:spacing w:after="0" w:line="240" w:lineRule="auto"/>
      </w:pPr>
      <w:r>
        <w:separator/>
      </w:r>
    </w:p>
  </w:endnote>
  <w:endnote w:type="continuationSeparator" w:id="0">
    <w:p w14:paraId="073630E8" w14:textId="77777777" w:rsidR="00A16054" w:rsidRDefault="00A1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E031" w14:textId="77777777" w:rsidR="00A16054" w:rsidRDefault="00A16054">
      <w:pPr>
        <w:spacing w:after="0" w:line="240" w:lineRule="auto"/>
      </w:pPr>
      <w:r>
        <w:separator/>
      </w:r>
    </w:p>
  </w:footnote>
  <w:footnote w:type="continuationSeparator" w:id="0">
    <w:p w14:paraId="71D2ACB0" w14:textId="77777777" w:rsidR="00A16054" w:rsidRDefault="00A1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63C"/>
    <w:multiLevelType w:val="hybridMultilevel"/>
    <w:tmpl w:val="9A7065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D0B96"/>
    <w:multiLevelType w:val="hybridMultilevel"/>
    <w:tmpl w:val="76C8598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8C85524"/>
    <w:multiLevelType w:val="hybridMultilevel"/>
    <w:tmpl w:val="0A3A9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29164B"/>
    <w:multiLevelType w:val="hybridMultilevel"/>
    <w:tmpl w:val="C52CA7E6"/>
    <w:lvl w:ilvl="0" w:tplc="1D14CC44">
      <w:numFmt w:val="bullet"/>
      <w:lvlText w:val="-"/>
      <w:lvlJc w:val="left"/>
      <w:pPr>
        <w:ind w:left="720" w:hanging="360"/>
      </w:pPr>
      <w:rPr>
        <w:rFonts w:ascii="Calibri Light" w:eastAsia="Calibri"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3457A"/>
    <w:multiLevelType w:val="hybridMultilevel"/>
    <w:tmpl w:val="D76A875E"/>
    <w:lvl w:ilvl="0" w:tplc="C5329036">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DB7E7A2"/>
    <w:multiLevelType w:val="hybridMultilevel"/>
    <w:tmpl w:val="102CE426"/>
    <w:lvl w:ilvl="0" w:tplc="1EDE6D12">
      <w:start w:val="1"/>
      <w:numFmt w:val="decimal"/>
      <w:lvlText w:val="%1."/>
      <w:lvlJc w:val="left"/>
      <w:pPr>
        <w:ind w:left="720" w:hanging="360"/>
      </w:pPr>
      <w:rPr>
        <w:b/>
        <w:bCs/>
      </w:rPr>
    </w:lvl>
    <w:lvl w:ilvl="1" w:tplc="4E3836B0">
      <w:start w:val="1"/>
      <w:numFmt w:val="lowerLetter"/>
      <w:lvlText w:val="%2."/>
      <w:lvlJc w:val="left"/>
      <w:pPr>
        <w:ind w:left="1440" w:hanging="360"/>
      </w:pPr>
    </w:lvl>
    <w:lvl w:ilvl="2" w:tplc="5F6625B8">
      <w:start w:val="1"/>
      <w:numFmt w:val="lowerRoman"/>
      <w:lvlText w:val="%3."/>
      <w:lvlJc w:val="right"/>
      <w:pPr>
        <w:ind w:left="2160" w:hanging="180"/>
      </w:pPr>
    </w:lvl>
    <w:lvl w:ilvl="3" w:tplc="59B044A6">
      <w:start w:val="1"/>
      <w:numFmt w:val="decimal"/>
      <w:lvlText w:val="%4."/>
      <w:lvlJc w:val="left"/>
      <w:pPr>
        <w:ind w:left="2880" w:hanging="360"/>
      </w:pPr>
    </w:lvl>
    <w:lvl w:ilvl="4" w:tplc="F0FEDC4A">
      <w:start w:val="1"/>
      <w:numFmt w:val="lowerLetter"/>
      <w:lvlText w:val="%5."/>
      <w:lvlJc w:val="left"/>
      <w:pPr>
        <w:ind w:left="3600" w:hanging="360"/>
      </w:pPr>
    </w:lvl>
    <w:lvl w:ilvl="5" w:tplc="86085228">
      <w:start w:val="1"/>
      <w:numFmt w:val="lowerRoman"/>
      <w:lvlText w:val="%6."/>
      <w:lvlJc w:val="right"/>
      <w:pPr>
        <w:ind w:left="4320" w:hanging="180"/>
      </w:pPr>
    </w:lvl>
    <w:lvl w:ilvl="6" w:tplc="2646B80A">
      <w:start w:val="1"/>
      <w:numFmt w:val="decimal"/>
      <w:lvlText w:val="%7."/>
      <w:lvlJc w:val="left"/>
      <w:pPr>
        <w:ind w:left="5040" w:hanging="360"/>
      </w:pPr>
    </w:lvl>
    <w:lvl w:ilvl="7" w:tplc="CBFAC776">
      <w:start w:val="1"/>
      <w:numFmt w:val="lowerLetter"/>
      <w:lvlText w:val="%8."/>
      <w:lvlJc w:val="left"/>
      <w:pPr>
        <w:ind w:left="5760" w:hanging="360"/>
      </w:pPr>
    </w:lvl>
    <w:lvl w:ilvl="8" w:tplc="9D343D44">
      <w:start w:val="1"/>
      <w:numFmt w:val="lowerRoman"/>
      <w:lvlText w:val="%9."/>
      <w:lvlJc w:val="right"/>
      <w:pPr>
        <w:ind w:left="6480" w:hanging="180"/>
      </w:pPr>
    </w:lvl>
  </w:abstractNum>
  <w:abstractNum w:abstractNumId="8" w15:restartNumberingAfterBreak="0">
    <w:nsid w:val="43C2AF90"/>
    <w:multiLevelType w:val="hybridMultilevel"/>
    <w:tmpl w:val="FF588F84"/>
    <w:lvl w:ilvl="0" w:tplc="4CBAD9BA">
      <w:start w:val="1"/>
      <w:numFmt w:val="decimal"/>
      <w:lvlText w:val="%1."/>
      <w:lvlJc w:val="left"/>
      <w:pPr>
        <w:ind w:left="720" w:hanging="360"/>
      </w:pPr>
    </w:lvl>
    <w:lvl w:ilvl="1" w:tplc="67EC4AF4">
      <w:start w:val="1"/>
      <w:numFmt w:val="lowerLetter"/>
      <w:lvlText w:val="%2."/>
      <w:lvlJc w:val="left"/>
      <w:pPr>
        <w:ind w:left="1440" w:hanging="360"/>
      </w:pPr>
    </w:lvl>
    <w:lvl w:ilvl="2" w:tplc="082CBD46">
      <w:start w:val="1"/>
      <w:numFmt w:val="lowerRoman"/>
      <w:lvlText w:val="%3."/>
      <w:lvlJc w:val="right"/>
      <w:pPr>
        <w:ind w:left="2160" w:hanging="180"/>
      </w:pPr>
    </w:lvl>
    <w:lvl w:ilvl="3" w:tplc="AC90C4BE">
      <w:start w:val="1"/>
      <w:numFmt w:val="decimal"/>
      <w:lvlText w:val="%4."/>
      <w:lvlJc w:val="left"/>
      <w:pPr>
        <w:ind w:left="2880" w:hanging="360"/>
      </w:pPr>
    </w:lvl>
    <w:lvl w:ilvl="4" w:tplc="33ACCCF8">
      <w:start w:val="1"/>
      <w:numFmt w:val="lowerLetter"/>
      <w:lvlText w:val="%5."/>
      <w:lvlJc w:val="left"/>
      <w:pPr>
        <w:ind w:left="3600" w:hanging="360"/>
      </w:pPr>
    </w:lvl>
    <w:lvl w:ilvl="5" w:tplc="CEAEA446">
      <w:start w:val="1"/>
      <w:numFmt w:val="lowerRoman"/>
      <w:lvlText w:val="%6."/>
      <w:lvlJc w:val="right"/>
      <w:pPr>
        <w:ind w:left="4320" w:hanging="180"/>
      </w:pPr>
    </w:lvl>
    <w:lvl w:ilvl="6" w:tplc="B5DC5BB2">
      <w:start w:val="1"/>
      <w:numFmt w:val="decimal"/>
      <w:lvlText w:val="%7."/>
      <w:lvlJc w:val="left"/>
      <w:pPr>
        <w:ind w:left="5040" w:hanging="360"/>
      </w:pPr>
    </w:lvl>
    <w:lvl w:ilvl="7" w:tplc="5486F8B0">
      <w:start w:val="1"/>
      <w:numFmt w:val="lowerLetter"/>
      <w:lvlText w:val="%8."/>
      <w:lvlJc w:val="left"/>
      <w:pPr>
        <w:ind w:left="5760" w:hanging="360"/>
      </w:pPr>
    </w:lvl>
    <w:lvl w:ilvl="8" w:tplc="3364FC7C">
      <w:start w:val="1"/>
      <w:numFmt w:val="lowerRoman"/>
      <w:lvlText w:val="%9."/>
      <w:lvlJc w:val="right"/>
      <w:pPr>
        <w:ind w:left="6480" w:hanging="180"/>
      </w:pPr>
    </w:lvl>
  </w:abstractNum>
  <w:abstractNum w:abstractNumId="9" w15:restartNumberingAfterBreak="0">
    <w:nsid w:val="445D7177"/>
    <w:multiLevelType w:val="hybridMultilevel"/>
    <w:tmpl w:val="4EFC8FF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5726D6F"/>
    <w:multiLevelType w:val="hybridMultilevel"/>
    <w:tmpl w:val="9A9CF0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C8C9920"/>
    <w:multiLevelType w:val="hybridMultilevel"/>
    <w:tmpl w:val="0A943636"/>
    <w:lvl w:ilvl="0" w:tplc="45E4C842">
      <w:start w:val="1"/>
      <w:numFmt w:val="decimal"/>
      <w:lvlText w:val="%1."/>
      <w:lvlJc w:val="left"/>
      <w:pPr>
        <w:ind w:left="720" w:hanging="360"/>
      </w:pPr>
    </w:lvl>
    <w:lvl w:ilvl="1" w:tplc="03E4A892">
      <w:start w:val="1"/>
      <w:numFmt w:val="lowerLetter"/>
      <w:lvlText w:val="%2."/>
      <w:lvlJc w:val="left"/>
      <w:pPr>
        <w:ind w:left="1440" w:hanging="360"/>
      </w:pPr>
    </w:lvl>
    <w:lvl w:ilvl="2" w:tplc="743816D4">
      <w:start w:val="1"/>
      <w:numFmt w:val="lowerRoman"/>
      <w:lvlText w:val="%3."/>
      <w:lvlJc w:val="right"/>
      <w:pPr>
        <w:ind w:left="2160" w:hanging="180"/>
      </w:pPr>
    </w:lvl>
    <w:lvl w:ilvl="3" w:tplc="32B00D58">
      <w:start w:val="1"/>
      <w:numFmt w:val="decimal"/>
      <w:lvlText w:val="%4."/>
      <w:lvlJc w:val="left"/>
      <w:pPr>
        <w:ind w:left="2880" w:hanging="360"/>
      </w:pPr>
    </w:lvl>
    <w:lvl w:ilvl="4" w:tplc="6CE28ACA">
      <w:start w:val="1"/>
      <w:numFmt w:val="lowerLetter"/>
      <w:lvlText w:val="%5."/>
      <w:lvlJc w:val="left"/>
      <w:pPr>
        <w:ind w:left="3600" w:hanging="360"/>
      </w:pPr>
    </w:lvl>
    <w:lvl w:ilvl="5" w:tplc="F4482E12">
      <w:start w:val="1"/>
      <w:numFmt w:val="lowerRoman"/>
      <w:lvlText w:val="%6."/>
      <w:lvlJc w:val="right"/>
      <w:pPr>
        <w:ind w:left="4320" w:hanging="180"/>
      </w:pPr>
    </w:lvl>
    <w:lvl w:ilvl="6" w:tplc="AE58DB86">
      <w:start w:val="1"/>
      <w:numFmt w:val="decimal"/>
      <w:lvlText w:val="%7."/>
      <w:lvlJc w:val="left"/>
      <w:pPr>
        <w:ind w:left="5040" w:hanging="360"/>
      </w:pPr>
    </w:lvl>
    <w:lvl w:ilvl="7" w:tplc="34AC2656">
      <w:start w:val="1"/>
      <w:numFmt w:val="lowerLetter"/>
      <w:lvlText w:val="%8."/>
      <w:lvlJc w:val="left"/>
      <w:pPr>
        <w:ind w:left="5760" w:hanging="360"/>
      </w:pPr>
    </w:lvl>
    <w:lvl w:ilvl="8" w:tplc="25D4BA70">
      <w:start w:val="1"/>
      <w:numFmt w:val="lowerRoman"/>
      <w:lvlText w:val="%9."/>
      <w:lvlJc w:val="right"/>
      <w:pPr>
        <w:ind w:left="6480" w:hanging="180"/>
      </w:pPr>
    </w:lvl>
  </w:abstractNum>
  <w:abstractNum w:abstractNumId="12" w15:restartNumberingAfterBreak="0">
    <w:nsid w:val="747A41D9"/>
    <w:multiLevelType w:val="hybridMultilevel"/>
    <w:tmpl w:val="E7787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8382566">
    <w:abstractNumId w:val="11"/>
  </w:num>
  <w:num w:numId="2" w16cid:durableId="1032027478">
    <w:abstractNumId w:val="8"/>
  </w:num>
  <w:num w:numId="3" w16cid:durableId="1383679470">
    <w:abstractNumId w:val="7"/>
  </w:num>
  <w:num w:numId="4" w16cid:durableId="562252821">
    <w:abstractNumId w:val="5"/>
  </w:num>
  <w:num w:numId="5" w16cid:durableId="438138181">
    <w:abstractNumId w:val="1"/>
  </w:num>
  <w:num w:numId="6" w16cid:durableId="633750742">
    <w:abstractNumId w:val="12"/>
  </w:num>
  <w:num w:numId="7" w16cid:durableId="1051154743">
    <w:abstractNumId w:val="3"/>
  </w:num>
  <w:num w:numId="8" w16cid:durableId="1510295307">
    <w:abstractNumId w:val="2"/>
  </w:num>
  <w:num w:numId="9" w16cid:durableId="1683702137">
    <w:abstractNumId w:val="4"/>
  </w:num>
  <w:num w:numId="10" w16cid:durableId="1256280204">
    <w:abstractNumId w:val="9"/>
  </w:num>
  <w:num w:numId="11" w16cid:durableId="1593274870">
    <w:abstractNumId w:val="0"/>
  </w:num>
  <w:num w:numId="12" w16cid:durableId="281226551">
    <w:abstractNumId w:val="6"/>
  </w:num>
  <w:num w:numId="13" w16cid:durableId="385104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4712"/>
    <w:rsid w:val="000B39F9"/>
    <w:rsid w:val="000B70E8"/>
    <w:rsid w:val="000B7A27"/>
    <w:rsid w:val="001003E6"/>
    <w:rsid w:val="001354DA"/>
    <w:rsid w:val="001452B2"/>
    <w:rsid w:val="001871B7"/>
    <w:rsid w:val="00187D28"/>
    <w:rsid w:val="0022265D"/>
    <w:rsid w:val="002856E9"/>
    <w:rsid w:val="002A3918"/>
    <w:rsid w:val="002A7BA5"/>
    <w:rsid w:val="002C64CB"/>
    <w:rsid w:val="002E6E1F"/>
    <w:rsid w:val="002F4CD8"/>
    <w:rsid w:val="00303ABB"/>
    <w:rsid w:val="00304196"/>
    <w:rsid w:val="00313F06"/>
    <w:rsid w:val="00354F1A"/>
    <w:rsid w:val="003648F5"/>
    <w:rsid w:val="00394EDC"/>
    <w:rsid w:val="00395683"/>
    <w:rsid w:val="004005B9"/>
    <w:rsid w:val="00411734"/>
    <w:rsid w:val="00445D3D"/>
    <w:rsid w:val="004A4CB0"/>
    <w:rsid w:val="004D64E9"/>
    <w:rsid w:val="0051524C"/>
    <w:rsid w:val="00550890"/>
    <w:rsid w:val="0057097F"/>
    <w:rsid w:val="005A1136"/>
    <w:rsid w:val="005A4426"/>
    <w:rsid w:val="005A694A"/>
    <w:rsid w:val="005C14AE"/>
    <w:rsid w:val="00610868"/>
    <w:rsid w:val="00656D18"/>
    <w:rsid w:val="00657E46"/>
    <w:rsid w:val="00660EFF"/>
    <w:rsid w:val="00680B69"/>
    <w:rsid w:val="006C06B1"/>
    <w:rsid w:val="006C3582"/>
    <w:rsid w:val="0071062E"/>
    <w:rsid w:val="0074663B"/>
    <w:rsid w:val="00766F85"/>
    <w:rsid w:val="007A7FD9"/>
    <w:rsid w:val="007C7503"/>
    <w:rsid w:val="007D674F"/>
    <w:rsid w:val="00830C3E"/>
    <w:rsid w:val="008C036E"/>
    <w:rsid w:val="008D143C"/>
    <w:rsid w:val="00912F61"/>
    <w:rsid w:val="00930325"/>
    <w:rsid w:val="0098050F"/>
    <w:rsid w:val="00985171"/>
    <w:rsid w:val="009872FC"/>
    <w:rsid w:val="0099464A"/>
    <w:rsid w:val="009A1AC9"/>
    <w:rsid w:val="009B0916"/>
    <w:rsid w:val="009D1B1E"/>
    <w:rsid w:val="009E33B4"/>
    <w:rsid w:val="00A064DB"/>
    <w:rsid w:val="00A16054"/>
    <w:rsid w:val="00A2737D"/>
    <w:rsid w:val="00A77D7E"/>
    <w:rsid w:val="00AA7A20"/>
    <w:rsid w:val="00AC2D08"/>
    <w:rsid w:val="00B012A5"/>
    <w:rsid w:val="00B06BCA"/>
    <w:rsid w:val="00BD697D"/>
    <w:rsid w:val="00BF51A5"/>
    <w:rsid w:val="00C19881"/>
    <w:rsid w:val="00C41435"/>
    <w:rsid w:val="00C46B1A"/>
    <w:rsid w:val="00C923D0"/>
    <w:rsid w:val="00CD40B1"/>
    <w:rsid w:val="00D155AE"/>
    <w:rsid w:val="00D27FC2"/>
    <w:rsid w:val="00DD10CF"/>
    <w:rsid w:val="00DF1598"/>
    <w:rsid w:val="00E275BB"/>
    <w:rsid w:val="00E6202D"/>
    <w:rsid w:val="00E802EB"/>
    <w:rsid w:val="00EA1504"/>
    <w:rsid w:val="00EA75AB"/>
    <w:rsid w:val="00ED2582"/>
    <w:rsid w:val="00ED4319"/>
    <w:rsid w:val="00F23673"/>
    <w:rsid w:val="00F456F0"/>
    <w:rsid w:val="00F55CB9"/>
    <w:rsid w:val="00F819E5"/>
    <w:rsid w:val="00F967DB"/>
    <w:rsid w:val="00F97966"/>
    <w:rsid w:val="00FB3394"/>
    <w:rsid w:val="00FE0526"/>
    <w:rsid w:val="01FFECEC"/>
    <w:rsid w:val="038BFB55"/>
    <w:rsid w:val="039F1E3C"/>
    <w:rsid w:val="0420BA11"/>
    <w:rsid w:val="05AF1F52"/>
    <w:rsid w:val="05B170D8"/>
    <w:rsid w:val="061ABED5"/>
    <w:rsid w:val="09DA3153"/>
    <w:rsid w:val="0A7FBD1E"/>
    <w:rsid w:val="0ABD064A"/>
    <w:rsid w:val="0BAEC5E2"/>
    <w:rsid w:val="0BB82559"/>
    <w:rsid w:val="0C8F4989"/>
    <w:rsid w:val="0C995684"/>
    <w:rsid w:val="0CB2DB98"/>
    <w:rsid w:val="0CF29679"/>
    <w:rsid w:val="0D0DE9F4"/>
    <w:rsid w:val="0DE09F18"/>
    <w:rsid w:val="0EA059B0"/>
    <w:rsid w:val="1057CEFF"/>
    <w:rsid w:val="1187B09A"/>
    <w:rsid w:val="11E403A5"/>
    <w:rsid w:val="11FD2CDB"/>
    <w:rsid w:val="1265A6D3"/>
    <w:rsid w:val="12DD632D"/>
    <w:rsid w:val="130A21B6"/>
    <w:rsid w:val="14C1AC73"/>
    <w:rsid w:val="16DC629C"/>
    <w:rsid w:val="1764F3DF"/>
    <w:rsid w:val="17AAAA57"/>
    <w:rsid w:val="180974EE"/>
    <w:rsid w:val="181ABC7B"/>
    <w:rsid w:val="18B9BF89"/>
    <w:rsid w:val="18DD97CE"/>
    <w:rsid w:val="1CE58E2E"/>
    <w:rsid w:val="1D6BD463"/>
    <w:rsid w:val="1D7D6921"/>
    <w:rsid w:val="1DAEE62C"/>
    <w:rsid w:val="1E29F71C"/>
    <w:rsid w:val="20319F63"/>
    <w:rsid w:val="213AEE2A"/>
    <w:rsid w:val="21B16FE5"/>
    <w:rsid w:val="22ACFCAB"/>
    <w:rsid w:val="234BC454"/>
    <w:rsid w:val="23DD097A"/>
    <w:rsid w:val="2606A6E0"/>
    <w:rsid w:val="2776ACD1"/>
    <w:rsid w:val="27CC73A7"/>
    <w:rsid w:val="28784831"/>
    <w:rsid w:val="2878849F"/>
    <w:rsid w:val="28C5710C"/>
    <w:rsid w:val="28CA36A8"/>
    <w:rsid w:val="2AD93E7A"/>
    <w:rsid w:val="2E0D2785"/>
    <w:rsid w:val="2E493F49"/>
    <w:rsid w:val="2EFDB60F"/>
    <w:rsid w:val="3063E22D"/>
    <w:rsid w:val="306829E3"/>
    <w:rsid w:val="31BBB66F"/>
    <w:rsid w:val="325D51D1"/>
    <w:rsid w:val="349DE1E3"/>
    <w:rsid w:val="34C73430"/>
    <w:rsid w:val="357EB3F4"/>
    <w:rsid w:val="361B7E09"/>
    <w:rsid w:val="368C4C8B"/>
    <w:rsid w:val="37910FBB"/>
    <w:rsid w:val="389316E1"/>
    <w:rsid w:val="39AA1017"/>
    <w:rsid w:val="3B87DF5E"/>
    <w:rsid w:val="3EE40611"/>
    <w:rsid w:val="3EFD9FE2"/>
    <w:rsid w:val="3F3CF975"/>
    <w:rsid w:val="3F5984A0"/>
    <w:rsid w:val="40400F9C"/>
    <w:rsid w:val="40C84C70"/>
    <w:rsid w:val="40D9885C"/>
    <w:rsid w:val="411B7029"/>
    <w:rsid w:val="417C6461"/>
    <w:rsid w:val="422208CB"/>
    <w:rsid w:val="42D0E48C"/>
    <w:rsid w:val="42E5AAAC"/>
    <w:rsid w:val="43A679CB"/>
    <w:rsid w:val="43CEF1C6"/>
    <w:rsid w:val="443DA5E1"/>
    <w:rsid w:val="450EEA0D"/>
    <w:rsid w:val="4595B284"/>
    <w:rsid w:val="46C6FF85"/>
    <w:rsid w:val="47A27979"/>
    <w:rsid w:val="4820DBD3"/>
    <w:rsid w:val="4827D508"/>
    <w:rsid w:val="4989938B"/>
    <w:rsid w:val="4B640083"/>
    <w:rsid w:val="4B67827A"/>
    <w:rsid w:val="4D43B7A6"/>
    <w:rsid w:val="4DA60729"/>
    <w:rsid w:val="4ECF6DF3"/>
    <w:rsid w:val="4ED97E17"/>
    <w:rsid w:val="4F9B83BB"/>
    <w:rsid w:val="50E872F5"/>
    <w:rsid w:val="52AF44C9"/>
    <w:rsid w:val="54109AFA"/>
    <w:rsid w:val="54CBC17E"/>
    <w:rsid w:val="54F0113B"/>
    <w:rsid w:val="5581CC77"/>
    <w:rsid w:val="5602240A"/>
    <w:rsid w:val="56259296"/>
    <w:rsid w:val="5657F118"/>
    <w:rsid w:val="574312A0"/>
    <w:rsid w:val="57A02C62"/>
    <w:rsid w:val="581B405C"/>
    <w:rsid w:val="588E9854"/>
    <w:rsid w:val="5C1461E0"/>
    <w:rsid w:val="5D7C1EB0"/>
    <w:rsid w:val="5DE774AC"/>
    <w:rsid w:val="5ECEB7CB"/>
    <w:rsid w:val="5F884828"/>
    <w:rsid w:val="5F8B4395"/>
    <w:rsid w:val="611415A1"/>
    <w:rsid w:val="61324878"/>
    <w:rsid w:val="61A8FA45"/>
    <w:rsid w:val="623291B6"/>
    <w:rsid w:val="62481F73"/>
    <w:rsid w:val="631847ED"/>
    <w:rsid w:val="637598D9"/>
    <w:rsid w:val="637D245D"/>
    <w:rsid w:val="64661F58"/>
    <w:rsid w:val="65AE1942"/>
    <w:rsid w:val="6714AD81"/>
    <w:rsid w:val="68D76BA5"/>
    <w:rsid w:val="68DEBDF1"/>
    <w:rsid w:val="698EFD56"/>
    <w:rsid w:val="6A35AD40"/>
    <w:rsid w:val="6A5FE339"/>
    <w:rsid w:val="6C78D4FB"/>
    <w:rsid w:val="6C988B12"/>
    <w:rsid w:val="6D83A3DB"/>
    <w:rsid w:val="6DF61CD3"/>
    <w:rsid w:val="6E9FE37A"/>
    <w:rsid w:val="7167F4E1"/>
    <w:rsid w:val="71CAB4C2"/>
    <w:rsid w:val="71DB6EE2"/>
    <w:rsid w:val="71E51BFC"/>
    <w:rsid w:val="723D6FA0"/>
    <w:rsid w:val="72F3D269"/>
    <w:rsid w:val="72F47928"/>
    <w:rsid w:val="7300847E"/>
    <w:rsid w:val="75020658"/>
    <w:rsid w:val="7570458E"/>
    <w:rsid w:val="77DD67C5"/>
    <w:rsid w:val="78B8B4DF"/>
    <w:rsid w:val="7B0778AE"/>
    <w:rsid w:val="7C6BFB0A"/>
    <w:rsid w:val="7E21FB02"/>
    <w:rsid w:val="7E44FCCA"/>
    <w:rsid w:val="7E4F22B1"/>
    <w:rsid w:val="7EDF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Textodeglobo">
    <w:name w:val="Balloon Text"/>
    <w:basedOn w:val="Normal"/>
    <w:link w:val="TextodegloboCar"/>
    <w:uiPriority w:val="99"/>
    <w:semiHidden/>
    <w:unhideWhenUsed/>
    <w:rsid w:val="000047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712"/>
    <w:rPr>
      <w:rFonts w:ascii="Segoe UI" w:hAnsi="Segoe UI" w:cs="Segoe UI"/>
      <w:sz w:val="18"/>
      <w:szCs w:val="18"/>
    </w:rPr>
  </w:style>
  <w:style w:type="character" w:styleId="Refdecomentario">
    <w:name w:val="annotation reference"/>
    <w:basedOn w:val="Fuentedeprrafopredeter"/>
    <w:uiPriority w:val="99"/>
    <w:semiHidden/>
    <w:unhideWhenUsed/>
    <w:rsid w:val="00830C3E"/>
    <w:rPr>
      <w:sz w:val="16"/>
      <w:szCs w:val="16"/>
    </w:rPr>
  </w:style>
  <w:style w:type="paragraph" w:styleId="Textocomentario">
    <w:name w:val="annotation text"/>
    <w:basedOn w:val="Normal"/>
    <w:link w:val="TextocomentarioCar"/>
    <w:uiPriority w:val="99"/>
    <w:semiHidden/>
    <w:unhideWhenUsed/>
    <w:rsid w:val="00830C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0C3E"/>
    <w:rPr>
      <w:sz w:val="20"/>
      <w:szCs w:val="20"/>
    </w:rPr>
  </w:style>
  <w:style w:type="paragraph" w:styleId="Asuntodelcomentario">
    <w:name w:val="annotation subject"/>
    <w:basedOn w:val="Textocomentario"/>
    <w:next w:val="Textocomentario"/>
    <w:link w:val="AsuntodelcomentarioCar"/>
    <w:uiPriority w:val="99"/>
    <w:semiHidden/>
    <w:unhideWhenUsed/>
    <w:rsid w:val="00830C3E"/>
    <w:rPr>
      <w:b/>
      <w:bCs/>
    </w:rPr>
  </w:style>
  <w:style w:type="character" w:customStyle="1" w:styleId="AsuntodelcomentarioCar">
    <w:name w:val="Asunto del comentario Car"/>
    <w:basedOn w:val="TextocomentarioCar"/>
    <w:link w:val="Asuntodelcomentario"/>
    <w:uiPriority w:val="99"/>
    <w:semiHidden/>
    <w:rsid w:val="00830C3E"/>
    <w:rPr>
      <w:b/>
      <w:bCs/>
      <w:sz w:val="20"/>
      <w:szCs w:val="20"/>
    </w:rPr>
  </w:style>
  <w:style w:type="paragraph" w:styleId="Revisin">
    <w:name w:val="Revision"/>
    <w:hidden/>
    <w:uiPriority w:val="99"/>
    <w:semiHidden/>
    <w:rsid w:val="004005B9"/>
    <w:pPr>
      <w:spacing w:after="0" w:line="240" w:lineRule="auto"/>
    </w:pPr>
  </w:style>
  <w:style w:type="paragraph" w:styleId="NormalWeb">
    <w:name w:val="Normal (Web)"/>
    <w:basedOn w:val="Normal"/>
    <w:uiPriority w:val="99"/>
    <w:semiHidden/>
    <w:unhideWhenUsed/>
    <w:rsid w:val="00C414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520">
      <w:bodyDiv w:val="1"/>
      <w:marLeft w:val="0"/>
      <w:marRight w:val="0"/>
      <w:marTop w:val="0"/>
      <w:marBottom w:val="0"/>
      <w:divBdr>
        <w:top w:val="none" w:sz="0" w:space="0" w:color="auto"/>
        <w:left w:val="none" w:sz="0" w:space="0" w:color="auto"/>
        <w:bottom w:val="none" w:sz="0" w:space="0" w:color="auto"/>
        <w:right w:val="none" w:sz="0" w:space="0" w:color="auto"/>
      </w:divBdr>
    </w:div>
    <w:div w:id="76636789">
      <w:bodyDiv w:val="1"/>
      <w:marLeft w:val="0"/>
      <w:marRight w:val="0"/>
      <w:marTop w:val="0"/>
      <w:marBottom w:val="0"/>
      <w:divBdr>
        <w:top w:val="none" w:sz="0" w:space="0" w:color="auto"/>
        <w:left w:val="none" w:sz="0" w:space="0" w:color="auto"/>
        <w:bottom w:val="none" w:sz="0" w:space="0" w:color="auto"/>
        <w:right w:val="none" w:sz="0" w:space="0" w:color="auto"/>
      </w:divBdr>
    </w:div>
    <w:div w:id="136264829">
      <w:bodyDiv w:val="1"/>
      <w:marLeft w:val="0"/>
      <w:marRight w:val="0"/>
      <w:marTop w:val="0"/>
      <w:marBottom w:val="0"/>
      <w:divBdr>
        <w:top w:val="none" w:sz="0" w:space="0" w:color="auto"/>
        <w:left w:val="none" w:sz="0" w:space="0" w:color="auto"/>
        <w:bottom w:val="none" w:sz="0" w:space="0" w:color="auto"/>
        <w:right w:val="none" w:sz="0" w:space="0" w:color="auto"/>
      </w:divBdr>
    </w:div>
    <w:div w:id="149568039">
      <w:bodyDiv w:val="1"/>
      <w:marLeft w:val="0"/>
      <w:marRight w:val="0"/>
      <w:marTop w:val="0"/>
      <w:marBottom w:val="0"/>
      <w:divBdr>
        <w:top w:val="none" w:sz="0" w:space="0" w:color="auto"/>
        <w:left w:val="none" w:sz="0" w:space="0" w:color="auto"/>
        <w:bottom w:val="none" w:sz="0" w:space="0" w:color="auto"/>
        <w:right w:val="none" w:sz="0" w:space="0" w:color="auto"/>
      </w:divBdr>
      <w:divsChild>
        <w:div w:id="232356259">
          <w:marLeft w:val="0"/>
          <w:marRight w:val="0"/>
          <w:marTop w:val="0"/>
          <w:marBottom w:val="0"/>
          <w:divBdr>
            <w:top w:val="none" w:sz="0" w:space="0" w:color="auto"/>
            <w:left w:val="none" w:sz="0" w:space="0" w:color="auto"/>
            <w:bottom w:val="none" w:sz="0" w:space="0" w:color="auto"/>
            <w:right w:val="none" w:sz="0" w:space="0" w:color="auto"/>
          </w:divBdr>
          <w:divsChild>
            <w:div w:id="1744908512">
              <w:marLeft w:val="0"/>
              <w:marRight w:val="0"/>
              <w:marTop w:val="0"/>
              <w:marBottom w:val="0"/>
              <w:divBdr>
                <w:top w:val="none" w:sz="0" w:space="0" w:color="auto"/>
                <w:left w:val="none" w:sz="0" w:space="0" w:color="auto"/>
                <w:bottom w:val="none" w:sz="0" w:space="0" w:color="auto"/>
                <w:right w:val="none" w:sz="0" w:space="0" w:color="auto"/>
              </w:divBdr>
              <w:divsChild>
                <w:div w:id="600376099">
                  <w:marLeft w:val="0"/>
                  <w:marRight w:val="0"/>
                  <w:marTop w:val="0"/>
                  <w:marBottom w:val="0"/>
                  <w:divBdr>
                    <w:top w:val="none" w:sz="0" w:space="0" w:color="auto"/>
                    <w:left w:val="none" w:sz="0" w:space="0" w:color="auto"/>
                    <w:bottom w:val="none" w:sz="0" w:space="0" w:color="auto"/>
                    <w:right w:val="none" w:sz="0" w:space="0" w:color="auto"/>
                  </w:divBdr>
                  <w:divsChild>
                    <w:div w:id="116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21582">
      <w:bodyDiv w:val="1"/>
      <w:marLeft w:val="0"/>
      <w:marRight w:val="0"/>
      <w:marTop w:val="0"/>
      <w:marBottom w:val="0"/>
      <w:divBdr>
        <w:top w:val="none" w:sz="0" w:space="0" w:color="auto"/>
        <w:left w:val="none" w:sz="0" w:space="0" w:color="auto"/>
        <w:bottom w:val="none" w:sz="0" w:space="0" w:color="auto"/>
        <w:right w:val="none" w:sz="0" w:space="0" w:color="auto"/>
      </w:divBdr>
      <w:divsChild>
        <w:div w:id="545990809">
          <w:marLeft w:val="0"/>
          <w:marRight w:val="0"/>
          <w:marTop w:val="0"/>
          <w:marBottom w:val="0"/>
          <w:divBdr>
            <w:top w:val="none" w:sz="0" w:space="0" w:color="auto"/>
            <w:left w:val="none" w:sz="0" w:space="0" w:color="auto"/>
            <w:bottom w:val="none" w:sz="0" w:space="0" w:color="auto"/>
            <w:right w:val="none" w:sz="0" w:space="0" w:color="auto"/>
          </w:divBdr>
          <w:divsChild>
            <w:div w:id="961887944">
              <w:marLeft w:val="0"/>
              <w:marRight w:val="0"/>
              <w:marTop w:val="0"/>
              <w:marBottom w:val="0"/>
              <w:divBdr>
                <w:top w:val="none" w:sz="0" w:space="0" w:color="auto"/>
                <w:left w:val="none" w:sz="0" w:space="0" w:color="auto"/>
                <w:bottom w:val="none" w:sz="0" w:space="0" w:color="auto"/>
                <w:right w:val="none" w:sz="0" w:space="0" w:color="auto"/>
              </w:divBdr>
              <w:divsChild>
                <w:div w:id="1273589089">
                  <w:marLeft w:val="0"/>
                  <w:marRight w:val="0"/>
                  <w:marTop w:val="0"/>
                  <w:marBottom w:val="0"/>
                  <w:divBdr>
                    <w:top w:val="none" w:sz="0" w:space="0" w:color="auto"/>
                    <w:left w:val="none" w:sz="0" w:space="0" w:color="auto"/>
                    <w:bottom w:val="none" w:sz="0" w:space="0" w:color="auto"/>
                    <w:right w:val="none" w:sz="0" w:space="0" w:color="auto"/>
                  </w:divBdr>
                  <w:divsChild>
                    <w:div w:id="874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7989">
      <w:bodyDiv w:val="1"/>
      <w:marLeft w:val="0"/>
      <w:marRight w:val="0"/>
      <w:marTop w:val="0"/>
      <w:marBottom w:val="0"/>
      <w:divBdr>
        <w:top w:val="none" w:sz="0" w:space="0" w:color="auto"/>
        <w:left w:val="none" w:sz="0" w:space="0" w:color="auto"/>
        <w:bottom w:val="none" w:sz="0" w:space="0" w:color="auto"/>
        <w:right w:val="none" w:sz="0" w:space="0" w:color="auto"/>
      </w:divBdr>
    </w:div>
    <w:div w:id="2003921498">
      <w:bodyDiv w:val="1"/>
      <w:marLeft w:val="0"/>
      <w:marRight w:val="0"/>
      <w:marTop w:val="0"/>
      <w:marBottom w:val="0"/>
      <w:divBdr>
        <w:top w:val="none" w:sz="0" w:space="0" w:color="auto"/>
        <w:left w:val="none" w:sz="0" w:space="0" w:color="auto"/>
        <w:bottom w:val="none" w:sz="0" w:space="0" w:color="auto"/>
        <w:right w:val="none" w:sz="0" w:space="0" w:color="auto"/>
      </w:divBdr>
      <w:divsChild>
        <w:div w:id="996154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2.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B540CE-68B3-47DD-95B4-7C026099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1482</Words>
  <Characters>8153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Juan Manuel Henao Gallego</cp:lastModifiedBy>
  <cp:revision>19</cp:revision>
  <cp:lastPrinted>2023-02-19T22:55:00Z</cp:lastPrinted>
  <dcterms:created xsi:type="dcterms:W3CDTF">2025-04-02T23:57:00Z</dcterms:created>
  <dcterms:modified xsi:type="dcterms:W3CDTF">2025-04-04T23:00:00Z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