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C0E1" w14:textId="614C439D" w:rsidR="005516C1" w:rsidRPr="00561FF0" w:rsidRDefault="005516C1" w:rsidP="005516C1">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r w:rsidRPr="00561FF0">
        <w:rPr>
          <w:rStyle w:val="xcontentpasted0"/>
          <w:rFonts w:ascii="Arial" w:hAnsi="Arial" w:cs="Arial"/>
          <w:b/>
          <w:bCs/>
          <w:sz w:val="22"/>
          <w:szCs w:val="22"/>
          <w:u w:val="single"/>
          <w:bdr w:val="none" w:sz="0" w:space="0" w:color="auto" w:frame="1"/>
        </w:rPr>
        <w:t>CALIFICACIÓN DE LA CONTINGENCIA</w:t>
      </w:r>
    </w:p>
    <w:p w14:paraId="53E5C8A1" w14:textId="77777777" w:rsidR="005516C1" w:rsidRPr="00561FF0" w:rsidRDefault="005516C1" w:rsidP="0085527E">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5A97B53" w14:textId="0E900745" w:rsidR="0085527E" w:rsidRPr="00561FF0" w:rsidRDefault="0085527E" w:rsidP="0085527E">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561FF0">
        <w:rPr>
          <w:rStyle w:val="xcontentpasted0"/>
          <w:rFonts w:ascii="Arial" w:hAnsi="Arial" w:cs="Arial"/>
          <w:sz w:val="22"/>
          <w:szCs w:val="22"/>
          <w:bdr w:val="none" w:sz="0" w:space="0" w:color="auto" w:frame="1"/>
        </w:rPr>
        <w:t>La contingencia se califica como PROBABLE, toda vez que, dependerá del debate probatorio determinar si se cumplen los presupuestos para que prospere la nulidad relativa de</w:t>
      </w:r>
      <w:r w:rsidR="00B00477" w:rsidRPr="00561FF0">
        <w:rPr>
          <w:rStyle w:val="xcontentpasted0"/>
          <w:rFonts w:ascii="Arial" w:hAnsi="Arial" w:cs="Arial"/>
          <w:sz w:val="22"/>
          <w:szCs w:val="22"/>
          <w:bdr w:val="none" w:sz="0" w:space="0" w:color="auto" w:frame="1"/>
        </w:rPr>
        <w:t xml:space="preserve">l </w:t>
      </w:r>
      <w:r w:rsidRPr="00561FF0">
        <w:rPr>
          <w:rStyle w:val="xcontentpasted0"/>
          <w:rFonts w:ascii="Arial" w:hAnsi="Arial" w:cs="Arial"/>
          <w:sz w:val="22"/>
          <w:szCs w:val="22"/>
          <w:bdr w:val="none" w:sz="0" w:space="0" w:color="auto" w:frame="1"/>
        </w:rPr>
        <w:t xml:space="preserve">contrato de seguro contenido en la </w:t>
      </w:r>
      <w:r w:rsidRPr="00561FF0">
        <w:rPr>
          <w:rFonts w:ascii="Arial" w:hAnsi="Arial" w:cs="Arial"/>
          <w:sz w:val="22"/>
          <w:szCs w:val="22"/>
          <w:lang w:val="es-MX"/>
        </w:rPr>
        <w:t xml:space="preserve">Póliza </w:t>
      </w:r>
      <w:r w:rsidR="00B00477" w:rsidRPr="00561FF0">
        <w:rPr>
          <w:rFonts w:ascii="Arial" w:hAnsi="Arial" w:cs="Arial"/>
          <w:sz w:val="22"/>
          <w:szCs w:val="22"/>
          <w:lang w:val="es-MX"/>
        </w:rPr>
        <w:t xml:space="preserve">Seguro Vida </w:t>
      </w:r>
      <w:r w:rsidRPr="00561FF0">
        <w:rPr>
          <w:rFonts w:ascii="Arial" w:hAnsi="Arial" w:cs="Arial"/>
          <w:sz w:val="22"/>
          <w:szCs w:val="22"/>
          <w:lang w:val="es-MX"/>
        </w:rPr>
        <w:t xml:space="preserve">Grupo No. </w:t>
      </w:r>
      <w:r w:rsidR="00B00477" w:rsidRPr="00561FF0">
        <w:rPr>
          <w:rFonts w:ascii="Arial" w:eastAsia="Times New Roman" w:hAnsi="Arial" w:cs="Arial"/>
          <w:color w:val="000000"/>
          <w:sz w:val="22"/>
          <w:szCs w:val="22"/>
          <w:bdr w:val="none" w:sz="0" w:space="0" w:color="auto" w:frame="1"/>
        </w:rPr>
        <w:t>AA00762</w:t>
      </w:r>
      <w:r w:rsidR="00C61717">
        <w:rPr>
          <w:rFonts w:ascii="Arial" w:eastAsia="Times New Roman" w:hAnsi="Arial" w:cs="Arial"/>
          <w:color w:val="000000"/>
          <w:sz w:val="22"/>
          <w:szCs w:val="22"/>
          <w:bdr w:val="none" w:sz="0" w:space="0" w:color="auto" w:frame="1"/>
        </w:rPr>
        <w:t>5</w:t>
      </w:r>
      <w:r w:rsidRPr="00561FF0">
        <w:rPr>
          <w:rFonts w:ascii="Arial" w:hAnsi="Arial" w:cs="Arial"/>
          <w:sz w:val="22"/>
          <w:szCs w:val="22"/>
        </w:rPr>
        <w:t>.</w:t>
      </w:r>
    </w:p>
    <w:p w14:paraId="01ED09C8" w14:textId="77777777" w:rsidR="0085527E" w:rsidRPr="00561FF0" w:rsidRDefault="0085527E" w:rsidP="0085527E">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05D919B0" w14:textId="438E0C36" w:rsidR="0085527E" w:rsidRPr="00561FF0" w:rsidRDefault="0085527E" w:rsidP="0085527E">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561FF0">
        <w:rPr>
          <w:rStyle w:val="xcontentpasted0"/>
          <w:rFonts w:ascii="Arial" w:hAnsi="Arial" w:cs="Arial"/>
          <w:sz w:val="22"/>
          <w:szCs w:val="22"/>
          <w:bdr w:val="none" w:sz="0" w:space="0" w:color="auto" w:frame="1"/>
        </w:rPr>
        <w:t xml:space="preserve">Lo primero que debe tomarse en consideración, es que la </w:t>
      </w:r>
      <w:r w:rsidR="00C61717" w:rsidRPr="00561FF0">
        <w:rPr>
          <w:rFonts w:ascii="Arial" w:hAnsi="Arial" w:cs="Arial"/>
          <w:sz w:val="22"/>
          <w:szCs w:val="22"/>
          <w:lang w:val="es-MX"/>
        </w:rPr>
        <w:t xml:space="preserve">Póliza </w:t>
      </w:r>
      <w:r w:rsidR="00B00477" w:rsidRPr="00561FF0">
        <w:rPr>
          <w:rFonts w:ascii="Arial" w:hAnsi="Arial" w:cs="Arial"/>
          <w:sz w:val="22"/>
          <w:szCs w:val="22"/>
          <w:lang w:val="es-MX"/>
        </w:rPr>
        <w:t xml:space="preserve">Seguro Vida Grupo No. </w:t>
      </w:r>
      <w:r w:rsidR="00B00477" w:rsidRPr="00561FF0">
        <w:rPr>
          <w:rFonts w:ascii="Arial" w:eastAsia="Times New Roman" w:hAnsi="Arial" w:cs="Arial"/>
          <w:color w:val="000000"/>
          <w:sz w:val="22"/>
          <w:szCs w:val="22"/>
          <w:bdr w:val="none" w:sz="0" w:space="0" w:color="auto" w:frame="1"/>
        </w:rPr>
        <w:t>AA00762</w:t>
      </w:r>
      <w:r w:rsidR="00C61717">
        <w:rPr>
          <w:rFonts w:ascii="Arial" w:eastAsia="Times New Roman" w:hAnsi="Arial" w:cs="Arial"/>
          <w:color w:val="000000"/>
          <w:sz w:val="22"/>
          <w:szCs w:val="22"/>
          <w:bdr w:val="none" w:sz="0" w:space="0" w:color="auto" w:frame="1"/>
        </w:rPr>
        <w:t>5</w:t>
      </w:r>
      <w:r w:rsidRPr="00561FF0">
        <w:rPr>
          <w:rFonts w:ascii="Arial" w:eastAsia="Times New Roman" w:hAnsi="Arial" w:cs="Arial"/>
          <w:color w:val="000000"/>
          <w:sz w:val="22"/>
          <w:szCs w:val="22"/>
          <w:bdr w:val="none" w:sz="0" w:space="0" w:color="auto" w:frame="1"/>
        </w:rPr>
        <w:t xml:space="preserve"> </w:t>
      </w:r>
      <w:r w:rsidRPr="00561FF0">
        <w:rPr>
          <w:rStyle w:val="xcontentpasted0"/>
          <w:rFonts w:ascii="Arial" w:hAnsi="Arial" w:cs="Arial"/>
          <w:sz w:val="22"/>
          <w:szCs w:val="22"/>
          <w:bdr w:val="none" w:sz="0" w:space="0" w:color="auto" w:frame="1"/>
        </w:rPr>
        <w:t>cuy</w:t>
      </w:r>
      <w:r w:rsidR="00B00477" w:rsidRPr="00561FF0">
        <w:rPr>
          <w:rStyle w:val="xcontentpasted0"/>
          <w:rFonts w:ascii="Arial" w:hAnsi="Arial" w:cs="Arial"/>
          <w:sz w:val="22"/>
          <w:szCs w:val="22"/>
          <w:bdr w:val="none" w:sz="0" w:space="0" w:color="auto" w:frame="1"/>
        </w:rPr>
        <w:t>a</w:t>
      </w:r>
      <w:r w:rsidRPr="00561FF0">
        <w:rPr>
          <w:rStyle w:val="xcontentpasted0"/>
          <w:rFonts w:ascii="Arial" w:hAnsi="Arial" w:cs="Arial"/>
          <w:sz w:val="22"/>
          <w:szCs w:val="22"/>
          <w:bdr w:val="none" w:sz="0" w:space="0" w:color="auto" w:frame="1"/>
        </w:rPr>
        <w:t xml:space="preserve"> asegurad</w:t>
      </w:r>
      <w:r w:rsidR="00B00477" w:rsidRPr="00561FF0">
        <w:rPr>
          <w:rStyle w:val="xcontentpasted0"/>
          <w:rFonts w:ascii="Arial" w:hAnsi="Arial" w:cs="Arial"/>
          <w:sz w:val="22"/>
          <w:szCs w:val="22"/>
          <w:bdr w:val="none" w:sz="0" w:space="0" w:color="auto" w:frame="1"/>
        </w:rPr>
        <w:t>a</w:t>
      </w:r>
      <w:r w:rsidRPr="00561FF0">
        <w:rPr>
          <w:rStyle w:val="xcontentpasted0"/>
          <w:rFonts w:ascii="Arial" w:hAnsi="Arial" w:cs="Arial"/>
          <w:sz w:val="22"/>
          <w:szCs w:val="22"/>
          <w:bdr w:val="none" w:sz="0" w:space="0" w:color="auto" w:frame="1"/>
        </w:rPr>
        <w:t xml:space="preserve"> fue </w:t>
      </w:r>
      <w:r w:rsidR="00B00477" w:rsidRPr="00561FF0">
        <w:rPr>
          <w:rStyle w:val="xcontentpasted0"/>
          <w:rFonts w:ascii="Arial" w:hAnsi="Arial" w:cs="Arial"/>
          <w:sz w:val="22"/>
          <w:szCs w:val="22"/>
          <w:bdr w:val="none" w:sz="0" w:space="0" w:color="auto" w:frame="1"/>
        </w:rPr>
        <w:t>la señora</w:t>
      </w:r>
      <w:r w:rsidRPr="00561FF0">
        <w:rPr>
          <w:rStyle w:val="xcontentpasted0"/>
          <w:rFonts w:ascii="Arial" w:hAnsi="Arial" w:cs="Arial"/>
          <w:sz w:val="22"/>
          <w:szCs w:val="22"/>
          <w:bdr w:val="none" w:sz="0" w:space="0" w:color="auto" w:frame="1"/>
        </w:rPr>
        <w:t xml:space="preserve"> </w:t>
      </w:r>
      <w:r w:rsidR="00B00477" w:rsidRPr="00561FF0">
        <w:rPr>
          <w:rFonts w:ascii="Arial" w:eastAsia="Times New Roman" w:hAnsi="Arial" w:cs="Arial"/>
          <w:color w:val="000000"/>
          <w:sz w:val="22"/>
          <w:szCs w:val="22"/>
          <w:bdr w:val="none" w:sz="0" w:space="0" w:color="auto" w:frame="1"/>
        </w:rPr>
        <w:t>Ligia González Castañeda</w:t>
      </w:r>
      <w:r w:rsidRPr="00561FF0">
        <w:rPr>
          <w:rStyle w:val="xcontentpasted0"/>
          <w:rFonts w:ascii="Arial" w:hAnsi="Arial" w:cs="Arial"/>
          <w:sz w:val="22"/>
          <w:szCs w:val="22"/>
          <w:bdr w:val="none" w:sz="0" w:space="0" w:color="auto" w:frame="1"/>
        </w:rPr>
        <w:t xml:space="preserve">, presta cobertura </w:t>
      </w:r>
      <w:r w:rsidR="00B00477" w:rsidRPr="00561FF0">
        <w:rPr>
          <w:rStyle w:val="xcontentpasted0"/>
          <w:rFonts w:ascii="Arial" w:hAnsi="Arial" w:cs="Arial"/>
          <w:sz w:val="22"/>
          <w:szCs w:val="22"/>
          <w:bdr w:val="none" w:sz="0" w:space="0" w:color="auto" w:frame="1"/>
        </w:rPr>
        <w:t xml:space="preserve">material y temporal </w:t>
      </w:r>
      <w:r w:rsidRPr="00561FF0">
        <w:rPr>
          <w:rStyle w:val="xcontentpasted0"/>
          <w:rFonts w:ascii="Arial" w:hAnsi="Arial" w:cs="Arial"/>
          <w:sz w:val="22"/>
          <w:szCs w:val="22"/>
          <w:bdr w:val="none" w:sz="0" w:space="0" w:color="auto" w:frame="1"/>
        </w:rPr>
        <w:t xml:space="preserve">de conformidad con los hechos y pretensiones expuestas en el libelo de la demanda. </w:t>
      </w:r>
      <w:r w:rsidR="00B00477" w:rsidRPr="00561FF0">
        <w:rPr>
          <w:rStyle w:val="xcontentpasted0"/>
          <w:rFonts w:ascii="Arial" w:hAnsi="Arial" w:cs="Arial"/>
          <w:sz w:val="22"/>
          <w:szCs w:val="22"/>
          <w:bdr w:val="none" w:sz="0" w:space="0" w:color="auto" w:frame="1"/>
          <w:shd w:val="clear" w:color="auto" w:fill="FFFFFF"/>
        </w:rPr>
        <w:t xml:space="preserve">Frente a la cobertura </w:t>
      </w:r>
      <w:r w:rsidR="00B00477" w:rsidRPr="00561FF0">
        <w:rPr>
          <w:rStyle w:val="xcontentpasted0"/>
          <w:rFonts w:ascii="Arial" w:hAnsi="Arial" w:cs="Arial"/>
          <w:sz w:val="22"/>
          <w:szCs w:val="22"/>
          <w:bdr w:val="none" w:sz="0" w:space="0" w:color="auto" w:frame="1"/>
        </w:rPr>
        <w:t xml:space="preserve">material, debe señalarse </w:t>
      </w:r>
      <w:r w:rsidR="00B00477" w:rsidRPr="00561FF0">
        <w:rPr>
          <w:rStyle w:val="xcontentpasted0"/>
          <w:rFonts w:ascii="Arial" w:hAnsi="Arial" w:cs="Arial"/>
          <w:sz w:val="22"/>
          <w:szCs w:val="22"/>
          <w:bdr w:val="none" w:sz="0" w:space="0" w:color="auto" w:frame="1"/>
          <w:shd w:val="clear" w:color="auto" w:fill="FFFFFF"/>
        </w:rPr>
        <w:t xml:space="preserve">que la póliza cuenta con el amparo </w:t>
      </w:r>
      <w:r w:rsidR="00B00477" w:rsidRPr="00561FF0">
        <w:rPr>
          <w:rStyle w:val="xcontentpasted0"/>
          <w:rFonts w:ascii="Arial" w:hAnsi="Arial" w:cs="Arial"/>
          <w:i/>
          <w:iCs/>
          <w:sz w:val="22"/>
          <w:szCs w:val="22"/>
          <w:bdr w:val="none" w:sz="0" w:space="0" w:color="auto" w:frame="1"/>
          <w:shd w:val="clear" w:color="auto" w:fill="FFFFFF"/>
        </w:rPr>
        <w:t>básico (muerte)</w:t>
      </w:r>
      <w:r w:rsidR="00B00477" w:rsidRPr="00561FF0">
        <w:rPr>
          <w:rStyle w:val="xcontentpasted0"/>
          <w:rFonts w:ascii="Arial" w:hAnsi="Arial" w:cs="Arial"/>
          <w:sz w:val="22"/>
          <w:szCs w:val="22"/>
          <w:bdr w:val="none" w:sz="0" w:space="0" w:color="auto" w:frame="1"/>
          <w:shd w:val="clear" w:color="auto" w:fill="FFFFFF"/>
        </w:rPr>
        <w:t xml:space="preserve">, el cual pretende afectarse. </w:t>
      </w:r>
      <w:r w:rsidR="00C61717">
        <w:rPr>
          <w:rStyle w:val="xcontentpasted0"/>
          <w:rFonts w:ascii="Arial" w:hAnsi="Arial" w:cs="Arial"/>
          <w:sz w:val="22"/>
          <w:szCs w:val="22"/>
          <w:bdr w:val="none" w:sz="0" w:space="0" w:color="auto" w:frame="1"/>
          <w:shd w:val="clear" w:color="auto" w:fill="FFFFFF"/>
        </w:rPr>
        <w:t>Ahora bien, f</w:t>
      </w:r>
      <w:r w:rsidR="00B00477" w:rsidRPr="00561FF0">
        <w:rPr>
          <w:rStyle w:val="xcontentpasted0"/>
          <w:rFonts w:ascii="Arial" w:hAnsi="Arial" w:cs="Arial"/>
          <w:sz w:val="22"/>
          <w:szCs w:val="22"/>
          <w:bdr w:val="none" w:sz="0" w:space="0" w:color="auto" w:frame="1"/>
          <w:shd w:val="clear" w:color="auto" w:fill="FFFFFF"/>
        </w:rPr>
        <w:t xml:space="preserve">rente a la cobertura temporal, debe señalarse que el siniestro ocurrió el 25 de enero de 2024, fecha de fallecimiento de la asegurada, es decir, ocurrió dentro de la vigencia comprendida desde el 01 de </w:t>
      </w:r>
      <w:r w:rsidR="00C61717">
        <w:rPr>
          <w:rStyle w:val="xcontentpasted0"/>
          <w:rFonts w:ascii="Arial" w:hAnsi="Arial" w:cs="Arial"/>
          <w:sz w:val="22"/>
          <w:szCs w:val="22"/>
          <w:bdr w:val="none" w:sz="0" w:space="0" w:color="auto" w:frame="1"/>
          <w:shd w:val="clear" w:color="auto" w:fill="FFFFFF"/>
        </w:rPr>
        <w:t>octubre</w:t>
      </w:r>
      <w:r w:rsidR="00B00477" w:rsidRPr="00561FF0">
        <w:rPr>
          <w:rStyle w:val="xcontentpasted0"/>
          <w:rFonts w:ascii="Arial" w:hAnsi="Arial" w:cs="Arial"/>
          <w:sz w:val="22"/>
          <w:szCs w:val="22"/>
          <w:bdr w:val="none" w:sz="0" w:space="0" w:color="auto" w:frame="1"/>
          <w:shd w:val="clear" w:color="auto" w:fill="FFFFFF"/>
        </w:rPr>
        <w:t xml:space="preserve"> de 2022 y el 01 de septiembre de 2024. </w:t>
      </w:r>
    </w:p>
    <w:p w14:paraId="2D9D9AC0" w14:textId="77777777" w:rsidR="00B00477" w:rsidRPr="00561FF0" w:rsidRDefault="00B00477" w:rsidP="0085527E">
      <w:pPr>
        <w:pStyle w:val="xmsonormal"/>
        <w:shd w:val="clear" w:color="auto" w:fill="FFFFFF"/>
        <w:spacing w:before="0" w:beforeAutospacing="0" w:after="0" w:afterAutospacing="0" w:line="276" w:lineRule="auto"/>
        <w:jc w:val="both"/>
        <w:rPr>
          <w:rFonts w:ascii="Arial" w:hAnsi="Arial" w:cs="Arial"/>
          <w:sz w:val="22"/>
          <w:szCs w:val="22"/>
        </w:rPr>
      </w:pPr>
    </w:p>
    <w:p w14:paraId="2B1EF651" w14:textId="575A6F7D" w:rsidR="00C61717" w:rsidRDefault="0085527E" w:rsidP="0085527E">
      <w:pPr>
        <w:pStyle w:val="xmsonormal"/>
        <w:shd w:val="clear" w:color="auto" w:fill="FFFFFF"/>
        <w:spacing w:before="0" w:beforeAutospacing="0" w:after="0" w:afterAutospacing="0" w:line="276" w:lineRule="auto"/>
        <w:jc w:val="both"/>
        <w:rPr>
          <w:rFonts w:ascii="Arial" w:hAnsi="Arial" w:cs="Arial"/>
          <w:sz w:val="22"/>
          <w:szCs w:val="22"/>
        </w:rPr>
      </w:pPr>
      <w:r w:rsidRPr="00561FF0">
        <w:rPr>
          <w:rFonts w:ascii="Arial" w:hAnsi="Arial" w:cs="Arial"/>
          <w:sz w:val="22"/>
          <w:szCs w:val="22"/>
        </w:rPr>
        <w:t>Por otro lado, frente a la obligación de pago de la compañía</w:t>
      </w:r>
      <w:r w:rsidR="00B00477" w:rsidRPr="00561FF0">
        <w:rPr>
          <w:rFonts w:ascii="Arial" w:hAnsi="Arial" w:cs="Arial"/>
          <w:sz w:val="22"/>
          <w:szCs w:val="22"/>
        </w:rPr>
        <w:t xml:space="preserve"> aseguradora,</w:t>
      </w:r>
      <w:r w:rsidRPr="00561FF0">
        <w:rPr>
          <w:rFonts w:ascii="Arial" w:hAnsi="Arial" w:cs="Arial"/>
          <w:sz w:val="22"/>
          <w:szCs w:val="22"/>
        </w:rPr>
        <w:t xml:space="preserve"> debe señalarse que si bien </w:t>
      </w:r>
      <w:r w:rsidR="00B00477" w:rsidRPr="00561FF0">
        <w:rPr>
          <w:rFonts w:ascii="Arial" w:hAnsi="Arial" w:cs="Arial"/>
          <w:sz w:val="22"/>
          <w:szCs w:val="22"/>
        </w:rPr>
        <w:t>la señora Ligia González Castañeda</w:t>
      </w:r>
      <w:r w:rsidRPr="00561FF0">
        <w:rPr>
          <w:rFonts w:ascii="Arial" w:hAnsi="Arial" w:cs="Arial"/>
          <w:sz w:val="22"/>
          <w:szCs w:val="22"/>
        </w:rPr>
        <w:t xml:space="preserve"> fue reticente en virtud de que no declaro con veracidad el estado real del riesgo al momento de la suscripción de su aseguramiento, pues conforme a los anexos se evidencia que padecía de</w:t>
      </w:r>
      <w:r w:rsidR="00B00477" w:rsidRPr="00B00477">
        <w:rPr>
          <w:rFonts w:ascii="Arial" w:hAnsi="Arial" w:cs="Arial"/>
          <w:sz w:val="22"/>
          <w:szCs w:val="22"/>
        </w:rPr>
        <w:t>:</w:t>
      </w:r>
      <w:r w:rsidR="00B00477" w:rsidRPr="00561FF0">
        <w:rPr>
          <w:rFonts w:ascii="Arial" w:hAnsi="Arial" w:cs="Arial"/>
          <w:sz w:val="22"/>
          <w:szCs w:val="22"/>
        </w:rPr>
        <w:t xml:space="preserve"> </w:t>
      </w:r>
      <w:r w:rsidR="00B00477" w:rsidRPr="00B00477">
        <w:rPr>
          <w:rFonts w:ascii="Arial" w:hAnsi="Arial" w:cs="Arial"/>
          <w:b/>
          <w:bCs/>
          <w:sz w:val="22"/>
          <w:szCs w:val="22"/>
        </w:rPr>
        <w:t>i)</w:t>
      </w:r>
      <w:r w:rsidR="00B00477" w:rsidRPr="00561FF0">
        <w:rPr>
          <w:rFonts w:ascii="Arial" w:hAnsi="Arial" w:cs="Arial"/>
          <w:sz w:val="22"/>
          <w:szCs w:val="22"/>
        </w:rPr>
        <w:t xml:space="preserve"> </w:t>
      </w:r>
      <w:r w:rsidR="00B00477" w:rsidRPr="00B00477">
        <w:rPr>
          <w:rFonts w:ascii="Arial" w:hAnsi="Arial" w:cs="Arial"/>
          <w:sz w:val="22"/>
          <w:szCs w:val="22"/>
        </w:rPr>
        <w:t xml:space="preserve">carcinoma urotelial papilar de alto grado in situ de vejiga T1G3 – carcinoma urotelial metastásico </w:t>
      </w:r>
      <w:r w:rsidR="00C61717">
        <w:rPr>
          <w:rFonts w:ascii="Arial" w:hAnsi="Arial" w:cs="Arial"/>
          <w:sz w:val="22"/>
          <w:szCs w:val="22"/>
        </w:rPr>
        <w:t>desde</w:t>
      </w:r>
      <w:r w:rsidR="00B00477" w:rsidRPr="00561FF0">
        <w:rPr>
          <w:rFonts w:ascii="Arial" w:hAnsi="Arial" w:cs="Arial"/>
          <w:sz w:val="22"/>
          <w:szCs w:val="22"/>
        </w:rPr>
        <w:t xml:space="preserve"> </w:t>
      </w:r>
      <w:r w:rsidR="00B00477" w:rsidRPr="00B00477">
        <w:rPr>
          <w:rFonts w:ascii="Arial" w:hAnsi="Arial" w:cs="Arial"/>
          <w:sz w:val="22"/>
          <w:szCs w:val="22"/>
        </w:rPr>
        <w:t>marzo de 2017 conforme se observa en la historia clínica de Hospital Pablo Tobón Uribe de la</w:t>
      </w:r>
      <w:r w:rsidR="00B00477" w:rsidRPr="00561FF0">
        <w:rPr>
          <w:rFonts w:ascii="Arial" w:hAnsi="Arial" w:cs="Arial"/>
          <w:sz w:val="22"/>
          <w:szCs w:val="22"/>
        </w:rPr>
        <w:t xml:space="preserve"> </w:t>
      </w:r>
      <w:r w:rsidR="00B00477" w:rsidRPr="00B00477">
        <w:rPr>
          <w:rFonts w:ascii="Arial" w:hAnsi="Arial" w:cs="Arial"/>
          <w:sz w:val="22"/>
          <w:szCs w:val="22"/>
        </w:rPr>
        <w:t xml:space="preserve">ciudad de Medellín, </w:t>
      </w:r>
      <w:proofErr w:type="spellStart"/>
      <w:r w:rsidR="00B00477" w:rsidRPr="00B00477">
        <w:rPr>
          <w:rFonts w:ascii="Arial" w:hAnsi="Arial" w:cs="Arial"/>
          <w:b/>
          <w:bCs/>
          <w:sz w:val="22"/>
          <w:szCs w:val="22"/>
        </w:rPr>
        <w:t>ii</w:t>
      </w:r>
      <w:proofErr w:type="spellEnd"/>
      <w:r w:rsidR="00B00477" w:rsidRPr="00B00477">
        <w:rPr>
          <w:rFonts w:ascii="Arial" w:hAnsi="Arial" w:cs="Arial"/>
          <w:b/>
          <w:bCs/>
          <w:sz w:val="22"/>
          <w:szCs w:val="22"/>
        </w:rPr>
        <w:t>)</w:t>
      </w:r>
      <w:r w:rsidR="00B00477" w:rsidRPr="00B00477">
        <w:rPr>
          <w:rFonts w:ascii="Arial" w:hAnsi="Arial" w:cs="Arial"/>
          <w:sz w:val="22"/>
          <w:szCs w:val="22"/>
        </w:rPr>
        <w:t xml:space="preserve"> hipertensión arterial con diagnóstico del 04 de octubre de 2020 como se</w:t>
      </w:r>
      <w:r w:rsidR="00B00477" w:rsidRPr="00561FF0">
        <w:rPr>
          <w:rFonts w:ascii="Arial" w:hAnsi="Arial" w:cs="Arial"/>
          <w:sz w:val="22"/>
          <w:szCs w:val="22"/>
        </w:rPr>
        <w:t xml:space="preserve"> </w:t>
      </w:r>
      <w:r w:rsidR="00B00477" w:rsidRPr="00B00477">
        <w:rPr>
          <w:rFonts w:ascii="Arial" w:hAnsi="Arial" w:cs="Arial"/>
          <w:sz w:val="22"/>
          <w:szCs w:val="22"/>
        </w:rPr>
        <w:t xml:space="preserve">extrae de la historia clínica de la Fundación Santa Fe de la ciudad de Bogotá y </w:t>
      </w:r>
      <w:proofErr w:type="spellStart"/>
      <w:r w:rsidR="00B00477" w:rsidRPr="00B00477">
        <w:rPr>
          <w:rFonts w:ascii="Arial" w:hAnsi="Arial" w:cs="Arial"/>
          <w:b/>
          <w:bCs/>
          <w:sz w:val="22"/>
          <w:szCs w:val="22"/>
        </w:rPr>
        <w:t>iii</w:t>
      </w:r>
      <w:proofErr w:type="spellEnd"/>
      <w:r w:rsidR="00B00477" w:rsidRPr="00B00477">
        <w:rPr>
          <w:rFonts w:ascii="Arial" w:hAnsi="Arial" w:cs="Arial"/>
          <w:b/>
          <w:bCs/>
          <w:sz w:val="22"/>
          <w:szCs w:val="22"/>
        </w:rPr>
        <w:t>)</w:t>
      </w:r>
      <w:r w:rsidR="00B00477" w:rsidRPr="00B00477">
        <w:rPr>
          <w:rFonts w:ascii="Arial" w:hAnsi="Arial" w:cs="Arial"/>
          <w:sz w:val="22"/>
          <w:szCs w:val="22"/>
        </w:rPr>
        <w:t xml:space="preserve"> tromboembolismo</w:t>
      </w:r>
      <w:r w:rsidR="00B00477" w:rsidRPr="00561FF0">
        <w:rPr>
          <w:rFonts w:ascii="Arial" w:hAnsi="Arial" w:cs="Arial"/>
          <w:sz w:val="22"/>
          <w:szCs w:val="22"/>
        </w:rPr>
        <w:t xml:space="preserve"> </w:t>
      </w:r>
      <w:r w:rsidR="00B00477" w:rsidRPr="00B00477">
        <w:rPr>
          <w:rFonts w:ascii="Arial" w:hAnsi="Arial" w:cs="Arial"/>
          <w:sz w:val="22"/>
          <w:szCs w:val="22"/>
        </w:rPr>
        <w:t>pulmonar con diagnóstico del 10 de noviembre de 2020, como se extrae de la historia clínica de la</w:t>
      </w:r>
      <w:r w:rsidR="00B00477" w:rsidRPr="00561FF0">
        <w:rPr>
          <w:rFonts w:ascii="Arial" w:hAnsi="Arial" w:cs="Arial"/>
          <w:sz w:val="22"/>
          <w:szCs w:val="22"/>
        </w:rPr>
        <w:t xml:space="preserve"> fundación Santa Fe de la ciudad de Bogotá</w:t>
      </w:r>
      <w:r w:rsidR="00C61717">
        <w:rPr>
          <w:rFonts w:ascii="Arial" w:hAnsi="Arial" w:cs="Arial"/>
          <w:sz w:val="22"/>
          <w:szCs w:val="22"/>
        </w:rPr>
        <w:t xml:space="preserve">. Es decir, que dichas patologias fueron diagnosticadas de manera previa a </w:t>
      </w:r>
      <w:r w:rsidRPr="00561FF0">
        <w:rPr>
          <w:rFonts w:ascii="Arial" w:hAnsi="Arial" w:cs="Arial"/>
          <w:sz w:val="22"/>
          <w:szCs w:val="22"/>
        </w:rPr>
        <w:t xml:space="preserve">su aseguramiento. Sin embargo, </w:t>
      </w:r>
      <w:r w:rsidR="00EB19ED">
        <w:rPr>
          <w:rFonts w:ascii="Arial" w:hAnsi="Arial" w:cs="Arial"/>
          <w:sz w:val="22"/>
          <w:szCs w:val="22"/>
        </w:rPr>
        <w:t>al interior del proceso no obran elementos de juicio que permitan acreditar, en este estado del proceso que, de haber conocido la existencia de dichas patologias, el contrato de seguro no se hubiera celebrado o se hubiera contratado en condiciones más onerosas.</w:t>
      </w:r>
      <w:r w:rsidR="00224DF9">
        <w:rPr>
          <w:rFonts w:ascii="Arial" w:hAnsi="Arial" w:cs="Arial"/>
          <w:sz w:val="22"/>
          <w:szCs w:val="22"/>
        </w:rPr>
        <w:t xml:space="preserve"> De manera que solo si se acredita en el curso del proceso la consecuencia negocial diferente en caso de haber conocido los antecedentes médicos de la asegurada, se hará efectiva la nulidad relativa del contrato de seguro.</w:t>
      </w:r>
    </w:p>
    <w:p w14:paraId="4FEA375A" w14:textId="77777777" w:rsidR="00224DF9" w:rsidRDefault="00224DF9" w:rsidP="0085527E">
      <w:pPr>
        <w:pStyle w:val="xmsonormal"/>
        <w:shd w:val="clear" w:color="auto" w:fill="FFFFFF"/>
        <w:spacing w:before="0" w:beforeAutospacing="0" w:after="0" w:afterAutospacing="0" w:line="276" w:lineRule="auto"/>
        <w:jc w:val="both"/>
        <w:rPr>
          <w:rFonts w:ascii="Arial" w:hAnsi="Arial" w:cs="Arial"/>
          <w:sz w:val="22"/>
          <w:szCs w:val="22"/>
        </w:rPr>
      </w:pPr>
    </w:p>
    <w:p w14:paraId="74BB36F2" w14:textId="537BD012" w:rsidR="0085527E" w:rsidRPr="00561FF0" w:rsidRDefault="005516C1" w:rsidP="0085527E">
      <w:pPr>
        <w:pStyle w:val="xmsonormal"/>
        <w:shd w:val="clear" w:color="auto" w:fill="FFFFFF"/>
        <w:spacing w:before="0" w:beforeAutospacing="0" w:after="0" w:afterAutospacing="0" w:line="276" w:lineRule="auto"/>
        <w:jc w:val="both"/>
        <w:rPr>
          <w:rFonts w:ascii="Arial" w:hAnsi="Arial" w:cs="Arial"/>
          <w:sz w:val="22"/>
          <w:szCs w:val="22"/>
        </w:rPr>
      </w:pPr>
      <w:r w:rsidRPr="00561FF0">
        <w:rPr>
          <w:rFonts w:ascii="Arial" w:hAnsi="Arial" w:cs="Arial"/>
          <w:sz w:val="22"/>
          <w:szCs w:val="22"/>
        </w:rPr>
        <w:t>T</w:t>
      </w:r>
      <w:r w:rsidR="0085527E" w:rsidRPr="00561FF0">
        <w:rPr>
          <w:rFonts w:ascii="Arial" w:hAnsi="Arial" w:cs="Arial"/>
          <w:sz w:val="22"/>
          <w:szCs w:val="22"/>
        </w:rPr>
        <w:t xml:space="preserve">odo lo anterior sin perjuicio del carácter contingente del proceso. </w:t>
      </w:r>
    </w:p>
    <w:p w14:paraId="7780DA90" w14:textId="77777777" w:rsidR="0085527E" w:rsidRPr="00561FF0" w:rsidRDefault="0085527E">
      <w:pPr>
        <w:rPr>
          <w:sz w:val="22"/>
          <w:szCs w:val="22"/>
        </w:rPr>
      </w:pPr>
    </w:p>
    <w:p w14:paraId="003AC216" w14:textId="77777777" w:rsidR="005516C1" w:rsidRPr="00561FF0" w:rsidRDefault="005516C1" w:rsidP="005516C1">
      <w:pPr>
        <w:pStyle w:val="xmsonormal"/>
        <w:shd w:val="clear" w:color="auto" w:fill="FFFFFF"/>
        <w:spacing w:before="0" w:beforeAutospacing="0" w:after="0" w:afterAutospacing="0" w:line="276" w:lineRule="auto"/>
        <w:jc w:val="center"/>
        <w:rPr>
          <w:rFonts w:ascii="Arial" w:hAnsi="Arial" w:cs="Arial"/>
          <w:sz w:val="22"/>
          <w:szCs w:val="22"/>
          <w:u w:val="single"/>
        </w:rPr>
      </w:pPr>
      <w:r w:rsidRPr="00561FF0">
        <w:rPr>
          <w:rStyle w:val="xcontentpasted0"/>
          <w:rFonts w:ascii="Arial" w:hAnsi="Arial" w:cs="Arial"/>
          <w:b/>
          <w:bCs/>
          <w:sz w:val="22"/>
          <w:szCs w:val="22"/>
          <w:u w:val="single"/>
          <w:bdr w:val="none" w:sz="0" w:space="0" w:color="auto" w:frame="1"/>
        </w:rPr>
        <w:t>LIQUIDACIÓN OBJETIVA DE LAS PRETENSIONES</w:t>
      </w:r>
    </w:p>
    <w:p w14:paraId="69348754" w14:textId="77777777" w:rsidR="005516C1" w:rsidRPr="00561FF0" w:rsidRDefault="005516C1" w:rsidP="005516C1">
      <w:pPr>
        <w:pStyle w:val="xmsonormal"/>
        <w:shd w:val="clear" w:color="auto" w:fill="FFFFFF"/>
        <w:spacing w:before="0" w:beforeAutospacing="0" w:after="0" w:afterAutospacing="0" w:line="276" w:lineRule="auto"/>
        <w:jc w:val="both"/>
        <w:rPr>
          <w:rFonts w:ascii="Arial" w:hAnsi="Arial" w:cs="Arial"/>
          <w:sz w:val="22"/>
          <w:szCs w:val="22"/>
        </w:rPr>
      </w:pPr>
      <w:r w:rsidRPr="00561FF0">
        <w:rPr>
          <w:rFonts w:ascii="Arial" w:hAnsi="Arial" w:cs="Arial"/>
          <w:b/>
          <w:bCs/>
          <w:sz w:val="22"/>
          <w:szCs w:val="22"/>
          <w:bdr w:val="none" w:sz="0" w:space="0" w:color="auto" w:frame="1"/>
        </w:rPr>
        <w:t> </w:t>
      </w:r>
    </w:p>
    <w:p w14:paraId="1F388A58" w14:textId="30FC6B91" w:rsidR="005516C1" w:rsidRPr="00561FF0" w:rsidRDefault="005516C1" w:rsidP="005516C1">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561FF0">
        <w:rPr>
          <w:rStyle w:val="xcontentpasted0"/>
          <w:rFonts w:ascii="Arial" w:hAnsi="Arial" w:cs="Arial"/>
          <w:sz w:val="22"/>
          <w:szCs w:val="22"/>
        </w:rPr>
        <w:t xml:space="preserve">La liquidación objetiva de las pretensiones se estima en la </w:t>
      </w:r>
      <w:r w:rsidRPr="00E53BE1">
        <w:rPr>
          <w:rStyle w:val="xcontentpasted0"/>
          <w:rFonts w:ascii="Arial" w:hAnsi="Arial" w:cs="Arial"/>
          <w:sz w:val="22"/>
          <w:szCs w:val="22"/>
        </w:rPr>
        <w:t>suma de </w:t>
      </w:r>
      <w:r w:rsidRPr="00E53BE1">
        <w:rPr>
          <w:rStyle w:val="xcontentpasted0"/>
          <w:rFonts w:ascii="Arial" w:hAnsi="Arial" w:cs="Arial"/>
          <w:b/>
          <w:bCs/>
          <w:sz w:val="22"/>
          <w:szCs w:val="22"/>
          <w:u w:val="single"/>
        </w:rPr>
        <w:t>$</w:t>
      </w:r>
      <w:r w:rsidR="00E53BE1" w:rsidRPr="00E53BE1">
        <w:rPr>
          <w:rStyle w:val="xcontentpasted0"/>
          <w:rFonts w:ascii="Arial" w:hAnsi="Arial" w:cs="Arial"/>
          <w:b/>
          <w:bCs/>
          <w:sz w:val="22"/>
          <w:szCs w:val="22"/>
          <w:u w:val="single"/>
        </w:rPr>
        <w:t>373</w:t>
      </w:r>
      <w:r w:rsidR="00E53BE1">
        <w:rPr>
          <w:rStyle w:val="xcontentpasted0"/>
          <w:rFonts w:ascii="Arial" w:hAnsi="Arial" w:cs="Arial"/>
          <w:b/>
          <w:bCs/>
          <w:sz w:val="22"/>
          <w:szCs w:val="22"/>
          <w:u w:val="single"/>
        </w:rPr>
        <w:t>.</w:t>
      </w:r>
      <w:r w:rsidR="00E40114">
        <w:rPr>
          <w:rStyle w:val="xcontentpasted0"/>
          <w:rFonts w:ascii="Arial" w:hAnsi="Arial" w:cs="Arial"/>
          <w:b/>
          <w:bCs/>
          <w:sz w:val="22"/>
          <w:szCs w:val="22"/>
          <w:u w:val="single"/>
        </w:rPr>
        <w:t>859</w:t>
      </w:r>
      <w:r w:rsidR="00E53BE1">
        <w:rPr>
          <w:rStyle w:val="xcontentpasted0"/>
          <w:rFonts w:ascii="Arial" w:hAnsi="Arial" w:cs="Arial"/>
          <w:b/>
          <w:bCs/>
          <w:sz w:val="22"/>
          <w:szCs w:val="22"/>
          <w:u w:val="single"/>
        </w:rPr>
        <w:t>.</w:t>
      </w:r>
      <w:r w:rsidR="00E40114">
        <w:rPr>
          <w:rStyle w:val="xcontentpasted0"/>
          <w:rFonts w:ascii="Arial" w:hAnsi="Arial" w:cs="Arial"/>
          <w:b/>
          <w:bCs/>
          <w:sz w:val="22"/>
          <w:szCs w:val="22"/>
          <w:u w:val="single"/>
        </w:rPr>
        <w:t>794</w:t>
      </w:r>
      <w:r w:rsidRPr="00561FF0">
        <w:rPr>
          <w:rStyle w:val="xcontentpasted0"/>
          <w:rFonts w:ascii="Arial" w:hAnsi="Arial" w:cs="Arial"/>
          <w:sz w:val="22"/>
          <w:szCs w:val="22"/>
        </w:rPr>
        <w:t>, lo anterior teniendo en cuenta lo siguiente:</w:t>
      </w:r>
    </w:p>
    <w:p w14:paraId="57201840" w14:textId="77777777" w:rsidR="005516C1" w:rsidRPr="00561FF0" w:rsidRDefault="005516C1" w:rsidP="005516C1">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054F37A1" w14:textId="2AF6EBB6" w:rsidR="005516C1" w:rsidRPr="00AE00AB" w:rsidRDefault="005516C1" w:rsidP="00AE00AB">
      <w:pPr>
        <w:pStyle w:val="Prrafodelista"/>
        <w:numPr>
          <w:ilvl w:val="0"/>
          <w:numId w:val="1"/>
        </w:numPr>
        <w:shd w:val="clear" w:color="auto" w:fill="FFFFFF"/>
        <w:jc w:val="both"/>
        <w:rPr>
          <w:rFonts w:eastAsia="Times New Roman"/>
          <w:color w:val="000000"/>
          <w:sz w:val="22"/>
          <w:szCs w:val="22"/>
          <w:lang w:eastAsia="es-MX"/>
        </w:rPr>
      </w:pPr>
      <w:r w:rsidRPr="00AE00AB">
        <w:rPr>
          <w:rFonts w:ascii="Arial" w:eastAsia="Times New Roman" w:hAnsi="Arial" w:cs="Arial"/>
          <w:color w:val="000000"/>
          <w:sz w:val="22"/>
          <w:szCs w:val="22"/>
          <w:u w:val="single"/>
          <w:bdr w:val="none" w:sz="0" w:space="0" w:color="auto" w:frame="1"/>
          <w:lang w:eastAsia="es-MX"/>
        </w:rPr>
        <w:t>V</w:t>
      </w:r>
      <w:proofErr w:type="spellStart"/>
      <w:r w:rsidRPr="00AE00AB">
        <w:rPr>
          <w:rFonts w:ascii="Arial" w:eastAsia="Times New Roman" w:hAnsi="Arial" w:cs="Arial"/>
          <w:color w:val="000000"/>
          <w:sz w:val="22"/>
          <w:szCs w:val="22"/>
          <w:u w:val="single"/>
          <w:bdr w:val="none" w:sz="0" w:space="0" w:color="auto" w:frame="1"/>
          <w:lang w:val="es-ES" w:eastAsia="es-MX"/>
        </w:rPr>
        <w:t>alor</w:t>
      </w:r>
      <w:proofErr w:type="spellEnd"/>
      <w:r w:rsidRPr="00AE00AB">
        <w:rPr>
          <w:rFonts w:ascii="Arial" w:eastAsia="Times New Roman" w:hAnsi="Arial" w:cs="Arial"/>
          <w:color w:val="000000"/>
          <w:sz w:val="22"/>
          <w:szCs w:val="22"/>
          <w:u w:val="single"/>
          <w:bdr w:val="none" w:sz="0" w:space="0" w:color="auto" w:frame="1"/>
          <w:lang w:val="es-ES" w:eastAsia="es-MX"/>
        </w:rPr>
        <w:t xml:space="preserve"> asegurado:</w:t>
      </w:r>
      <w:r w:rsidRPr="00AE00AB">
        <w:rPr>
          <w:rFonts w:ascii="Arial" w:eastAsia="Times New Roman" w:hAnsi="Arial" w:cs="Arial"/>
          <w:color w:val="000000"/>
          <w:sz w:val="22"/>
          <w:szCs w:val="22"/>
          <w:bdr w:val="none" w:sz="0" w:space="0" w:color="auto" w:frame="1"/>
          <w:lang w:val="es-ES" w:eastAsia="es-MX"/>
        </w:rPr>
        <w:t xml:space="preserve"> $</w:t>
      </w:r>
      <w:r w:rsidR="00443118" w:rsidRPr="00AE00AB">
        <w:rPr>
          <w:rFonts w:ascii="Arial" w:eastAsia="Times New Roman" w:hAnsi="Arial" w:cs="Arial"/>
          <w:color w:val="000000"/>
          <w:sz w:val="22"/>
          <w:szCs w:val="22"/>
          <w:bdr w:val="none" w:sz="0" w:space="0" w:color="auto" w:frame="1"/>
          <w:lang w:val="es-ES" w:eastAsia="es-MX"/>
        </w:rPr>
        <w:t>31</w:t>
      </w:r>
      <w:r w:rsidR="00AE00AB" w:rsidRPr="00AE00AB">
        <w:rPr>
          <w:rFonts w:ascii="Arial" w:eastAsia="Times New Roman" w:hAnsi="Arial" w:cs="Arial"/>
          <w:color w:val="000000"/>
          <w:sz w:val="22"/>
          <w:szCs w:val="22"/>
          <w:bdr w:val="none" w:sz="0" w:space="0" w:color="auto" w:frame="1"/>
          <w:lang w:val="es-ES" w:eastAsia="es-MX"/>
        </w:rPr>
        <w:t>9</w:t>
      </w:r>
      <w:r w:rsidR="00443118" w:rsidRPr="00AE00AB">
        <w:rPr>
          <w:rFonts w:ascii="Arial" w:eastAsia="Times New Roman" w:hAnsi="Arial" w:cs="Arial"/>
          <w:color w:val="000000"/>
          <w:sz w:val="22"/>
          <w:szCs w:val="22"/>
          <w:bdr w:val="none" w:sz="0" w:space="0" w:color="auto" w:frame="1"/>
          <w:lang w:val="es-ES" w:eastAsia="es-MX"/>
        </w:rPr>
        <w:t>.</w:t>
      </w:r>
      <w:r w:rsidR="00AE00AB" w:rsidRPr="00AE00AB">
        <w:rPr>
          <w:rFonts w:ascii="Arial" w:eastAsia="Times New Roman" w:hAnsi="Arial" w:cs="Arial"/>
          <w:color w:val="000000"/>
          <w:sz w:val="22"/>
          <w:szCs w:val="22"/>
          <w:bdr w:val="none" w:sz="0" w:space="0" w:color="auto" w:frame="1"/>
          <w:lang w:val="es-ES" w:eastAsia="es-MX"/>
        </w:rPr>
        <w:t>709.600</w:t>
      </w:r>
      <w:r w:rsidRPr="00AE00AB">
        <w:rPr>
          <w:rFonts w:ascii="Arial" w:eastAsia="Times New Roman" w:hAnsi="Arial" w:cs="Arial"/>
          <w:color w:val="000000"/>
          <w:sz w:val="22"/>
          <w:szCs w:val="22"/>
          <w:bdr w:val="none" w:sz="0" w:space="0" w:color="auto" w:frame="1"/>
          <w:lang w:val="es-ES" w:eastAsia="es-MX"/>
        </w:rPr>
        <w:t xml:space="preserve"> (conforme </w:t>
      </w:r>
      <w:r w:rsidR="00AE00AB" w:rsidRPr="00AE00AB">
        <w:rPr>
          <w:rFonts w:ascii="Arial" w:eastAsia="Times New Roman" w:hAnsi="Arial" w:cs="Arial"/>
          <w:color w:val="000000"/>
          <w:sz w:val="22"/>
          <w:szCs w:val="22"/>
          <w:bdr w:val="none" w:sz="0" w:space="0" w:color="auto" w:frame="1"/>
          <w:lang w:val="es-ES" w:eastAsia="es-MX"/>
        </w:rPr>
        <w:t>a lo establecido en el condicionado de la póliza, el valor asegurado corresponde al monto inicial del crédito otorgado por el tomador</w:t>
      </w:r>
      <w:r w:rsidR="00443118" w:rsidRPr="00AE00AB">
        <w:rPr>
          <w:rFonts w:ascii="Arial" w:eastAsia="Times New Roman" w:hAnsi="Arial" w:cs="Arial"/>
          <w:color w:val="000000"/>
          <w:sz w:val="22"/>
          <w:szCs w:val="22"/>
          <w:bdr w:val="none" w:sz="0" w:space="0" w:color="auto" w:frame="1"/>
          <w:lang w:val="es-ES" w:eastAsia="es-MX"/>
        </w:rPr>
        <w:t>)</w:t>
      </w:r>
      <w:r w:rsidR="00AE00AB" w:rsidRPr="00AE00AB">
        <w:rPr>
          <w:rFonts w:ascii="Arial" w:eastAsia="Times New Roman" w:hAnsi="Arial" w:cs="Arial"/>
          <w:color w:val="000000"/>
          <w:sz w:val="22"/>
          <w:szCs w:val="22"/>
          <w:bdr w:val="none" w:sz="0" w:space="0" w:color="auto" w:frame="1"/>
          <w:lang w:val="es-ES" w:eastAsia="es-MX"/>
        </w:rPr>
        <w:t>.</w:t>
      </w:r>
      <w:r w:rsidRPr="00AE00AB">
        <w:rPr>
          <w:rFonts w:ascii="Arial" w:eastAsia="Times New Roman" w:hAnsi="Arial" w:cs="Arial"/>
          <w:color w:val="000000"/>
          <w:sz w:val="22"/>
          <w:szCs w:val="22"/>
          <w:bdr w:val="none" w:sz="0" w:space="0" w:color="auto" w:frame="1"/>
          <w:lang w:val="es-ES" w:eastAsia="es-MX"/>
        </w:rPr>
        <w:t xml:space="preserve"> </w:t>
      </w:r>
    </w:p>
    <w:p w14:paraId="27E3DDE0" w14:textId="77777777" w:rsidR="00AE00AB" w:rsidRPr="00AE00AB" w:rsidRDefault="00AE00AB" w:rsidP="00AE00AB">
      <w:pPr>
        <w:pStyle w:val="Prrafodelista"/>
        <w:shd w:val="clear" w:color="auto" w:fill="FFFFFF"/>
        <w:jc w:val="both"/>
        <w:rPr>
          <w:rFonts w:eastAsia="Times New Roman"/>
          <w:color w:val="000000"/>
          <w:sz w:val="22"/>
          <w:szCs w:val="22"/>
          <w:lang w:eastAsia="es-MX"/>
        </w:rPr>
      </w:pPr>
    </w:p>
    <w:p w14:paraId="65C98D33" w14:textId="41D31D10" w:rsidR="005516C1" w:rsidRPr="00E40114" w:rsidRDefault="00AE00AB" w:rsidP="00E40114">
      <w:pPr>
        <w:pStyle w:val="Prrafodelista"/>
        <w:numPr>
          <w:ilvl w:val="0"/>
          <w:numId w:val="1"/>
        </w:numPr>
        <w:shd w:val="clear" w:color="auto" w:fill="FFFFFF"/>
        <w:jc w:val="both"/>
        <w:rPr>
          <w:sz w:val="22"/>
          <w:szCs w:val="22"/>
        </w:rPr>
      </w:pPr>
      <w:r w:rsidRPr="00E40114">
        <w:rPr>
          <w:rFonts w:ascii="Arial" w:eastAsia="Times New Roman" w:hAnsi="Arial" w:cs="Arial"/>
          <w:color w:val="000000"/>
          <w:sz w:val="22"/>
          <w:szCs w:val="22"/>
          <w:u w:val="single"/>
          <w:bdr w:val="none" w:sz="0" w:space="0" w:color="auto" w:frame="1"/>
          <w:lang w:eastAsia="es-MX"/>
        </w:rPr>
        <w:lastRenderedPageBreak/>
        <w:t>Intereses moratorios:</w:t>
      </w:r>
      <w:r w:rsidRPr="00E40114">
        <w:rPr>
          <w:rFonts w:ascii="Arial" w:eastAsia="Times New Roman" w:hAnsi="Arial" w:cs="Arial"/>
          <w:color w:val="000000"/>
          <w:sz w:val="22"/>
          <w:szCs w:val="22"/>
          <w:bdr w:val="none" w:sz="0" w:space="0" w:color="auto" w:frame="1"/>
          <w:lang w:eastAsia="es-MX"/>
        </w:rPr>
        <w:t xml:space="preserve"> Los intereses se liquidarán a partir del 05 de junio de 2024 (fecha de objeción, teniendo en cuenta que se desconoce la fecha de la reclamación) y hasta la fecha de presentación de este informe 18 de marzo de 2025, causando la suma de </w:t>
      </w:r>
      <w:r w:rsidR="005516C1" w:rsidRPr="00E40114">
        <w:rPr>
          <w:rFonts w:ascii="Arial" w:eastAsia="Times New Roman" w:hAnsi="Arial" w:cs="Arial"/>
          <w:color w:val="000000"/>
          <w:sz w:val="22"/>
          <w:szCs w:val="22"/>
          <w:bdr w:val="none" w:sz="0" w:space="0" w:color="auto" w:frame="1"/>
          <w:lang w:val="es-ES" w:eastAsia="es-MX"/>
        </w:rPr>
        <w:t>$</w:t>
      </w:r>
      <w:r w:rsidR="00E40114">
        <w:rPr>
          <w:rFonts w:ascii="Arial" w:eastAsia="Times New Roman" w:hAnsi="Arial" w:cs="Arial"/>
          <w:color w:val="000000"/>
          <w:sz w:val="22"/>
          <w:szCs w:val="22"/>
          <w:bdr w:val="none" w:sz="0" w:space="0" w:color="auto" w:frame="1"/>
          <w:lang w:val="es-ES" w:eastAsia="es-MX"/>
        </w:rPr>
        <w:t>54.150.194</w:t>
      </w:r>
    </w:p>
    <w:sectPr w:rsidR="005516C1" w:rsidRPr="00E40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948CD"/>
    <w:multiLevelType w:val="hybridMultilevel"/>
    <w:tmpl w:val="2CD09CA0"/>
    <w:lvl w:ilvl="0" w:tplc="407A0FD8">
      <w:numFmt w:val="bullet"/>
      <w:lvlText w:val=""/>
      <w:lvlJc w:val="left"/>
      <w:pPr>
        <w:ind w:left="720" w:hanging="360"/>
      </w:pPr>
      <w:rPr>
        <w:rFonts w:ascii="Symbol" w:eastAsia="Times New Roman" w:hAnsi="Symbol" w:cs="Arial" w:hint="default"/>
        <w:b w:val="0"/>
        <w:bCs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5906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E"/>
    <w:rsid w:val="00000DFA"/>
    <w:rsid w:val="00224DF9"/>
    <w:rsid w:val="00443118"/>
    <w:rsid w:val="005516C1"/>
    <w:rsid w:val="00561FF0"/>
    <w:rsid w:val="006B57AF"/>
    <w:rsid w:val="008230EE"/>
    <w:rsid w:val="0085527E"/>
    <w:rsid w:val="00AD4BF2"/>
    <w:rsid w:val="00AE00AB"/>
    <w:rsid w:val="00B00477"/>
    <w:rsid w:val="00C61717"/>
    <w:rsid w:val="00E40114"/>
    <w:rsid w:val="00E53BE1"/>
    <w:rsid w:val="00EB1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50FB"/>
  <w15:chartTrackingRefBased/>
  <w15:docId w15:val="{FB5C5F49-85F0-4925-8968-947D853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5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55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552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552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552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552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52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52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52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2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552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552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552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5527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552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52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52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527E"/>
    <w:rPr>
      <w:rFonts w:eastAsiaTheme="majorEastAsia" w:cstheme="majorBidi"/>
      <w:color w:val="272727" w:themeColor="text1" w:themeTint="D8"/>
    </w:rPr>
  </w:style>
  <w:style w:type="paragraph" w:styleId="Ttulo">
    <w:name w:val="Title"/>
    <w:basedOn w:val="Normal"/>
    <w:next w:val="Normal"/>
    <w:link w:val="TtuloCar"/>
    <w:uiPriority w:val="10"/>
    <w:qFormat/>
    <w:rsid w:val="0085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52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52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52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527E"/>
    <w:pPr>
      <w:spacing w:before="160"/>
      <w:jc w:val="center"/>
    </w:pPr>
    <w:rPr>
      <w:i/>
      <w:iCs/>
      <w:color w:val="404040" w:themeColor="text1" w:themeTint="BF"/>
    </w:rPr>
  </w:style>
  <w:style w:type="character" w:customStyle="1" w:styleId="CitaCar">
    <w:name w:val="Cita Car"/>
    <w:basedOn w:val="Fuentedeprrafopredeter"/>
    <w:link w:val="Cita"/>
    <w:uiPriority w:val="29"/>
    <w:rsid w:val="0085527E"/>
    <w:rPr>
      <w:i/>
      <w:iCs/>
      <w:color w:val="404040" w:themeColor="text1" w:themeTint="BF"/>
    </w:rPr>
  </w:style>
  <w:style w:type="paragraph" w:styleId="Prrafodelista">
    <w:name w:val="List Paragraph"/>
    <w:basedOn w:val="Normal"/>
    <w:uiPriority w:val="34"/>
    <w:qFormat/>
    <w:rsid w:val="0085527E"/>
    <w:pPr>
      <w:ind w:left="720"/>
      <w:contextualSpacing/>
    </w:pPr>
  </w:style>
  <w:style w:type="character" w:styleId="nfasisintenso">
    <w:name w:val="Intense Emphasis"/>
    <w:basedOn w:val="Fuentedeprrafopredeter"/>
    <w:uiPriority w:val="21"/>
    <w:qFormat/>
    <w:rsid w:val="0085527E"/>
    <w:rPr>
      <w:i/>
      <w:iCs/>
      <w:color w:val="2F5496" w:themeColor="accent1" w:themeShade="BF"/>
    </w:rPr>
  </w:style>
  <w:style w:type="paragraph" w:styleId="Citadestacada">
    <w:name w:val="Intense Quote"/>
    <w:basedOn w:val="Normal"/>
    <w:next w:val="Normal"/>
    <w:link w:val="CitadestacadaCar"/>
    <w:uiPriority w:val="30"/>
    <w:qFormat/>
    <w:rsid w:val="0085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5527E"/>
    <w:rPr>
      <w:i/>
      <w:iCs/>
      <w:color w:val="2F5496" w:themeColor="accent1" w:themeShade="BF"/>
    </w:rPr>
  </w:style>
  <w:style w:type="character" w:styleId="Referenciaintensa">
    <w:name w:val="Intense Reference"/>
    <w:basedOn w:val="Fuentedeprrafopredeter"/>
    <w:uiPriority w:val="32"/>
    <w:qFormat/>
    <w:rsid w:val="0085527E"/>
    <w:rPr>
      <w:b/>
      <w:bCs/>
      <w:smallCaps/>
      <w:color w:val="2F5496" w:themeColor="accent1" w:themeShade="BF"/>
      <w:spacing w:val="5"/>
    </w:rPr>
  </w:style>
  <w:style w:type="paragraph" w:customStyle="1" w:styleId="xmsonormal">
    <w:name w:val="x_msonormal"/>
    <w:basedOn w:val="Normal"/>
    <w:rsid w:val="0085527E"/>
    <w:pPr>
      <w:spacing w:before="100" w:beforeAutospacing="1" w:after="100" w:afterAutospacing="1" w:line="240" w:lineRule="auto"/>
    </w:pPr>
    <w:rPr>
      <w:rFonts w:ascii="Times New Roman" w:hAnsi="Times New Roman" w:cs="Times New Roman"/>
      <w:kern w:val="0"/>
      <w:lang w:eastAsia="es-CO"/>
      <w14:ligatures w14:val="none"/>
    </w:rPr>
  </w:style>
  <w:style w:type="character" w:customStyle="1" w:styleId="xcontentpasted0">
    <w:name w:val="x_contentpasted0"/>
    <w:basedOn w:val="Fuentedeprrafopredeter"/>
    <w:rsid w:val="0085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Esteban Franco Zuluaga</dc:creator>
  <cp:keywords/>
  <dc:description/>
  <cp:lastModifiedBy>Carlos Esteban Franco Zuluaga</cp:lastModifiedBy>
  <cp:revision>7</cp:revision>
  <dcterms:created xsi:type="dcterms:W3CDTF">2025-03-18T19:18:00Z</dcterms:created>
  <dcterms:modified xsi:type="dcterms:W3CDTF">2025-03-18T23:16:00Z</dcterms:modified>
</cp:coreProperties>
</file>