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2F560908" w:rsidR="000401A8" w:rsidRPr="00DB24D0"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DB24D0">
        <w:rPr>
          <w:rFonts w:ascii="Arial" w:hAnsi="Arial" w:cs="Arial"/>
          <w:iCs/>
          <w:sz w:val="20"/>
          <w:szCs w:val="20"/>
        </w:rPr>
        <w:t xml:space="preserve">Gustavo Alberto Herrera Ávila </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7A4A3C44" w:rsidR="00AB7CA0" w:rsidRPr="00563295" w:rsidRDefault="00DB24D0" w:rsidP="009534D1">
            <w:pPr>
              <w:pStyle w:val="Ttulo4"/>
              <w:rPr>
                <w:rFonts w:ascii="Arial" w:hAnsi="Arial" w:cs="Arial"/>
                <w:b w:val="0"/>
                <w:iCs/>
                <w:sz w:val="20"/>
              </w:rPr>
            </w:pPr>
            <w:r>
              <w:rPr>
                <w:rFonts w:ascii="Arial" w:hAnsi="Arial" w:cs="Arial"/>
                <w:b w:val="0"/>
                <w:iCs/>
                <w:sz w:val="20"/>
              </w:rPr>
              <w:t xml:space="preserve">Seguros Generales Suramericana S.A. </w:t>
            </w:r>
            <w:r w:rsidR="004B709D" w:rsidRPr="00563295">
              <w:rPr>
                <w:rFonts w:ascii="Arial" w:hAnsi="Arial" w:cs="Arial"/>
                <w:b w:val="0"/>
                <w:iCs/>
                <w:sz w:val="20"/>
              </w:rPr>
              <w:t xml:space="preserve"> </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07EDE700" w:rsidR="00611F74" w:rsidRPr="00563295" w:rsidRDefault="00DB24D0" w:rsidP="009534D1">
            <w:pPr>
              <w:pStyle w:val="Ttulo4"/>
              <w:rPr>
                <w:rFonts w:ascii="Arial" w:hAnsi="Arial" w:cs="Arial"/>
                <w:b w:val="0"/>
                <w:iCs/>
                <w:sz w:val="20"/>
              </w:rPr>
            </w:pPr>
            <w:r>
              <w:rPr>
                <w:rFonts w:ascii="Arial" w:hAnsi="Arial" w:cs="Arial"/>
                <w:b w:val="0"/>
                <w:iCs/>
                <w:sz w:val="20"/>
              </w:rPr>
              <w:t>Convocado (Audiencia de conciliación</w:t>
            </w:r>
            <w:r w:rsidR="00E233A6">
              <w:rPr>
                <w:rFonts w:ascii="Arial" w:hAnsi="Arial" w:cs="Arial"/>
                <w:b w:val="0"/>
                <w:iCs/>
                <w:sz w:val="20"/>
              </w:rPr>
              <w:t xml:space="preserve"> prejudicial</w:t>
            </w:r>
            <w:r>
              <w:rPr>
                <w:rFonts w:ascii="Arial" w:hAnsi="Arial" w:cs="Arial"/>
                <w:b w:val="0"/>
                <w:iCs/>
                <w:sz w:val="20"/>
              </w:rPr>
              <w:t>)</w:t>
            </w:r>
            <w:r w:rsidR="004B709D" w:rsidRPr="00563295">
              <w:rPr>
                <w:rFonts w:ascii="Arial" w:hAnsi="Arial" w:cs="Arial"/>
                <w:b w:val="0"/>
                <w:iCs/>
                <w:sz w:val="20"/>
              </w:rPr>
              <w:t xml:space="preserve">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635E585B" w:rsidR="00314784" w:rsidRPr="00563295" w:rsidRDefault="00DB24D0" w:rsidP="004B709D">
            <w:pPr>
              <w:jc w:val="both"/>
              <w:rPr>
                <w:rFonts w:ascii="Arial" w:hAnsi="Arial" w:cs="Arial"/>
                <w:iCs/>
                <w:sz w:val="20"/>
                <w:szCs w:val="20"/>
              </w:rPr>
            </w:pPr>
            <w:r>
              <w:rPr>
                <w:rFonts w:ascii="Arial" w:hAnsi="Arial" w:cs="Arial"/>
                <w:iCs/>
                <w:sz w:val="20"/>
                <w:szCs w:val="20"/>
              </w:rPr>
              <w:t>Civil</w:t>
            </w:r>
            <w:r w:rsidR="004B709D" w:rsidRPr="00563295">
              <w:rPr>
                <w:rFonts w:ascii="Arial" w:hAnsi="Arial" w:cs="Arial"/>
                <w:iCs/>
                <w:sz w:val="20"/>
                <w:szCs w:val="20"/>
              </w:rPr>
              <w:t xml:space="preserve"> </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5755F4C9" w:rsidR="00314784" w:rsidRPr="00563295" w:rsidRDefault="00DB24D0" w:rsidP="00337E0F">
            <w:pPr>
              <w:jc w:val="both"/>
              <w:rPr>
                <w:rFonts w:ascii="Arial" w:hAnsi="Arial" w:cs="Arial"/>
                <w:iCs/>
                <w:sz w:val="20"/>
                <w:szCs w:val="20"/>
              </w:rPr>
            </w:pPr>
            <w:r>
              <w:rPr>
                <w:rFonts w:ascii="Arial" w:hAnsi="Arial" w:cs="Arial"/>
                <w:iCs/>
                <w:sz w:val="20"/>
                <w:szCs w:val="20"/>
              </w:rPr>
              <w:t xml:space="preserve">Audiencia de conciliación prejudicial </w:t>
            </w:r>
            <w:r w:rsidR="004B709D" w:rsidRPr="00563295">
              <w:rPr>
                <w:rFonts w:ascii="Arial" w:hAnsi="Arial" w:cs="Arial"/>
                <w:iCs/>
                <w:sz w:val="20"/>
                <w:szCs w:val="20"/>
              </w:rPr>
              <w:t xml:space="preserve"> </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628BFED2" w:rsidR="001C4AB7" w:rsidRPr="00563295" w:rsidRDefault="00DB24D0" w:rsidP="00AF4F23">
            <w:pPr>
              <w:pStyle w:val="Ttulo4"/>
              <w:rPr>
                <w:rFonts w:ascii="Arial" w:hAnsi="Arial" w:cs="Arial"/>
                <w:b w:val="0"/>
                <w:iCs/>
                <w:sz w:val="20"/>
              </w:rPr>
            </w:pPr>
            <w:r>
              <w:rPr>
                <w:rFonts w:ascii="Arial" w:hAnsi="Arial" w:cs="Arial"/>
                <w:b w:val="0"/>
                <w:iCs/>
                <w:sz w:val="20"/>
              </w:rPr>
              <w:t>N/A</w:t>
            </w:r>
            <w:r w:rsidR="004B709D" w:rsidRPr="00563295">
              <w:rPr>
                <w:rFonts w:ascii="Arial" w:hAnsi="Arial" w:cs="Arial"/>
                <w:b w:val="0"/>
                <w:iCs/>
                <w:sz w:val="20"/>
              </w:rPr>
              <w:t xml:space="preserve">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440A8CAB" w:rsidR="00AB7CA0" w:rsidRPr="00563295" w:rsidRDefault="00DB24D0" w:rsidP="00337E0F">
            <w:pPr>
              <w:jc w:val="both"/>
              <w:rPr>
                <w:rFonts w:ascii="Arial" w:hAnsi="Arial" w:cs="Arial"/>
                <w:iCs/>
                <w:sz w:val="20"/>
                <w:szCs w:val="20"/>
              </w:rPr>
            </w:pPr>
            <w:r>
              <w:rPr>
                <w:rFonts w:ascii="Arial" w:hAnsi="Arial" w:cs="Arial"/>
                <w:iCs/>
                <w:sz w:val="20"/>
                <w:szCs w:val="20"/>
              </w:rPr>
              <w:t>12</w:t>
            </w:r>
            <w:r w:rsidR="004B709D" w:rsidRPr="00563295">
              <w:rPr>
                <w:rFonts w:ascii="Arial" w:hAnsi="Arial" w:cs="Arial"/>
                <w:iCs/>
                <w:sz w:val="20"/>
                <w:szCs w:val="20"/>
              </w:rPr>
              <w:t xml:space="preserve"> de </w:t>
            </w:r>
            <w:r>
              <w:rPr>
                <w:rFonts w:ascii="Arial" w:hAnsi="Arial" w:cs="Arial"/>
                <w:iCs/>
                <w:sz w:val="20"/>
                <w:szCs w:val="20"/>
              </w:rPr>
              <w:t xml:space="preserve">febrero </w:t>
            </w:r>
            <w:r w:rsidR="004B709D" w:rsidRPr="00563295">
              <w:rPr>
                <w:rFonts w:ascii="Arial" w:hAnsi="Arial" w:cs="Arial"/>
                <w:iCs/>
                <w:sz w:val="20"/>
                <w:szCs w:val="20"/>
              </w:rPr>
              <w:t>de 202</w:t>
            </w:r>
            <w:r>
              <w:rPr>
                <w:rFonts w:ascii="Arial" w:hAnsi="Arial" w:cs="Arial"/>
                <w:iCs/>
                <w:sz w:val="20"/>
                <w:szCs w:val="20"/>
              </w:rPr>
              <w:t>4</w:t>
            </w:r>
            <w:r w:rsidR="004B709D" w:rsidRPr="00563295">
              <w:rPr>
                <w:rFonts w:ascii="Arial" w:hAnsi="Arial" w:cs="Arial"/>
                <w:iCs/>
                <w:sz w:val="20"/>
                <w:szCs w:val="20"/>
              </w:rPr>
              <w:t xml:space="preserve"> </w:t>
            </w:r>
            <w:r w:rsidR="00337E0F" w:rsidRPr="00563295">
              <w:rPr>
                <w:rFonts w:ascii="Arial" w:hAnsi="Arial" w:cs="Arial"/>
                <w:iCs/>
                <w:sz w:val="20"/>
                <w:szCs w:val="20"/>
              </w:rPr>
              <w:t xml:space="preserve">se allega </w:t>
            </w:r>
            <w:r>
              <w:rPr>
                <w:rFonts w:ascii="Arial" w:hAnsi="Arial" w:cs="Arial"/>
                <w:iCs/>
                <w:sz w:val="20"/>
                <w:szCs w:val="20"/>
              </w:rPr>
              <w:t xml:space="preserve">traslado de la solicitud de  conciliación prejudicial </w:t>
            </w:r>
            <w:r w:rsidR="00337E0F" w:rsidRPr="00563295">
              <w:rPr>
                <w:rFonts w:ascii="Arial" w:hAnsi="Arial" w:cs="Arial"/>
                <w:iCs/>
                <w:sz w:val="20"/>
                <w:szCs w:val="20"/>
              </w:rPr>
              <w:t>al buzón electrónico de SURA</w:t>
            </w:r>
            <w:r w:rsidR="00407B3B" w:rsidRPr="00563295">
              <w:rPr>
                <w:rFonts w:ascii="Arial" w:hAnsi="Arial" w:cs="Arial"/>
                <w:iCs/>
                <w:sz w:val="20"/>
                <w:szCs w:val="20"/>
              </w:rPr>
              <w:t>.</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5DFDA44D" w:rsidR="001C4AB7" w:rsidRPr="00563295" w:rsidRDefault="00337E0F" w:rsidP="00AF4F23">
            <w:pPr>
              <w:jc w:val="both"/>
              <w:rPr>
                <w:rFonts w:ascii="Arial" w:hAnsi="Arial" w:cs="Arial"/>
                <w:iCs/>
                <w:sz w:val="20"/>
                <w:szCs w:val="20"/>
                <w:lang w:val="es-ES"/>
              </w:rPr>
            </w:pPr>
            <w:r w:rsidRPr="00563295">
              <w:rPr>
                <w:rFonts w:ascii="Arial" w:hAnsi="Arial" w:cs="Arial"/>
                <w:iCs/>
                <w:sz w:val="20"/>
                <w:szCs w:val="20"/>
                <w:lang w:val="es-ES"/>
              </w:rPr>
              <w:t>Carlos Alberto Hincapié Ospina</w:t>
            </w:r>
            <w:r w:rsidR="004B709D" w:rsidRPr="00563295">
              <w:rPr>
                <w:rFonts w:ascii="Arial" w:hAnsi="Arial" w:cs="Arial"/>
                <w:iCs/>
                <w:sz w:val="20"/>
                <w:szCs w:val="20"/>
                <w:lang w:val="es-ES"/>
              </w:rPr>
              <w:t xml:space="preserve"> </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2F87EB2E" w:rsidR="001C4AB7" w:rsidRPr="00563295" w:rsidRDefault="00337E0F" w:rsidP="00AF4F23">
            <w:pPr>
              <w:jc w:val="both"/>
              <w:rPr>
                <w:rFonts w:ascii="Arial" w:hAnsi="Arial" w:cs="Arial"/>
                <w:iCs/>
                <w:sz w:val="20"/>
                <w:szCs w:val="20"/>
                <w:lang w:val="es-ES"/>
              </w:rPr>
            </w:pPr>
            <w:r w:rsidRPr="00563295">
              <w:rPr>
                <w:rFonts w:ascii="Arial" w:hAnsi="Arial" w:cs="Arial"/>
                <w:iCs/>
                <w:sz w:val="20"/>
                <w:szCs w:val="20"/>
                <w:lang w:val="es-ES"/>
              </w:rPr>
              <w:t>7550200</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6505F083" w:rsidR="004B709D" w:rsidRPr="00563295" w:rsidRDefault="008926B2" w:rsidP="00407B3B">
            <w:pPr>
              <w:jc w:val="both"/>
              <w:rPr>
                <w:rFonts w:ascii="Arial" w:hAnsi="Arial" w:cs="Arial"/>
                <w:iCs/>
                <w:sz w:val="20"/>
                <w:szCs w:val="20"/>
              </w:rPr>
            </w:pPr>
            <w:r>
              <w:rPr>
                <w:rFonts w:ascii="Arial" w:hAnsi="Arial" w:cs="Arial"/>
                <w:bCs/>
                <w:sz w:val="20"/>
                <w:szCs w:val="20"/>
                <w:lang w:val="es-ES_tradnl"/>
              </w:rPr>
              <w:t>Compañía Energética de Occidente S.A.S. E.S.P</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1817E92A" w:rsidR="004B709D" w:rsidRPr="00563295" w:rsidRDefault="00337E0F" w:rsidP="00407B3B">
            <w:pPr>
              <w:jc w:val="both"/>
              <w:rPr>
                <w:rFonts w:ascii="Arial" w:hAnsi="Arial" w:cs="Arial"/>
                <w:iCs/>
                <w:sz w:val="20"/>
                <w:szCs w:val="20"/>
              </w:rPr>
            </w:pPr>
            <w:r w:rsidRPr="00563295">
              <w:rPr>
                <w:rFonts w:ascii="Arial" w:hAnsi="Arial" w:cs="Arial"/>
                <w:iCs/>
                <w:sz w:val="20"/>
                <w:szCs w:val="20"/>
              </w:rPr>
              <w:t xml:space="preserve">NIT </w:t>
            </w:r>
            <w:r w:rsidR="008926B2">
              <w:rPr>
                <w:rFonts w:ascii="Arial" w:hAnsi="Arial" w:cs="Arial"/>
                <w:iCs/>
                <w:sz w:val="20"/>
                <w:szCs w:val="20"/>
              </w:rPr>
              <w:t>900.366.010-1</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37E39906" w:rsidR="00484071" w:rsidRPr="00AC3353" w:rsidRDefault="006D7BD5" w:rsidP="002277B8">
            <w:pPr>
              <w:jc w:val="both"/>
              <w:rPr>
                <w:rFonts w:ascii="Arial" w:hAnsi="Arial" w:cs="Arial"/>
                <w:iCs/>
                <w:sz w:val="20"/>
                <w:szCs w:val="20"/>
              </w:rPr>
            </w:pPr>
            <w:r w:rsidRPr="00AC3353">
              <w:rPr>
                <w:rFonts w:ascii="Arial" w:hAnsi="Arial" w:cs="Arial"/>
                <w:iCs/>
                <w:sz w:val="20"/>
                <w:szCs w:val="20"/>
              </w:rPr>
              <w:t xml:space="preserve">22 de agosto de </w:t>
            </w:r>
            <w:r w:rsidR="00AC3353" w:rsidRPr="00AC3353">
              <w:rPr>
                <w:rFonts w:ascii="Arial" w:hAnsi="Arial" w:cs="Arial"/>
                <w:iCs/>
                <w:sz w:val="20"/>
                <w:szCs w:val="20"/>
              </w:rPr>
              <w:t>2017</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0C96FB51" w:rsidR="00C26408" w:rsidRPr="00E233A6" w:rsidRDefault="008926B2" w:rsidP="00E233A6">
            <w:pPr>
              <w:jc w:val="both"/>
              <w:rPr>
                <w:rFonts w:ascii="Arial" w:hAnsi="Arial" w:cs="Arial"/>
                <w:sz w:val="20"/>
                <w:szCs w:val="20"/>
              </w:rPr>
            </w:pPr>
            <w:r w:rsidRPr="00E233A6">
              <w:rPr>
                <w:rFonts w:ascii="Arial" w:hAnsi="Arial" w:cs="Arial"/>
                <w:sz w:val="20"/>
                <w:szCs w:val="20"/>
              </w:rPr>
              <w:t>0150450-4</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42B86C93" w:rsidR="00C26408" w:rsidRPr="008926B2" w:rsidRDefault="008926B2" w:rsidP="008926B2">
            <w:pPr>
              <w:rPr>
                <w:rFonts w:ascii="Arial" w:hAnsi="Arial" w:cs="Arial"/>
                <w:bCs/>
                <w:iCs/>
                <w:sz w:val="20"/>
                <w:szCs w:val="20"/>
              </w:rPr>
            </w:pPr>
            <w:r w:rsidRPr="008926B2">
              <w:rPr>
                <w:rFonts w:ascii="Arial" w:hAnsi="Arial" w:cs="Arial"/>
                <w:bCs/>
                <w:iCs/>
                <w:sz w:val="20"/>
                <w:szCs w:val="20"/>
              </w:rPr>
              <w:t>Seguro de Responsabilidad Civil por Daños a Terceros</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5F6CCAD1" w:rsidR="00C26408" w:rsidRPr="00E233A6" w:rsidRDefault="00E233A6" w:rsidP="00E233A6">
            <w:pPr>
              <w:pStyle w:val="Prrafodelista"/>
              <w:numPr>
                <w:ilvl w:val="0"/>
                <w:numId w:val="33"/>
              </w:numPr>
              <w:jc w:val="both"/>
              <w:rPr>
                <w:rFonts w:ascii="Arial" w:hAnsi="Arial" w:cs="Arial"/>
                <w:b/>
                <w:iCs/>
                <w:sz w:val="20"/>
                <w:szCs w:val="20"/>
              </w:rPr>
            </w:pPr>
            <w:r>
              <w:rPr>
                <w:rFonts w:ascii="Arial" w:hAnsi="Arial" w:cs="Arial"/>
                <w:bCs/>
                <w:sz w:val="20"/>
                <w:szCs w:val="20"/>
              </w:rPr>
              <w:t xml:space="preserve">Junio- 2017 al 01-junio-2018 </w:t>
            </w:r>
            <w:r w:rsidR="00C26408" w:rsidRPr="00E233A6">
              <w:rPr>
                <w:rFonts w:ascii="Arial" w:hAnsi="Arial" w:cs="Arial"/>
                <w:bCs/>
                <w:sz w:val="20"/>
                <w:szCs w:val="20"/>
              </w:rPr>
              <w:t xml:space="preserve"> </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E233A6">
            <w:pPr>
              <w:jc w:val="both"/>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53AA25A7" w14:textId="6FF5EC89" w:rsidR="00E233A6" w:rsidRDefault="00E233A6" w:rsidP="00E233A6">
            <w:pPr>
              <w:pStyle w:val="Default"/>
              <w:jc w:val="both"/>
              <w:rPr>
                <w:sz w:val="22"/>
                <w:szCs w:val="22"/>
              </w:rPr>
            </w:pPr>
            <w:r>
              <w:rPr>
                <w:sz w:val="22"/>
                <w:szCs w:val="22"/>
              </w:rPr>
              <w:t>Responsabilidad en predios, labores y operaciones: $15.000.0000.000</w:t>
            </w:r>
          </w:p>
          <w:p w14:paraId="1E069347" w14:textId="6BADA883" w:rsidR="00C26408" w:rsidRPr="00E233A6" w:rsidRDefault="00C26408" w:rsidP="00E233A6">
            <w:pPr>
              <w:autoSpaceDE w:val="0"/>
              <w:autoSpaceDN w:val="0"/>
              <w:adjustRightInd w:val="0"/>
              <w:jc w:val="both"/>
              <w:rPr>
                <w:rFonts w:ascii="Arial" w:hAnsi="Arial" w:cs="Arial"/>
                <w:b/>
                <w:sz w:val="20"/>
                <w:szCs w:val="20"/>
                <w:lang w:val="es-MX"/>
              </w:rPr>
            </w:pPr>
          </w:p>
        </w:tc>
        <w:tc>
          <w:tcPr>
            <w:tcW w:w="1718" w:type="dxa"/>
            <w:gridSpan w:val="2"/>
            <w:shd w:val="clear" w:color="auto" w:fill="0033A0"/>
            <w:vAlign w:val="center"/>
          </w:tcPr>
          <w:p w14:paraId="7D4CD472" w14:textId="438AC017" w:rsidR="00A70A97" w:rsidRPr="00E233A6" w:rsidRDefault="00A70A97" w:rsidP="00F2776B">
            <w:pPr>
              <w:autoSpaceDE w:val="0"/>
              <w:autoSpaceDN w:val="0"/>
              <w:adjustRightInd w:val="0"/>
              <w:rPr>
                <w:rFonts w:ascii="Arial" w:hAnsi="Arial" w:cs="Arial"/>
                <w:b/>
                <w:bCs/>
                <w:sz w:val="20"/>
                <w:szCs w:val="20"/>
              </w:rPr>
            </w:pPr>
            <w:r w:rsidRPr="00E233A6">
              <w:rPr>
                <w:rFonts w:ascii="Arial" w:hAnsi="Arial" w:cs="Arial"/>
                <w:b/>
                <w:bCs/>
                <w:sz w:val="20"/>
                <w:szCs w:val="20"/>
              </w:rPr>
              <w:t>Placa</w:t>
            </w:r>
            <w:r w:rsidR="0091430C" w:rsidRPr="00E233A6">
              <w:rPr>
                <w:rFonts w:ascii="Arial" w:hAnsi="Arial" w:cs="Arial"/>
                <w:b/>
                <w:bCs/>
                <w:sz w:val="20"/>
                <w:szCs w:val="20"/>
              </w:rPr>
              <w:t xml:space="preserve"> </w:t>
            </w:r>
          </w:p>
        </w:tc>
        <w:tc>
          <w:tcPr>
            <w:tcW w:w="2392" w:type="dxa"/>
            <w:vAlign w:val="center"/>
          </w:tcPr>
          <w:p w14:paraId="2AA20772" w14:textId="04CA287C" w:rsidR="00A70A97" w:rsidRPr="00E233A6" w:rsidRDefault="00E233A6" w:rsidP="00F2776B">
            <w:pPr>
              <w:autoSpaceDE w:val="0"/>
              <w:autoSpaceDN w:val="0"/>
              <w:adjustRightInd w:val="0"/>
              <w:rPr>
                <w:rFonts w:ascii="Arial" w:hAnsi="Arial" w:cs="Arial"/>
                <w:iCs/>
                <w:sz w:val="20"/>
                <w:szCs w:val="20"/>
              </w:rPr>
            </w:pPr>
            <w:r w:rsidRPr="00E233A6">
              <w:rPr>
                <w:rFonts w:ascii="Arial" w:hAnsi="Arial" w:cs="Arial"/>
                <w:iCs/>
                <w:sz w:val="20"/>
                <w:szCs w:val="20"/>
              </w:rPr>
              <w:t>N/A</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E233A6" w:rsidRPr="00563295" w14:paraId="7AFB6461" w14:textId="77777777" w:rsidTr="008F3801">
        <w:trPr>
          <w:trHeight w:val="340"/>
        </w:trPr>
        <w:tc>
          <w:tcPr>
            <w:tcW w:w="2338" w:type="dxa"/>
            <w:shd w:val="clear" w:color="auto" w:fill="0033A0"/>
            <w:vAlign w:val="center"/>
          </w:tcPr>
          <w:p w14:paraId="61666A84" w14:textId="4D1652F6" w:rsidR="00E233A6" w:rsidRPr="00563295" w:rsidRDefault="00E233A6" w:rsidP="00E233A6">
            <w:pPr>
              <w:rPr>
                <w:rFonts w:ascii="Arial" w:hAnsi="Arial" w:cs="Arial"/>
                <w:b/>
                <w:sz w:val="20"/>
                <w:szCs w:val="20"/>
              </w:rPr>
            </w:pPr>
            <w:r w:rsidRPr="00563295">
              <w:rPr>
                <w:rFonts w:ascii="Arial" w:hAnsi="Arial" w:cs="Arial"/>
                <w:b/>
                <w:sz w:val="20"/>
                <w:szCs w:val="20"/>
              </w:rPr>
              <w:t>Demandante</w:t>
            </w:r>
            <w:r>
              <w:rPr>
                <w:rFonts w:ascii="Arial" w:hAnsi="Arial" w:cs="Arial"/>
                <w:b/>
                <w:sz w:val="20"/>
                <w:szCs w:val="20"/>
              </w:rPr>
              <w:t>s</w:t>
            </w:r>
          </w:p>
        </w:tc>
        <w:tc>
          <w:tcPr>
            <w:tcW w:w="7512" w:type="dxa"/>
            <w:gridSpan w:val="3"/>
            <w:vAlign w:val="center"/>
          </w:tcPr>
          <w:p w14:paraId="31112D16" w14:textId="096BDE3D" w:rsidR="00E233A6" w:rsidRPr="00563295" w:rsidRDefault="00E233A6" w:rsidP="00E233A6">
            <w:pPr>
              <w:jc w:val="both"/>
              <w:rPr>
                <w:rFonts w:ascii="Arial" w:hAnsi="Arial" w:cs="Arial"/>
                <w:iCs/>
                <w:sz w:val="20"/>
                <w:szCs w:val="20"/>
              </w:rPr>
            </w:pPr>
            <w:r>
              <w:rPr>
                <w:rFonts w:ascii="Arial" w:hAnsi="Arial" w:cs="Arial"/>
                <w:bCs/>
                <w:sz w:val="20"/>
                <w:szCs w:val="20"/>
                <w:lang w:val="es-ES_tradnl"/>
              </w:rPr>
              <w:t xml:space="preserve">Compañía Energética de Occidente S.A.S. E.S.P (NIT </w:t>
            </w:r>
            <w:r>
              <w:rPr>
                <w:rFonts w:ascii="Arial" w:hAnsi="Arial" w:cs="Arial"/>
                <w:iCs/>
                <w:sz w:val="20"/>
                <w:szCs w:val="20"/>
              </w:rPr>
              <w:t xml:space="preserve">900.366.010-1). </w:t>
            </w:r>
          </w:p>
        </w:tc>
      </w:tr>
      <w:tr w:rsidR="00E233A6" w:rsidRPr="00563295" w14:paraId="3184660E" w14:textId="77777777" w:rsidTr="008F3801">
        <w:trPr>
          <w:trHeight w:val="545"/>
        </w:trPr>
        <w:tc>
          <w:tcPr>
            <w:tcW w:w="2338" w:type="dxa"/>
            <w:shd w:val="clear" w:color="auto" w:fill="0033A0"/>
            <w:vAlign w:val="center"/>
          </w:tcPr>
          <w:p w14:paraId="1946D0B5" w14:textId="1E747231" w:rsidR="00E233A6" w:rsidRPr="00563295" w:rsidRDefault="00E233A6" w:rsidP="00E233A6">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4CC15FC8" w14:textId="531E1378" w:rsidR="00E233A6" w:rsidRPr="00E233A6" w:rsidRDefault="00E233A6" w:rsidP="00E233A6">
            <w:pPr>
              <w:jc w:val="both"/>
              <w:rPr>
                <w:rFonts w:ascii="Arial" w:hAnsi="Arial" w:cs="Arial"/>
                <w:bCs/>
                <w:iCs/>
                <w:sz w:val="20"/>
                <w:szCs w:val="20"/>
              </w:rPr>
            </w:pPr>
            <w:r w:rsidRPr="00E233A6">
              <w:rPr>
                <w:rFonts w:ascii="Arial" w:hAnsi="Arial" w:cs="Arial"/>
                <w:bCs/>
                <w:iCs/>
                <w:sz w:val="20"/>
              </w:rPr>
              <w:t xml:space="preserve">Seguros Generales Suramericana S.A.  </w:t>
            </w:r>
          </w:p>
        </w:tc>
      </w:tr>
      <w:tr w:rsidR="00E233A6" w:rsidRPr="00563295" w14:paraId="45AB4561" w14:textId="77777777" w:rsidTr="008F3801">
        <w:trPr>
          <w:trHeight w:val="545"/>
        </w:trPr>
        <w:tc>
          <w:tcPr>
            <w:tcW w:w="2338" w:type="dxa"/>
            <w:shd w:val="clear" w:color="auto" w:fill="0033A0"/>
            <w:vAlign w:val="center"/>
          </w:tcPr>
          <w:p w14:paraId="0220664F" w14:textId="74168ED4" w:rsidR="00E233A6" w:rsidRPr="00563295" w:rsidRDefault="00E233A6" w:rsidP="00E233A6">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4C9BCC45" w:rsidR="00E233A6" w:rsidRPr="00563295" w:rsidRDefault="00E233A6" w:rsidP="00E233A6">
            <w:pPr>
              <w:jc w:val="both"/>
              <w:rPr>
                <w:rFonts w:ascii="Arial" w:hAnsi="Arial" w:cs="Arial"/>
                <w:iCs/>
                <w:sz w:val="20"/>
                <w:szCs w:val="20"/>
              </w:rPr>
            </w:pPr>
            <w:r>
              <w:rPr>
                <w:rFonts w:ascii="Arial" w:hAnsi="Arial" w:cs="Arial"/>
                <w:bCs/>
                <w:sz w:val="20"/>
                <w:szCs w:val="20"/>
                <w:lang w:val="es-ES_tradnl"/>
              </w:rPr>
              <w:t xml:space="preserve">N/A </w:t>
            </w:r>
          </w:p>
        </w:tc>
      </w:tr>
      <w:tr w:rsidR="00E233A6" w:rsidRPr="00563295" w14:paraId="5BFE20EE" w14:textId="77777777" w:rsidTr="008F3801">
        <w:trPr>
          <w:cantSplit/>
          <w:trHeight w:val="566"/>
        </w:trPr>
        <w:tc>
          <w:tcPr>
            <w:tcW w:w="2338" w:type="dxa"/>
            <w:shd w:val="clear" w:color="auto" w:fill="0033A0"/>
            <w:vAlign w:val="center"/>
          </w:tcPr>
          <w:p w14:paraId="3F4BFE3A" w14:textId="14FECE14" w:rsidR="00E233A6" w:rsidRPr="00563295" w:rsidRDefault="00E233A6" w:rsidP="00E233A6">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58D7380A" w:rsidR="00E233A6" w:rsidRPr="00563295" w:rsidRDefault="00E233A6" w:rsidP="00E233A6">
            <w:pPr>
              <w:jc w:val="both"/>
              <w:rPr>
                <w:rFonts w:ascii="Arial" w:hAnsi="Arial" w:cs="Arial"/>
                <w:iCs/>
                <w:sz w:val="20"/>
                <w:szCs w:val="20"/>
              </w:rPr>
            </w:pPr>
            <w:r>
              <w:rPr>
                <w:rFonts w:ascii="Arial" w:hAnsi="Arial" w:cs="Arial"/>
                <w:iCs/>
                <w:sz w:val="20"/>
                <w:szCs w:val="20"/>
              </w:rPr>
              <w:t>Alcaldía de Popayán- Centro de Conciliación Casa de Justicia</w:t>
            </w:r>
          </w:p>
        </w:tc>
        <w:tc>
          <w:tcPr>
            <w:tcW w:w="1276" w:type="dxa"/>
            <w:shd w:val="clear" w:color="auto" w:fill="0033A0"/>
            <w:vAlign w:val="center"/>
          </w:tcPr>
          <w:p w14:paraId="6164DA6C" w14:textId="179A804C" w:rsidR="00E233A6" w:rsidRPr="00563295" w:rsidRDefault="00E233A6" w:rsidP="00E233A6">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28B1A737" w:rsidR="00E233A6" w:rsidRPr="00563295" w:rsidRDefault="00E233A6" w:rsidP="00E233A6">
            <w:pPr>
              <w:jc w:val="both"/>
              <w:rPr>
                <w:rFonts w:ascii="Arial" w:hAnsi="Arial" w:cs="Arial"/>
                <w:sz w:val="20"/>
                <w:szCs w:val="20"/>
              </w:rPr>
            </w:pPr>
            <w:r>
              <w:rPr>
                <w:rFonts w:ascii="Arial" w:hAnsi="Arial" w:cs="Arial"/>
                <w:iCs/>
                <w:sz w:val="20"/>
                <w:szCs w:val="20"/>
              </w:rPr>
              <w:t>N/A</w:t>
            </w:r>
          </w:p>
        </w:tc>
      </w:tr>
      <w:tr w:rsidR="00E233A6" w:rsidRPr="00563295" w14:paraId="2335A9D5" w14:textId="77777777" w:rsidTr="008F3801">
        <w:trPr>
          <w:trHeight w:val="516"/>
        </w:trPr>
        <w:tc>
          <w:tcPr>
            <w:tcW w:w="2338" w:type="dxa"/>
            <w:shd w:val="clear" w:color="auto" w:fill="0033A0"/>
            <w:vAlign w:val="center"/>
          </w:tcPr>
          <w:p w14:paraId="3F4221E7" w14:textId="120AFAC3" w:rsidR="00E233A6" w:rsidRPr="00563295" w:rsidRDefault="00E233A6" w:rsidP="00E233A6">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161CEBD5" w14:textId="6E9000ED" w:rsidR="00E233A6" w:rsidRPr="00E233A6" w:rsidRDefault="00E233A6" w:rsidP="00E233A6">
            <w:pPr>
              <w:pStyle w:val="Sinespaciado"/>
              <w:numPr>
                <w:ilvl w:val="0"/>
                <w:numId w:val="34"/>
              </w:numPr>
              <w:jc w:val="both"/>
              <w:rPr>
                <w:rFonts w:ascii="Arial" w:hAnsi="Arial" w:cs="Arial"/>
                <w:sz w:val="20"/>
                <w:szCs w:val="20"/>
              </w:rPr>
            </w:pPr>
            <w:r w:rsidRPr="00E233A6">
              <w:rPr>
                <w:rFonts w:ascii="Arial" w:hAnsi="Arial" w:cs="Arial"/>
                <w:sz w:val="20"/>
                <w:szCs w:val="20"/>
              </w:rPr>
              <w:t xml:space="preserve">Que se reconozca que Seguros Generales Suramericana S.A. y Compañía Energética de Occidente S.A.S. E.S.P celebraron el contrato de seguro contenido en la Póliza No. 0150450-4. </w:t>
            </w:r>
          </w:p>
          <w:p w14:paraId="6C6A3E14" w14:textId="77777777" w:rsidR="00E233A6" w:rsidRPr="00E233A6" w:rsidRDefault="00E233A6" w:rsidP="00E233A6">
            <w:pPr>
              <w:pStyle w:val="Sinespaciado"/>
              <w:numPr>
                <w:ilvl w:val="0"/>
                <w:numId w:val="34"/>
              </w:numPr>
              <w:jc w:val="both"/>
              <w:rPr>
                <w:rFonts w:ascii="Arial" w:hAnsi="Arial" w:cs="Arial"/>
                <w:b/>
                <w:sz w:val="20"/>
                <w:szCs w:val="20"/>
              </w:rPr>
            </w:pPr>
            <w:r w:rsidRPr="00E233A6">
              <w:rPr>
                <w:rFonts w:ascii="Arial" w:hAnsi="Arial" w:cs="Arial"/>
                <w:sz w:val="20"/>
                <w:szCs w:val="20"/>
              </w:rPr>
              <w:t xml:space="preserve">Que Seguros Generales Suramericana S.A reconozca los hechos que son objeto del proceso de reparación directa con radicado No. 19001233300120210015200 que cura ante el Tribunal Contencioso Administrativo del Cauca. </w:t>
            </w:r>
          </w:p>
          <w:p w14:paraId="6010B49A" w14:textId="13B02930" w:rsidR="00E233A6" w:rsidRPr="00EC25C0" w:rsidRDefault="00E233A6" w:rsidP="00E233A6">
            <w:pPr>
              <w:pStyle w:val="Sinespaciado"/>
              <w:numPr>
                <w:ilvl w:val="0"/>
                <w:numId w:val="34"/>
              </w:numPr>
              <w:jc w:val="both"/>
              <w:rPr>
                <w:rFonts w:ascii="Arial" w:hAnsi="Arial" w:cs="Arial"/>
                <w:b/>
                <w:sz w:val="20"/>
                <w:szCs w:val="20"/>
              </w:rPr>
            </w:pPr>
            <w:r w:rsidRPr="00E233A6">
              <w:rPr>
                <w:rFonts w:ascii="Arial" w:hAnsi="Arial" w:cs="Arial"/>
                <w:sz w:val="20"/>
                <w:szCs w:val="20"/>
              </w:rPr>
              <w:t>Que Seguros Generales Suramericana S.A</w:t>
            </w:r>
            <w:r w:rsidR="00EC25C0">
              <w:rPr>
                <w:rFonts w:ascii="Arial" w:hAnsi="Arial" w:cs="Arial"/>
                <w:sz w:val="20"/>
                <w:szCs w:val="20"/>
              </w:rPr>
              <w:t>.</w:t>
            </w:r>
            <w:r w:rsidRPr="00E233A6">
              <w:rPr>
                <w:rFonts w:ascii="Arial" w:hAnsi="Arial" w:cs="Arial"/>
                <w:sz w:val="20"/>
                <w:szCs w:val="20"/>
              </w:rPr>
              <w:t xml:space="preserve"> reconozca</w:t>
            </w:r>
            <w:r>
              <w:rPr>
                <w:rFonts w:ascii="Arial" w:hAnsi="Arial" w:cs="Arial"/>
                <w:sz w:val="20"/>
                <w:szCs w:val="20"/>
              </w:rPr>
              <w:t xml:space="preserve"> que está obligada a pagar a los demandantes de la reparación directa o a reembolsar a </w:t>
            </w:r>
            <w:r w:rsidRPr="00E233A6">
              <w:rPr>
                <w:rFonts w:ascii="Arial" w:hAnsi="Arial" w:cs="Arial"/>
                <w:sz w:val="20"/>
                <w:szCs w:val="20"/>
              </w:rPr>
              <w:t>Compañía Energética de Occidente S.A.S. E.S.P</w:t>
            </w:r>
            <w:r>
              <w:rPr>
                <w:rFonts w:ascii="Arial" w:hAnsi="Arial" w:cs="Arial"/>
                <w:sz w:val="20"/>
                <w:szCs w:val="20"/>
              </w:rPr>
              <w:t xml:space="preserve"> las gastos de defensa y costos del proceso así como las sumas a las que está obligada </w:t>
            </w:r>
            <w:r w:rsidR="00EC25C0">
              <w:rPr>
                <w:rFonts w:ascii="Arial" w:hAnsi="Arial" w:cs="Arial"/>
                <w:sz w:val="20"/>
                <w:szCs w:val="20"/>
              </w:rPr>
              <w:t xml:space="preserve">a pagar la asegurada en el proceso de reparación directa que se adelanta en su contra. </w:t>
            </w:r>
          </w:p>
          <w:p w14:paraId="16566320" w14:textId="77777777" w:rsidR="00EC25C0" w:rsidRPr="009D53F0" w:rsidRDefault="00EC25C0" w:rsidP="00E233A6">
            <w:pPr>
              <w:pStyle w:val="Sinespaciado"/>
              <w:numPr>
                <w:ilvl w:val="0"/>
                <w:numId w:val="34"/>
              </w:numPr>
              <w:jc w:val="both"/>
              <w:rPr>
                <w:rFonts w:ascii="Arial" w:hAnsi="Arial" w:cs="Arial"/>
                <w:b/>
                <w:sz w:val="20"/>
                <w:szCs w:val="20"/>
              </w:rPr>
            </w:pPr>
            <w:r w:rsidRPr="00EC25C0">
              <w:rPr>
                <w:rFonts w:ascii="Arial" w:hAnsi="Arial" w:cs="Arial"/>
                <w:bCs/>
                <w:sz w:val="20"/>
                <w:szCs w:val="20"/>
              </w:rPr>
              <w:t xml:space="preserve">Que </w:t>
            </w:r>
            <w:r w:rsidRPr="00E233A6">
              <w:rPr>
                <w:rFonts w:ascii="Arial" w:hAnsi="Arial" w:cs="Arial"/>
                <w:sz w:val="20"/>
                <w:szCs w:val="20"/>
              </w:rPr>
              <w:t>Seguros Generales Suramericana S.A</w:t>
            </w:r>
            <w:r>
              <w:rPr>
                <w:rFonts w:ascii="Arial" w:hAnsi="Arial" w:cs="Arial"/>
                <w:sz w:val="20"/>
                <w:szCs w:val="20"/>
              </w:rPr>
              <w:t>.</w:t>
            </w:r>
            <w:r w:rsidR="00616CD3">
              <w:rPr>
                <w:rFonts w:ascii="Arial" w:hAnsi="Arial" w:cs="Arial"/>
                <w:sz w:val="20"/>
                <w:szCs w:val="20"/>
              </w:rPr>
              <w:t xml:space="preserve"> renuncie a favor de </w:t>
            </w:r>
            <w:r w:rsidR="00616CD3" w:rsidRPr="00E233A6">
              <w:rPr>
                <w:rFonts w:ascii="Arial" w:hAnsi="Arial" w:cs="Arial"/>
                <w:sz w:val="20"/>
                <w:szCs w:val="20"/>
              </w:rPr>
              <w:t>Compañía Energética de Occidente S.A.S. E.S.</w:t>
            </w:r>
            <w:r w:rsidR="00616CD3">
              <w:rPr>
                <w:rFonts w:ascii="Arial" w:hAnsi="Arial" w:cs="Arial"/>
                <w:sz w:val="20"/>
                <w:szCs w:val="20"/>
              </w:rPr>
              <w:t xml:space="preserve">P. a la prescripción de las acciones derivadas del contrato de seguro. </w:t>
            </w:r>
          </w:p>
          <w:p w14:paraId="39445D31" w14:textId="77777777" w:rsidR="009D53F0" w:rsidRDefault="009D53F0" w:rsidP="009D53F0">
            <w:pPr>
              <w:pStyle w:val="Sinespaciado"/>
              <w:jc w:val="both"/>
              <w:rPr>
                <w:rFonts w:ascii="Arial" w:hAnsi="Arial" w:cs="Arial"/>
                <w:sz w:val="20"/>
                <w:szCs w:val="20"/>
              </w:rPr>
            </w:pPr>
          </w:p>
          <w:p w14:paraId="3ABE3AF4" w14:textId="77777777" w:rsidR="009D53F0" w:rsidRDefault="009D53F0" w:rsidP="009D53F0">
            <w:pPr>
              <w:pStyle w:val="Sinespaciado"/>
              <w:jc w:val="both"/>
              <w:rPr>
                <w:rFonts w:ascii="Arial" w:hAnsi="Arial" w:cs="Arial"/>
                <w:sz w:val="20"/>
                <w:szCs w:val="20"/>
              </w:rPr>
            </w:pPr>
            <w:r w:rsidRPr="009D53F0">
              <w:rPr>
                <w:rFonts w:ascii="Arial" w:hAnsi="Arial" w:cs="Arial"/>
                <w:b/>
                <w:bCs/>
                <w:sz w:val="20"/>
                <w:szCs w:val="20"/>
              </w:rPr>
              <w:t>DAÑO EMERGENTE:</w:t>
            </w:r>
            <w:r w:rsidRPr="009D53F0">
              <w:rPr>
                <w:rFonts w:ascii="Arial" w:hAnsi="Arial" w:cs="Arial"/>
                <w:sz w:val="20"/>
                <w:szCs w:val="20"/>
              </w:rPr>
              <w:t xml:space="preserve"> $ 1’349.284.401 </w:t>
            </w:r>
          </w:p>
          <w:p w14:paraId="265E5EFB" w14:textId="77777777" w:rsidR="009D53F0" w:rsidRDefault="009D53F0" w:rsidP="009D53F0">
            <w:pPr>
              <w:pStyle w:val="Sinespaciado"/>
              <w:jc w:val="both"/>
              <w:rPr>
                <w:rFonts w:ascii="Arial" w:hAnsi="Arial" w:cs="Arial"/>
                <w:sz w:val="20"/>
                <w:szCs w:val="20"/>
              </w:rPr>
            </w:pPr>
            <w:r w:rsidRPr="009D53F0">
              <w:rPr>
                <w:rFonts w:ascii="Arial" w:hAnsi="Arial" w:cs="Arial"/>
                <w:b/>
                <w:bCs/>
                <w:sz w:val="20"/>
                <w:szCs w:val="20"/>
              </w:rPr>
              <w:t>LUCRO CESANTE:</w:t>
            </w:r>
            <w:r w:rsidRPr="009D53F0">
              <w:rPr>
                <w:rFonts w:ascii="Arial" w:hAnsi="Arial" w:cs="Arial"/>
                <w:sz w:val="20"/>
                <w:szCs w:val="20"/>
              </w:rPr>
              <w:t xml:space="preserve"> $ 3´920.000.000 </w:t>
            </w:r>
          </w:p>
          <w:p w14:paraId="2235A2CB" w14:textId="77777777" w:rsidR="009D53F0" w:rsidRDefault="009D53F0" w:rsidP="009D53F0">
            <w:pPr>
              <w:pStyle w:val="Sinespaciado"/>
              <w:jc w:val="both"/>
              <w:rPr>
                <w:rFonts w:ascii="Arial" w:hAnsi="Arial" w:cs="Arial"/>
                <w:sz w:val="20"/>
                <w:szCs w:val="20"/>
              </w:rPr>
            </w:pPr>
          </w:p>
          <w:p w14:paraId="43C0CF9F" w14:textId="2DC2B8BB" w:rsidR="009D53F0" w:rsidRPr="009D53F0" w:rsidRDefault="009D53F0" w:rsidP="009D53F0">
            <w:pPr>
              <w:pStyle w:val="Sinespaciado"/>
              <w:jc w:val="both"/>
              <w:rPr>
                <w:rFonts w:ascii="Arial" w:hAnsi="Arial" w:cs="Arial"/>
                <w:b/>
                <w:bCs/>
                <w:sz w:val="20"/>
                <w:szCs w:val="20"/>
              </w:rPr>
            </w:pPr>
            <w:r w:rsidRPr="009D53F0">
              <w:rPr>
                <w:rFonts w:ascii="Arial" w:hAnsi="Arial" w:cs="Arial"/>
                <w:b/>
                <w:bCs/>
                <w:sz w:val="20"/>
                <w:szCs w:val="20"/>
              </w:rPr>
              <w:t>SUMA TOTAL: $ 5’269.284.401</w:t>
            </w:r>
          </w:p>
          <w:p w14:paraId="646BA4CD" w14:textId="77777777" w:rsidR="009D53F0" w:rsidRDefault="009D53F0" w:rsidP="009D53F0">
            <w:pPr>
              <w:pStyle w:val="Sinespaciado"/>
              <w:jc w:val="both"/>
              <w:rPr>
                <w:rFonts w:ascii="Arial" w:hAnsi="Arial" w:cs="Arial"/>
                <w:sz w:val="20"/>
                <w:szCs w:val="20"/>
              </w:rPr>
            </w:pPr>
          </w:p>
          <w:p w14:paraId="08BFFAFE" w14:textId="77777777" w:rsidR="009D53F0" w:rsidRDefault="009D53F0" w:rsidP="009D53F0">
            <w:pPr>
              <w:pStyle w:val="Sinespaciado"/>
              <w:jc w:val="both"/>
              <w:rPr>
                <w:rFonts w:ascii="Arial" w:hAnsi="Arial" w:cs="Arial"/>
                <w:b/>
                <w:bCs/>
                <w:sz w:val="20"/>
                <w:szCs w:val="20"/>
              </w:rPr>
            </w:pPr>
            <w:r w:rsidRPr="009D53F0">
              <w:rPr>
                <w:rFonts w:ascii="Arial" w:hAnsi="Arial" w:cs="Arial"/>
                <w:b/>
                <w:bCs/>
                <w:sz w:val="20"/>
                <w:szCs w:val="20"/>
              </w:rPr>
              <w:t xml:space="preserve">PERDIDA DE OPORTUNIDAD: </w:t>
            </w:r>
          </w:p>
          <w:p w14:paraId="205BBAAB" w14:textId="77777777" w:rsidR="009D53F0" w:rsidRDefault="009D53F0" w:rsidP="009D53F0">
            <w:pPr>
              <w:pStyle w:val="Sinespaciado"/>
              <w:jc w:val="both"/>
              <w:rPr>
                <w:rFonts w:ascii="Arial" w:hAnsi="Arial" w:cs="Arial"/>
                <w:sz w:val="20"/>
                <w:szCs w:val="20"/>
              </w:rPr>
            </w:pPr>
            <w:r w:rsidRPr="009D53F0">
              <w:rPr>
                <w:rFonts w:ascii="Arial" w:hAnsi="Arial" w:cs="Arial"/>
                <w:sz w:val="20"/>
                <w:szCs w:val="20"/>
              </w:rPr>
              <w:t>GUSTAVO LÓPEZ BAYTALA 100 Salarios Mínimos</w:t>
            </w:r>
            <w:r>
              <w:rPr>
                <w:rFonts w:ascii="Arial" w:hAnsi="Arial" w:cs="Arial"/>
                <w:sz w:val="20"/>
                <w:szCs w:val="20"/>
              </w:rPr>
              <w:t>.</w:t>
            </w:r>
            <w:r w:rsidRPr="009D53F0">
              <w:rPr>
                <w:rFonts w:ascii="Arial" w:hAnsi="Arial" w:cs="Arial"/>
                <w:sz w:val="20"/>
                <w:szCs w:val="20"/>
              </w:rPr>
              <w:t xml:space="preserve"> Legales Vigentes a la fecha de pago. </w:t>
            </w:r>
          </w:p>
          <w:p w14:paraId="4EDAFF89" w14:textId="77777777" w:rsidR="009D53F0" w:rsidRDefault="009D53F0" w:rsidP="009D53F0">
            <w:pPr>
              <w:pStyle w:val="Sinespaciado"/>
              <w:jc w:val="both"/>
              <w:rPr>
                <w:rFonts w:ascii="Arial" w:hAnsi="Arial" w:cs="Arial"/>
                <w:sz w:val="20"/>
                <w:szCs w:val="20"/>
              </w:rPr>
            </w:pPr>
          </w:p>
          <w:p w14:paraId="2315E45A" w14:textId="428A0F8C" w:rsidR="009D53F0" w:rsidRDefault="009D53F0" w:rsidP="009D53F0">
            <w:pPr>
              <w:pStyle w:val="Sinespaciado"/>
              <w:jc w:val="both"/>
              <w:rPr>
                <w:rFonts w:ascii="Arial" w:hAnsi="Arial" w:cs="Arial"/>
                <w:sz w:val="20"/>
                <w:szCs w:val="20"/>
              </w:rPr>
            </w:pPr>
            <w:r w:rsidRPr="009D53F0">
              <w:rPr>
                <w:rFonts w:ascii="Arial" w:hAnsi="Arial" w:cs="Arial"/>
                <w:sz w:val="20"/>
                <w:szCs w:val="20"/>
              </w:rPr>
              <w:t>MARÍA EMILIA LÓPEZ</w:t>
            </w:r>
            <w:r>
              <w:rPr>
                <w:rFonts w:ascii="Arial" w:hAnsi="Arial" w:cs="Arial"/>
                <w:sz w:val="20"/>
                <w:szCs w:val="20"/>
              </w:rPr>
              <w:t>:</w:t>
            </w:r>
            <w:r w:rsidRPr="009D53F0">
              <w:rPr>
                <w:rFonts w:ascii="Arial" w:hAnsi="Arial" w:cs="Arial"/>
                <w:sz w:val="20"/>
                <w:szCs w:val="20"/>
              </w:rPr>
              <w:t xml:space="preserve"> 100 Salarios Mínimos Legales Vigentes a la fecha de pago</w:t>
            </w:r>
            <w:r>
              <w:rPr>
                <w:rFonts w:ascii="Arial" w:hAnsi="Arial" w:cs="Arial"/>
                <w:sz w:val="20"/>
                <w:szCs w:val="20"/>
              </w:rPr>
              <w:t>.</w:t>
            </w:r>
          </w:p>
          <w:p w14:paraId="5A25BB65" w14:textId="77777777" w:rsidR="009D53F0" w:rsidRDefault="009D53F0" w:rsidP="009D53F0">
            <w:pPr>
              <w:pStyle w:val="Sinespaciado"/>
              <w:jc w:val="both"/>
              <w:rPr>
                <w:rFonts w:ascii="Arial" w:hAnsi="Arial" w:cs="Arial"/>
                <w:sz w:val="20"/>
                <w:szCs w:val="20"/>
              </w:rPr>
            </w:pPr>
          </w:p>
          <w:p w14:paraId="5AE027BE" w14:textId="77777777" w:rsidR="009D53F0" w:rsidRDefault="009D53F0" w:rsidP="009D53F0">
            <w:pPr>
              <w:pStyle w:val="Sinespaciado"/>
              <w:jc w:val="both"/>
              <w:rPr>
                <w:rFonts w:ascii="Arial" w:hAnsi="Arial" w:cs="Arial"/>
                <w:sz w:val="20"/>
                <w:szCs w:val="20"/>
              </w:rPr>
            </w:pPr>
            <w:r w:rsidRPr="009D53F0">
              <w:rPr>
                <w:rFonts w:ascii="Arial" w:hAnsi="Arial" w:cs="Arial"/>
                <w:b/>
                <w:bCs/>
                <w:sz w:val="20"/>
                <w:szCs w:val="20"/>
              </w:rPr>
              <w:t>PERJUICIOS MORALES:</w:t>
            </w:r>
            <w:r>
              <w:rPr>
                <w:rFonts w:ascii="Arial" w:hAnsi="Arial" w:cs="Arial"/>
                <w:sz w:val="20"/>
                <w:szCs w:val="20"/>
              </w:rPr>
              <w:t xml:space="preserve"> </w:t>
            </w:r>
          </w:p>
          <w:p w14:paraId="0FBB2432" w14:textId="750EA05A" w:rsidR="009D53F0" w:rsidRDefault="009D53F0" w:rsidP="009D53F0">
            <w:pPr>
              <w:pStyle w:val="Sinespaciado"/>
              <w:jc w:val="both"/>
              <w:rPr>
                <w:rFonts w:ascii="Arial" w:hAnsi="Arial" w:cs="Arial"/>
                <w:sz w:val="20"/>
                <w:szCs w:val="20"/>
              </w:rPr>
            </w:pPr>
            <w:r w:rsidRPr="009D53F0">
              <w:rPr>
                <w:rFonts w:ascii="Arial" w:hAnsi="Arial" w:cs="Arial"/>
                <w:sz w:val="20"/>
                <w:szCs w:val="20"/>
              </w:rPr>
              <w:t>GUSTAVO LÓPEZ BAYTALA</w:t>
            </w:r>
            <w:r>
              <w:rPr>
                <w:rFonts w:ascii="Arial" w:hAnsi="Arial" w:cs="Arial"/>
                <w:sz w:val="20"/>
                <w:szCs w:val="20"/>
              </w:rPr>
              <w:t xml:space="preserve">: </w:t>
            </w:r>
            <w:r w:rsidRPr="009D53F0">
              <w:rPr>
                <w:rFonts w:ascii="Arial" w:hAnsi="Arial" w:cs="Arial"/>
                <w:sz w:val="20"/>
                <w:szCs w:val="20"/>
              </w:rPr>
              <w:t>100 Salarios Mínimos Legales Vigentes a la fecha de pago.</w:t>
            </w:r>
          </w:p>
          <w:p w14:paraId="400739AD" w14:textId="77777777" w:rsidR="009D53F0" w:rsidRDefault="009D53F0" w:rsidP="009D53F0">
            <w:pPr>
              <w:pStyle w:val="Sinespaciado"/>
              <w:jc w:val="both"/>
              <w:rPr>
                <w:rFonts w:ascii="Arial" w:hAnsi="Arial" w:cs="Arial"/>
                <w:sz w:val="20"/>
                <w:szCs w:val="20"/>
              </w:rPr>
            </w:pPr>
          </w:p>
          <w:p w14:paraId="4417A9EE" w14:textId="112AFDC0" w:rsidR="009D53F0" w:rsidRDefault="009D53F0" w:rsidP="009D53F0">
            <w:pPr>
              <w:pStyle w:val="Sinespaciado"/>
              <w:jc w:val="both"/>
              <w:rPr>
                <w:rFonts w:ascii="Arial" w:hAnsi="Arial" w:cs="Arial"/>
                <w:sz w:val="20"/>
                <w:szCs w:val="20"/>
              </w:rPr>
            </w:pPr>
            <w:r w:rsidRPr="009D53F0">
              <w:rPr>
                <w:rFonts w:ascii="Arial" w:hAnsi="Arial" w:cs="Arial"/>
                <w:sz w:val="20"/>
                <w:szCs w:val="20"/>
              </w:rPr>
              <w:t>MARÍA EMILIA LÓPEZ</w:t>
            </w:r>
            <w:r>
              <w:rPr>
                <w:rFonts w:ascii="Arial" w:hAnsi="Arial" w:cs="Arial"/>
                <w:sz w:val="20"/>
                <w:szCs w:val="20"/>
              </w:rPr>
              <w:t>:</w:t>
            </w:r>
            <w:r w:rsidRPr="009D53F0">
              <w:rPr>
                <w:rFonts w:ascii="Arial" w:hAnsi="Arial" w:cs="Arial"/>
                <w:sz w:val="20"/>
                <w:szCs w:val="20"/>
              </w:rPr>
              <w:t xml:space="preserve"> 100 Salarios Mínimos Legales Vigentes a la fecha de pago.</w:t>
            </w:r>
          </w:p>
          <w:p w14:paraId="1DC8442C" w14:textId="77777777" w:rsidR="009D53F0" w:rsidRDefault="009D53F0" w:rsidP="009D53F0">
            <w:pPr>
              <w:pStyle w:val="Sinespaciado"/>
              <w:jc w:val="both"/>
              <w:rPr>
                <w:rFonts w:ascii="Arial" w:hAnsi="Arial" w:cs="Arial"/>
                <w:sz w:val="20"/>
                <w:szCs w:val="20"/>
              </w:rPr>
            </w:pPr>
          </w:p>
          <w:p w14:paraId="4A06FD42" w14:textId="48BAAEEC" w:rsidR="009D53F0" w:rsidRDefault="009D53F0" w:rsidP="009D53F0">
            <w:pPr>
              <w:pStyle w:val="Sinespaciado"/>
              <w:jc w:val="both"/>
              <w:rPr>
                <w:rFonts w:ascii="Arial" w:hAnsi="Arial" w:cs="Arial"/>
                <w:sz w:val="20"/>
                <w:szCs w:val="20"/>
              </w:rPr>
            </w:pPr>
            <w:r>
              <w:rPr>
                <w:rFonts w:ascii="Arial" w:hAnsi="Arial" w:cs="Arial"/>
                <w:sz w:val="20"/>
                <w:szCs w:val="20"/>
              </w:rPr>
              <w:t>La conversión de los salarios la realizamos a la fecha del 2025 ($1.423.500)</w:t>
            </w:r>
          </w:p>
          <w:p w14:paraId="64EA5A47" w14:textId="77777777" w:rsidR="009D53F0" w:rsidRDefault="009D53F0" w:rsidP="009D53F0">
            <w:pPr>
              <w:pStyle w:val="Sinespaciado"/>
              <w:jc w:val="both"/>
              <w:rPr>
                <w:rFonts w:ascii="Arial" w:hAnsi="Arial" w:cs="Arial"/>
                <w:sz w:val="20"/>
                <w:szCs w:val="20"/>
              </w:rPr>
            </w:pPr>
          </w:p>
          <w:p w14:paraId="56F5DCC7" w14:textId="4B3F9784" w:rsidR="009D53F0" w:rsidRPr="009D53F0" w:rsidRDefault="009D53F0" w:rsidP="009D53F0">
            <w:pPr>
              <w:pStyle w:val="Sinespaciado"/>
              <w:jc w:val="both"/>
              <w:rPr>
                <w:rFonts w:ascii="Arial" w:hAnsi="Arial" w:cs="Arial"/>
                <w:b/>
                <w:bCs/>
                <w:sz w:val="20"/>
                <w:szCs w:val="20"/>
              </w:rPr>
            </w:pPr>
            <w:r w:rsidRPr="009D53F0">
              <w:rPr>
                <w:rFonts w:ascii="Arial" w:hAnsi="Arial" w:cs="Arial"/>
                <w:b/>
                <w:bCs/>
                <w:sz w:val="20"/>
                <w:szCs w:val="20"/>
              </w:rPr>
              <w:t>TOTAL, DE PRETENSIONES SOLICITADAS: $574.669.284</w:t>
            </w:r>
          </w:p>
          <w:p w14:paraId="6357BCC4" w14:textId="77777777" w:rsidR="009D53F0" w:rsidRDefault="009D53F0" w:rsidP="009D53F0">
            <w:pPr>
              <w:pStyle w:val="Sinespaciado"/>
              <w:jc w:val="both"/>
              <w:rPr>
                <w:rFonts w:ascii="Arial" w:hAnsi="Arial" w:cs="Arial"/>
                <w:sz w:val="20"/>
                <w:szCs w:val="20"/>
              </w:rPr>
            </w:pPr>
          </w:p>
          <w:p w14:paraId="671B73C8" w14:textId="3A2CBFF2" w:rsidR="009D53F0" w:rsidRPr="00563295" w:rsidRDefault="009D53F0" w:rsidP="009D53F0">
            <w:pPr>
              <w:pStyle w:val="Sinespaciado"/>
              <w:jc w:val="both"/>
              <w:rPr>
                <w:rFonts w:ascii="Arial" w:hAnsi="Arial" w:cs="Arial"/>
                <w:b/>
                <w:sz w:val="20"/>
                <w:szCs w:val="20"/>
              </w:rPr>
            </w:pPr>
          </w:p>
        </w:tc>
      </w:tr>
      <w:tr w:rsidR="00E233A6" w:rsidRPr="00563295" w14:paraId="2CCDBF49" w14:textId="77777777" w:rsidTr="008F3801">
        <w:trPr>
          <w:trHeight w:val="340"/>
        </w:trPr>
        <w:tc>
          <w:tcPr>
            <w:tcW w:w="2338" w:type="dxa"/>
            <w:shd w:val="clear" w:color="auto" w:fill="0033A0"/>
            <w:vAlign w:val="center"/>
          </w:tcPr>
          <w:p w14:paraId="5CC1129D" w14:textId="03354AA7" w:rsidR="00E233A6" w:rsidRPr="00563295" w:rsidRDefault="00E233A6" w:rsidP="00E233A6">
            <w:pPr>
              <w:pStyle w:val="Ttulo7"/>
              <w:rPr>
                <w:rFonts w:ascii="Arial" w:hAnsi="Arial" w:cs="Arial"/>
                <w:sz w:val="20"/>
              </w:rPr>
            </w:pPr>
            <w:r w:rsidRPr="00563295">
              <w:rPr>
                <w:rFonts w:ascii="Arial" w:hAnsi="Arial" w:cs="Arial"/>
                <w:sz w:val="20"/>
              </w:rPr>
              <w:lastRenderedPageBreak/>
              <w:t>Pretensiones objetivadas</w:t>
            </w:r>
          </w:p>
        </w:tc>
        <w:tc>
          <w:tcPr>
            <w:tcW w:w="7512" w:type="dxa"/>
            <w:gridSpan w:val="3"/>
            <w:vAlign w:val="center"/>
          </w:tcPr>
          <w:p w14:paraId="0433B780" w14:textId="77777777" w:rsidR="00870DE5" w:rsidRPr="00870DE5" w:rsidRDefault="00870DE5" w:rsidP="00870DE5">
            <w:pPr>
              <w:pStyle w:val="xmsonormal"/>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rPr>
              <w:t>La liquidación objetiva de pretensiones asciende a $27.552.271, considerando lo siguiente:</w:t>
            </w:r>
          </w:p>
          <w:p w14:paraId="4F136584" w14:textId="77777777" w:rsidR="00870DE5" w:rsidRPr="00870DE5" w:rsidRDefault="00870DE5" w:rsidP="00870DE5">
            <w:pPr>
              <w:pStyle w:val="xmsonormal"/>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rPr>
              <w:t> </w:t>
            </w:r>
          </w:p>
          <w:p w14:paraId="362A65C0" w14:textId="77777777" w:rsidR="00870DE5" w:rsidRPr="00870DE5" w:rsidRDefault="00870DE5" w:rsidP="00870DE5">
            <w:pPr>
              <w:pStyle w:val="xmsolistparagraph"/>
              <w:numPr>
                <w:ilvl w:val="0"/>
                <w:numId w:val="35"/>
              </w:numPr>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b/>
                <w:bCs/>
                <w:color w:val="242424"/>
                <w:sz w:val="20"/>
                <w:szCs w:val="20"/>
                <w:bdr w:val="none" w:sz="0" w:space="0" w:color="auto" w:frame="1"/>
                <w:lang w:val="es-ES_tradnl"/>
              </w:rPr>
              <w:t>Daño emergente:</w:t>
            </w:r>
          </w:p>
          <w:p w14:paraId="138E46B4" w14:textId="77777777" w:rsidR="00870DE5" w:rsidRPr="00870DE5" w:rsidRDefault="00870DE5" w:rsidP="00870DE5">
            <w:pPr>
              <w:pStyle w:val="xmsonormal"/>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rPr>
              <w:t> </w:t>
            </w:r>
          </w:p>
          <w:p w14:paraId="543B1399" w14:textId="77777777" w:rsidR="00870DE5" w:rsidRPr="00870DE5" w:rsidRDefault="00870DE5" w:rsidP="00870DE5">
            <w:pPr>
              <w:pStyle w:val="xmsolistparagraph"/>
              <w:numPr>
                <w:ilvl w:val="0"/>
                <w:numId w:val="36"/>
              </w:numPr>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bdr w:val="none" w:sz="0" w:space="0" w:color="auto" w:frame="1"/>
                <w:lang w:val="es-ES_tradnl"/>
              </w:rPr>
              <w:t>Se reconoce el valor de </w:t>
            </w:r>
            <w:r w:rsidRPr="00870DE5">
              <w:rPr>
                <w:rFonts w:ascii="Arial" w:hAnsi="Arial" w:cs="Arial"/>
                <w:b/>
                <w:bCs/>
                <w:color w:val="242424"/>
                <w:sz w:val="20"/>
                <w:szCs w:val="20"/>
                <w:u w:val="single"/>
                <w:bdr w:val="none" w:sz="0" w:space="0" w:color="auto" w:frame="1"/>
                <w:lang w:val="es-ES_tradnl"/>
              </w:rPr>
              <w:t>$10.052.271</w:t>
            </w:r>
            <w:r w:rsidRPr="00870DE5">
              <w:rPr>
                <w:rFonts w:ascii="Arial" w:hAnsi="Arial" w:cs="Arial"/>
                <w:color w:val="242424"/>
                <w:sz w:val="20"/>
                <w:szCs w:val="20"/>
                <w:bdr w:val="none" w:sz="0" w:space="0" w:color="auto" w:frame="1"/>
                <w:lang w:val="es-ES_tradnl"/>
              </w:rPr>
              <w:t> por concepto del tratamiento médico veterinario de los equinos que fueron afectados por el siniestro, conforme a la certificación del contador público Harold Castillo Escobar, la cual viene acompañada de sendas facturas que acreditan dicha suma. Si bien hay algunas facturas que no son legibles, la mayoría de las facturas se pueden apreciar.</w:t>
            </w:r>
          </w:p>
          <w:p w14:paraId="796BB4DD" w14:textId="77777777" w:rsidR="00870DE5" w:rsidRPr="00870DE5" w:rsidRDefault="00870DE5" w:rsidP="00870DE5">
            <w:pPr>
              <w:pStyle w:val="xmsolistparagraph"/>
              <w:numPr>
                <w:ilvl w:val="0"/>
                <w:numId w:val="36"/>
              </w:numPr>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bdr w:val="none" w:sz="0" w:space="0" w:color="auto" w:frame="1"/>
                <w:lang w:val="es-ES_tradnl"/>
              </w:rPr>
              <w:t>Se reconoce el valor de </w:t>
            </w:r>
            <w:r w:rsidRPr="00870DE5">
              <w:rPr>
                <w:rFonts w:ascii="Arial" w:hAnsi="Arial" w:cs="Arial"/>
                <w:b/>
                <w:bCs/>
                <w:color w:val="242424"/>
                <w:sz w:val="20"/>
                <w:szCs w:val="20"/>
                <w:u w:val="single"/>
                <w:bdr w:val="none" w:sz="0" w:space="0" w:color="auto" w:frame="1"/>
                <w:lang w:val="es-ES_tradnl"/>
              </w:rPr>
              <w:t>$17.500.000</w:t>
            </w:r>
            <w:r w:rsidRPr="00870DE5">
              <w:rPr>
                <w:rFonts w:ascii="Arial" w:hAnsi="Arial" w:cs="Arial"/>
                <w:color w:val="242424"/>
                <w:sz w:val="20"/>
                <w:szCs w:val="20"/>
                <w:bdr w:val="none" w:sz="0" w:space="0" w:color="auto" w:frame="1"/>
                <w:lang w:val="es-ES_tradnl"/>
              </w:rPr>
              <w:t> por concepto de visitas, consultas y tratamientos veterinarios a los equinos afectados por el siniestro, conforme a las cuentas de cobro y recibos de caja menor adjuntos a la demanda.</w:t>
            </w:r>
          </w:p>
          <w:p w14:paraId="34066BC9" w14:textId="77777777" w:rsidR="00870DE5" w:rsidRPr="00870DE5" w:rsidRDefault="00870DE5" w:rsidP="00870DE5">
            <w:pPr>
              <w:pStyle w:val="xmsolistparagraph"/>
              <w:numPr>
                <w:ilvl w:val="0"/>
                <w:numId w:val="36"/>
              </w:numPr>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bdr w:val="none" w:sz="0" w:space="0" w:color="auto" w:frame="1"/>
                <w:lang w:val="es-ES_tradnl"/>
              </w:rPr>
              <w:t>No se reconoce el valor de $7.255.600 por concepto de los bienes de los que era propietario el señor GUSTAVO LOPEZ BAYTALA, considerando que no hay prueba de su existencia y destrucción al momento del siniestro.</w:t>
            </w:r>
          </w:p>
          <w:p w14:paraId="7561CE44" w14:textId="77777777" w:rsidR="00870DE5" w:rsidRPr="00870DE5" w:rsidRDefault="00870DE5" w:rsidP="00870DE5">
            <w:pPr>
              <w:pStyle w:val="xmsolistparagraph"/>
              <w:numPr>
                <w:ilvl w:val="0"/>
                <w:numId w:val="36"/>
              </w:numPr>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bdr w:val="none" w:sz="0" w:space="0" w:color="auto" w:frame="1"/>
                <w:lang w:val="es-ES_tradnl"/>
              </w:rPr>
              <w:t>No se reconoce el valor de $480.000 por concepto de los bienes de los que era propietaria la señora EMILIA BAYTALA DE LOPEZ, considerando que no hay prueba de su existencia y destrucción al momento del siniestro.</w:t>
            </w:r>
          </w:p>
          <w:p w14:paraId="4432F526" w14:textId="77777777" w:rsidR="00870DE5" w:rsidRPr="00870DE5" w:rsidRDefault="00870DE5" w:rsidP="00870DE5">
            <w:pPr>
              <w:pStyle w:val="xmsolistparagraph"/>
              <w:numPr>
                <w:ilvl w:val="0"/>
                <w:numId w:val="36"/>
              </w:numPr>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bdr w:val="none" w:sz="0" w:space="0" w:color="auto" w:frame="1"/>
                <w:lang w:val="es-ES_tradnl"/>
              </w:rPr>
              <w:t>No se reconoce el daño emergente a favor de la empresa GUSTAVO LOPEZ NAVIA S.A., la empresa GRUPO CONSTRUCTOR PRODIGYO S.A., ni los presuntos perjuicios por la pérdida de equinos, caballos que están en tratamiento, varias pesebreras, alimentación, herradas y montador de los caballos, por no existir prueba de ninguno de estos perjuicios.</w:t>
            </w:r>
          </w:p>
          <w:p w14:paraId="71F3829A" w14:textId="77777777" w:rsidR="00870DE5" w:rsidRPr="00870DE5" w:rsidRDefault="00870DE5" w:rsidP="00870DE5">
            <w:pPr>
              <w:pStyle w:val="xmsonormal"/>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rPr>
              <w:t> </w:t>
            </w:r>
          </w:p>
          <w:p w14:paraId="25E638F2" w14:textId="77777777" w:rsidR="00870DE5" w:rsidRPr="00870DE5" w:rsidRDefault="00870DE5" w:rsidP="00870DE5">
            <w:pPr>
              <w:pStyle w:val="xmsolistparagraph"/>
              <w:numPr>
                <w:ilvl w:val="0"/>
                <w:numId w:val="37"/>
              </w:numPr>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b/>
                <w:bCs/>
                <w:color w:val="242424"/>
                <w:sz w:val="20"/>
                <w:szCs w:val="20"/>
                <w:bdr w:val="none" w:sz="0" w:space="0" w:color="auto" w:frame="1"/>
                <w:lang w:val="es-ES_tradnl"/>
              </w:rPr>
              <w:t>Lucro cesante futuro</w:t>
            </w:r>
            <w:r w:rsidRPr="00870DE5">
              <w:rPr>
                <w:rFonts w:ascii="Arial" w:hAnsi="Arial" w:cs="Arial"/>
                <w:color w:val="242424"/>
                <w:sz w:val="20"/>
                <w:szCs w:val="20"/>
                <w:bdr w:val="none" w:sz="0" w:space="0" w:color="auto" w:frame="1"/>
                <w:lang w:val="es-ES_tradnl"/>
              </w:rPr>
              <w:t>: No se reconoce, por cuanto no hay ninguna prueba del potencial productivo de los equinos, ni del valor de sus potrillos. Tampoco hay prueba del potencial de pajillas del caballo por los años relacionados, ni de su valor.</w:t>
            </w:r>
          </w:p>
          <w:p w14:paraId="0C235E14" w14:textId="77777777" w:rsidR="00870DE5" w:rsidRPr="00870DE5" w:rsidRDefault="00870DE5" w:rsidP="00870DE5">
            <w:pPr>
              <w:pStyle w:val="xmsolistparagraph"/>
              <w:shd w:val="clear" w:color="auto" w:fill="FFFFFF"/>
              <w:spacing w:before="0" w:beforeAutospacing="0" w:after="0" w:afterAutospacing="0"/>
              <w:ind w:left="720"/>
              <w:jc w:val="both"/>
              <w:rPr>
                <w:rFonts w:ascii="Arial" w:hAnsi="Arial" w:cs="Arial"/>
                <w:color w:val="242424"/>
                <w:sz w:val="20"/>
                <w:szCs w:val="20"/>
              </w:rPr>
            </w:pPr>
            <w:r w:rsidRPr="00870DE5">
              <w:rPr>
                <w:rFonts w:ascii="Arial" w:hAnsi="Arial" w:cs="Arial"/>
                <w:color w:val="242424"/>
                <w:sz w:val="20"/>
                <w:szCs w:val="20"/>
                <w:bdr w:val="none" w:sz="0" w:space="0" w:color="auto" w:frame="1"/>
                <w:lang w:val="es-ES_tradnl"/>
              </w:rPr>
              <w:t> </w:t>
            </w:r>
          </w:p>
          <w:p w14:paraId="43DCE7A7" w14:textId="77777777" w:rsidR="00870DE5" w:rsidRPr="00870DE5" w:rsidRDefault="00870DE5" w:rsidP="00870DE5">
            <w:pPr>
              <w:pStyle w:val="xmsolistparagraph"/>
              <w:numPr>
                <w:ilvl w:val="0"/>
                <w:numId w:val="38"/>
              </w:numPr>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b/>
                <w:bCs/>
                <w:color w:val="242424"/>
                <w:sz w:val="20"/>
                <w:szCs w:val="20"/>
                <w:bdr w:val="none" w:sz="0" w:space="0" w:color="auto" w:frame="1"/>
                <w:lang w:val="es-ES_tradnl"/>
              </w:rPr>
              <w:t>Pérdida de la oportunidad: </w:t>
            </w:r>
            <w:r w:rsidRPr="00870DE5">
              <w:rPr>
                <w:rFonts w:ascii="Arial" w:hAnsi="Arial" w:cs="Arial"/>
                <w:color w:val="242424"/>
                <w:sz w:val="20"/>
                <w:szCs w:val="20"/>
                <w:bdr w:val="none" w:sz="0" w:space="0" w:color="auto" w:frame="1"/>
                <w:lang w:val="es-ES_tradnl"/>
              </w:rPr>
              <w:t>No se reconoce por no haber prueba de este perjuicio, ni haberse acreditado los elementos para su reconocimiento.</w:t>
            </w:r>
          </w:p>
          <w:p w14:paraId="0CAFC8F6" w14:textId="77777777" w:rsidR="00870DE5" w:rsidRPr="00870DE5" w:rsidRDefault="00870DE5" w:rsidP="00870DE5">
            <w:pPr>
              <w:pStyle w:val="xmsonormal"/>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color w:val="242424"/>
                <w:sz w:val="20"/>
                <w:szCs w:val="20"/>
              </w:rPr>
              <w:t> </w:t>
            </w:r>
          </w:p>
          <w:p w14:paraId="4EBD504B" w14:textId="77777777" w:rsidR="00870DE5" w:rsidRPr="00870DE5" w:rsidRDefault="00870DE5" w:rsidP="00870DE5">
            <w:pPr>
              <w:pStyle w:val="xmsolistparagraph"/>
              <w:numPr>
                <w:ilvl w:val="0"/>
                <w:numId w:val="39"/>
              </w:numPr>
              <w:shd w:val="clear" w:color="auto" w:fill="FFFFFF"/>
              <w:spacing w:before="0" w:beforeAutospacing="0" w:after="0" w:afterAutospacing="0"/>
              <w:jc w:val="both"/>
              <w:rPr>
                <w:rFonts w:ascii="Arial" w:hAnsi="Arial" w:cs="Arial"/>
                <w:color w:val="242424"/>
                <w:sz w:val="20"/>
                <w:szCs w:val="20"/>
              </w:rPr>
            </w:pPr>
            <w:r w:rsidRPr="00870DE5">
              <w:rPr>
                <w:rFonts w:ascii="Arial" w:hAnsi="Arial" w:cs="Arial"/>
                <w:b/>
                <w:bCs/>
                <w:color w:val="242424"/>
                <w:sz w:val="20"/>
                <w:szCs w:val="20"/>
                <w:bdr w:val="none" w:sz="0" w:space="0" w:color="auto" w:frame="1"/>
                <w:lang w:val="es-ES_tradnl"/>
              </w:rPr>
              <w:t>Daño moral: </w:t>
            </w:r>
            <w:r w:rsidRPr="00870DE5">
              <w:rPr>
                <w:rFonts w:ascii="Arial" w:hAnsi="Arial" w:cs="Arial"/>
                <w:color w:val="242424"/>
                <w:sz w:val="20"/>
                <w:szCs w:val="20"/>
                <w:bdr w:val="none" w:sz="0" w:space="0" w:color="auto" w:frame="1"/>
                <w:lang w:val="es-ES_tradnl"/>
              </w:rPr>
              <w:t>No se reconoce, considerando que la jurisprudencia del Consejo de Estado ha dicho que los perjuicios morales por pérdida de bienes materiales deben ser probados y, hasta el momento, no existe prueba de la congoja y aflicción de los demandantes por la pérdida de los bienes cuya indemnización también pretenden</w:t>
            </w:r>
            <w:r w:rsidRPr="00870DE5">
              <w:rPr>
                <w:rFonts w:ascii="Arial" w:hAnsi="Arial" w:cs="Arial"/>
                <w:b/>
                <w:bCs/>
                <w:color w:val="242424"/>
                <w:sz w:val="20"/>
                <w:szCs w:val="20"/>
                <w:bdr w:val="none" w:sz="0" w:space="0" w:color="auto" w:frame="1"/>
                <w:lang w:val="es-ES_tradnl"/>
              </w:rPr>
              <w:t>.</w:t>
            </w:r>
          </w:p>
          <w:p w14:paraId="75F400C0" w14:textId="001D4BAC" w:rsidR="00E233A6" w:rsidRPr="00870DE5" w:rsidRDefault="00E233A6" w:rsidP="00E233A6">
            <w:pPr>
              <w:pStyle w:val="Sangra2detindependiente"/>
              <w:spacing w:after="0" w:line="240" w:lineRule="auto"/>
              <w:ind w:left="0"/>
              <w:jc w:val="both"/>
              <w:rPr>
                <w:rFonts w:ascii="Arial" w:hAnsi="Arial" w:cs="Arial"/>
                <w:b/>
                <w:bCs/>
                <w:sz w:val="20"/>
                <w:szCs w:val="20"/>
                <w:lang w:val="es-CO"/>
              </w:rPr>
            </w:pPr>
          </w:p>
        </w:tc>
      </w:tr>
      <w:tr w:rsidR="00E233A6" w:rsidRPr="00563295" w14:paraId="47F9AB40" w14:textId="77777777" w:rsidTr="008F3801">
        <w:trPr>
          <w:trHeight w:val="1657"/>
        </w:trPr>
        <w:tc>
          <w:tcPr>
            <w:tcW w:w="2338" w:type="dxa"/>
            <w:shd w:val="clear" w:color="auto" w:fill="0033A0"/>
            <w:vAlign w:val="center"/>
          </w:tcPr>
          <w:p w14:paraId="6C301EF8" w14:textId="77D2D7C3" w:rsidR="00E233A6" w:rsidRPr="00563295" w:rsidRDefault="00E233A6" w:rsidP="00E233A6">
            <w:pPr>
              <w:pStyle w:val="Ttulo7"/>
              <w:rPr>
                <w:rFonts w:ascii="Arial" w:hAnsi="Arial" w:cs="Arial"/>
                <w:sz w:val="20"/>
              </w:rPr>
            </w:pPr>
            <w:r w:rsidRPr="00563295">
              <w:rPr>
                <w:rFonts w:ascii="Arial" w:hAnsi="Arial" w:cs="Arial"/>
                <w:sz w:val="20"/>
              </w:rPr>
              <w:lastRenderedPageBreak/>
              <w:t>Resumen del proceso</w:t>
            </w:r>
          </w:p>
        </w:tc>
        <w:tc>
          <w:tcPr>
            <w:tcW w:w="7512" w:type="dxa"/>
            <w:gridSpan w:val="3"/>
            <w:vAlign w:val="center"/>
          </w:tcPr>
          <w:p w14:paraId="25C1BCB7" w14:textId="77777777" w:rsidR="003466DD" w:rsidRDefault="003466DD" w:rsidP="00E233A6">
            <w:pPr>
              <w:jc w:val="both"/>
              <w:rPr>
                <w:rFonts w:ascii="Arial" w:hAnsi="Arial" w:cs="Arial"/>
                <w:iCs/>
                <w:sz w:val="20"/>
                <w:szCs w:val="20"/>
              </w:rPr>
            </w:pPr>
            <w:r w:rsidRPr="003466DD">
              <w:rPr>
                <w:rFonts w:ascii="Arial" w:hAnsi="Arial" w:cs="Arial"/>
                <w:iCs/>
                <w:sz w:val="20"/>
                <w:szCs w:val="20"/>
              </w:rPr>
              <w:t xml:space="preserve">De acuerdo con la narrativa consignada en la solicitud de conciliación, en el marco del proyecto urbanístico “Clínica Espíritu Santo” CEO contrató con la sociedad Proing S.A. para efectuar cambios en las redes de transmisión electrónica en la Hacienda La Paz. </w:t>
            </w:r>
          </w:p>
          <w:p w14:paraId="6329CF6B" w14:textId="77777777" w:rsidR="003466DD" w:rsidRDefault="003466DD" w:rsidP="00E233A6">
            <w:pPr>
              <w:jc w:val="both"/>
              <w:rPr>
                <w:rFonts w:ascii="Arial" w:hAnsi="Arial" w:cs="Arial"/>
                <w:iCs/>
                <w:sz w:val="20"/>
                <w:szCs w:val="20"/>
              </w:rPr>
            </w:pPr>
          </w:p>
          <w:p w14:paraId="023BE28A" w14:textId="77777777" w:rsidR="003466DD" w:rsidRDefault="003466DD" w:rsidP="00E233A6">
            <w:pPr>
              <w:jc w:val="both"/>
              <w:rPr>
                <w:rFonts w:ascii="Arial" w:hAnsi="Arial" w:cs="Arial"/>
                <w:iCs/>
                <w:sz w:val="20"/>
                <w:szCs w:val="20"/>
              </w:rPr>
            </w:pPr>
            <w:r w:rsidRPr="003466DD">
              <w:rPr>
                <w:rFonts w:ascii="Arial" w:hAnsi="Arial" w:cs="Arial"/>
                <w:iCs/>
                <w:sz w:val="20"/>
                <w:szCs w:val="20"/>
              </w:rPr>
              <w:t>Se alega que posteriormente el 22 de agosto de 2017 se presentó un incendio en las instalaciones de la Hacienda La Paz, lugar destinado al desarrollo agrícola de caballos y vacunos a través de la sociedad Gustavo López Navia S.A. y donde se encuentran las oficinas de Prodigyo S.A. Producto de ello, el 05 de septiembre de 2017 los afectados remitieron comunicación a CEO reclamando los perjuicios ocasionados, quien mediante oficio de 18 de septiembre de 2017 envió</w:t>
            </w:r>
            <w:r>
              <w:rPr>
                <w:rFonts w:ascii="Arial" w:hAnsi="Arial" w:cs="Arial"/>
                <w:iCs/>
                <w:sz w:val="20"/>
                <w:szCs w:val="20"/>
              </w:rPr>
              <w:t xml:space="preserve"> </w:t>
            </w:r>
            <w:r w:rsidRPr="003466DD">
              <w:rPr>
                <w:rFonts w:ascii="Arial" w:hAnsi="Arial" w:cs="Arial"/>
                <w:iCs/>
                <w:sz w:val="20"/>
                <w:szCs w:val="20"/>
              </w:rPr>
              <w:t xml:space="preserve">la reclamación a Proing S.A. por considerarla de su competencia. Así pues, en oficio de 02 octubre de 2017 esta última sociedad emitió respuesta oponiéndose por no haberse probado el nexo causal. </w:t>
            </w:r>
          </w:p>
          <w:p w14:paraId="7F9180F4" w14:textId="77777777" w:rsidR="003466DD" w:rsidRDefault="003466DD" w:rsidP="00E233A6">
            <w:pPr>
              <w:jc w:val="both"/>
              <w:rPr>
                <w:rFonts w:ascii="Arial" w:hAnsi="Arial" w:cs="Arial"/>
                <w:iCs/>
                <w:sz w:val="20"/>
                <w:szCs w:val="20"/>
              </w:rPr>
            </w:pPr>
          </w:p>
          <w:p w14:paraId="65978F9E" w14:textId="77777777" w:rsidR="003466DD" w:rsidRDefault="003466DD" w:rsidP="00E233A6">
            <w:pPr>
              <w:jc w:val="both"/>
              <w:rPr>
                <w:rFonts w:ascii="Arial" w:hAnsi="Arial" w:cs="Arial"/>
                <w:iCs/>
                <w:sz w:val="20"/>
                <w:szCs w:val="20"/>
              </w:rPr>
            </w:pPr>
            <w:r w:rsidRPr="003466DD">
              <w:rPr>
                <w:rFonts w:ascii="Arial" w:hAnsi="Arial" w:cs="Arial"/>
                <w:iCs/>
                <w:sz w:val="20"/>
                <w:szCs w:val="20"/>
              </w:rPr>
              <w:t>En vista de lo anterior, las sociedades Gustavo López Navia S.A. y Prodigyo S.A. y el señor Gustavo López Navia, actuando en nombre propio y en representación de su hija menor de edad María Emilia López, impetraron demanda de responsabilidad civil extracontractual que fue conocida por el Juzgado Quinto (5°) Civil de Popayán bajo radicado No. 190013103005-2020-00017-00. No obstante, el juez civil mediante auto de 11 de marzo de 2021 resolvió declarar falta de jurisdicción y consecuentemente, revocó los autos de 17 y 19 de octubre de 2020, mediante los cuales se admitió el libelo y la reforma de la demanda, razón por la cual se remitió al juez competent</w:t>
            </w:r>
            <w:r>
              <w:rPr>
                <w:rFonts w:ascii="Arial" w:hAnsi="Arial" w:cs="Arial"/>
                <w:iCs/>
                <w:sz w:val="20"/>
                <w:szCs w:val="20"/>
              </w:rPr>
              <w:t xml:space="preserve">e. </w:t>
            </w:r>
          </w:p>
          <w:p w14:paraId="3E9DD4D2" w14:textId="77777777" w:rsidR="003466DD" w:rsidRDefault="003466DD" w:rsidP="00E233A6">
            <w:pPr>
              <w:jc w:val="both"/>
              <w:rPr>
                <w:rFonts w:ascii="Arial" w:hAnsi="Arial" w:cs="Arial"/>
                <w:iCs/>
                <w:sz w:val="20"/>
                <w:szCs w:val="20"/>
              </w:rPr>
            </w:pPr>
          </w:p>
          <w:p w14:paraId="193FED23" w14:textId="77777777" w:rsidR="003466DD" w:rsidRDefault="003466DD" w:rsidP="00E233A6">
            <w:pPr>
              <w:jc w:val="both"/>
              <w:rPr>
                <w:rFonts w:ascii="Arial" w:hAnsi="Arial" w:cs="Arial"/>
                <w:iCs/>
                <w:sz w:val="20"/>
                <w:szCs w:val="20"/>
              </w:rPr>
            </w:pPr>
            <w:r w:rsidRPr="003466DD">
              <w:rPr>
                <w:rFonts w:ascii="Arial" w:hAnsi="Arial" w:cs="Arial"/>
                <w:iCs/>
                <w:sz w:val="20"/>
                <w:szCs w:val="20"/>
              </w:rPr>
              <w:t xml:space="preserve">En el marco de ello, el 24 de febrero de 2021 Seguros Generales Suramericana S.A. realizó un pago con cargo a la cobertura de gastos de defensa de la Póliza de Responsabilidad Civil por Daños a Terceros No. 0150450-4. Surtido el reparto en la Jurisdicción de lo Contencioso Administrativo, le correspondió al magistrado Carlos Leonel Buitrago Chávez del Tribunal Administrativo del Cauca conocer del asunto, por lo cual en auto calendado del 24 de junio de 2022 inadmitió la demanda de reparación directa y el 28 de junio de 2024 se ordenó el rechazo por no haberse subsanado en el término previsto. </w:t>
            </w:r>
          </w:p>
          <w:p w14:paraId="73DCFAE4" w14:textId="77777777" w:rsidR="003466DD" w:rsidRDefault="003466DD" w:rsidP="00E233A6">
            <w:pPr>
              <w:jc w:val="both"/>
              <w:rPr>
                <w:rFonts w:ascii="Arial" w:hAnsi="Arial" w:cs="Arial"/>
                <w:iCs/>
                <w:sz w:val="20"/>
                <w:szCs w:val="20"/>
              </w:rPr>
            </w:pPr>
          </w:p>
          <w:p w14:paraId="1CF8A0DA" w14:textId="77777777" w:rsidR="003466DD" w:rsidRDefault="003466DD" w:rsidP="00E233A6">
            <w:pPr>
              <w:jc w:val="both"/>
              <w:rPr>
                <w:rFonts w:ascii="Arial" w:hAnsi="Arial" w:cs="Arial"/>
                <w:iCs/>
                <w:sz w:val="20"/>
                <w:szCs w:val="20"/>
              </w:rPr>
            </w:pPr>
            <w:r w:rsidRPr="003466DD">
              <w:rPr>
                <w:rFonts w:ascii="Arial" w:hAnsi="Arial" w:cs="Arial"/>
                <w:iCs/>
                <w:sz w:val="20"/>
                <w:szCs w:val="20"/>
              </w:rPr>
              <w:t>En adición, el 22 de febrero de 2023 CEO envió una carta a Seguros Generales Suramericana S.A. interrumpiendo nuevamente el término de prescripción.</w:t>
            </w:r>
          </w:p>
          <w:p w14:paraId="7AFB2A23" w14:textId="77777777" w:rsidR="003466DD" w:rsidRDefault="003466DD" w:rsidP="00E233A6">
            <w:pPr>
              <w:jc w:val="both"/>
              <w:rPr>
                <w:rFonts w:ascii="Arial" w:hAnsi="Arial" w:cs="Arial"/>
                <w:iCs/>
                <w:sz w:val="20"/>
                <w:szCs w:val="20"/>
              </w:rPr>
            </w:pPr>
          </w:p>
          <w:p w14:paraId="0D210CED" w14:textId="63E59E6A" w:rsidR="003466DD" w:rsidRPr="00563295" w:rsidRDefault="003466DD" w:rsidP="00E233A6">
            <w:pPr>
              <w:jc w:val="both"/>
              <w:rPr>
                <w:rFonts w:ascii="Arial" w:hAnsi="Arial" w:cs="Arial"/>
                <w:iCs/>
                <w:sz w:val="20"/>
                <w:szCs w:val="20"/>
              </w:rPr>
            </w:pPr>
            <w:r w:rsidRPr="003466DD">
              <w:rPr>
                <w:rFonts w:ascii="Arial" w:hAnsi="Arial" w:cs="Arial"/>
                <w:iCs/>
                <w:sz w:val="20"/>
                <w:szCs w:val="20"/>
              </w:rPr>
              <w:t>Finalmente, se precisa que a la fecha el término de prescripción se suspendió por la solicitud de conciliación presentada por CEO frente a Sura.</w:t>
            </w:r>
          </w:p>
        </w:tc>
      </w:tr>
      <w:tr w:rsidR="00E233A6" w:rsidRPr="00563295" w14:paraId="51B3F58B" w14:textId="77777777" w:rsidTr="008F3801">
        <w:trPr>
          <w:trHeight w:val="559"/>
        </w:trPr>
        <w:tc>
          <w:tcPr>
            <w:tcW w:w="2338" w:type="dxa"/>
            <w:shd w:val="clear" w:color="auto" w:fill="0033A0"/>
            <w:vAlign w:val="center"/>
          </w:tcPr>
          <w:p w14:paraId="502B9735" w14:textId="77777777" w:rsidR="00E233A6" w:rsidRPr="00563295" w:rsidRDefault="00E233A6" w:rsidP="00E233A6">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392250B5" w:rsidR="00E233A6" w:rsidRPr="00563295" w:rsidRDefault="003466DD" w:rsidP="00E233A6">
            <w:pPr>
              <w:jc w:val="both"/>
              <w:rPr>
                <w:rFonts w:ascii="Arial" w:hAnsi="Arial" w:cs="Arial"/>
                <w:b/>
                <w:iCs/>
                <w:sz w:val="20"/>
                <w:szCs w:val="20"/>
              </w:rPr>
            </w:pPr>
            <w:r>
              <w:rPr>
                <w:rFonts w:ascii="Arial" w:hAnsi="Arial" w:cs="Arial"/>
                <w:b/>
                <w:iCs/>
                <w:sz w:val="20"/>
                <w:szCs w:val="20"/>
              </w:rPr>
              <w:t xml:space="preserve">EVENTUAL </w:t>
            </w:r>
          </w:p>
        </w:tc>
      </w:tr>
      <w:tr w:rsidR="00E233A6" w:rsidRPr="00563295" w14:paraId="3816128F" w14:textId="77777777" w:rsidTr="008F3801">
        <w:trPr>
          <w:trHeight w:val="836"/>
        </w:trPr>
        <w:tc>
          <w:tcPr>
            <w:tcW w:w="2338" w:type="dxa"/>
            <w:shd w:val="clear" w:color="auto" w:fill="0033A0"/>
            <w:vAlign w:val="center"/>
          </w:tcPr>
          <w:p w14:paraId="7FDFC74F" w14:textId="7C9CBE7F" w:rsidR="00E233A6" w:rsidRPr="00563295" w:rsidRDefault="00E233A6" w:rsidP="00E233A6">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46EE1E88" w14:textId="36DF2552" w:rsidR="00E233A6" w:rsidRPr="00563295" w:rsidRDefault="009B3D34" w:rsidP="00E233A6">
            <w:pPr>
              <w:jc w:val="both"/>
              <w:rPr>
                <w:rFonts w:ascii="Arial" w:hAnsi="Arial" w:cs="Arial"/>
                <w:iCs/>
                <w:sz w:val="20"/>
                <w:szCs w:val="20"/>
                <w:lang w:val="es-ES"/>
              </w:rPr>
            </w:pPr>
            <w:r>
              <w:rPr>
                <w:rFonts w:ascii="Arial" w:hAnsi="Arial" w:cs="Arial"/>
                <w:iCs/>
                <w:sz w:val="20"/>
                <w:szCs w:val="20"/>
              </w:rPr>
              <w:t xml:space="preserve">La contingencia se califica como </w:t>
            </w:r>
            <w:r w:rsidR="009D53F0" w:rsidRPr="009D53F0">
              <w:rPr>
                <w:rFonts w:ascii="Arial" w:hAnsi="Arial" w:cs="Arial"/>
                <w:iCs/>
                <w:sz w:val="20"/>
                <w:szCs w:val="20"/>
                <w:lang w:val="es-ES"/>
              </w:rPr>
              <w:t xml:space="preserve">EVENTUAL dado que, si bien las acciones derivadas del contrato de seguro no se encuentran prescritas, existe una posibilidad de que se declare la caducidad del medio de control de </w:t>
            </w:r>
            <w:proofErr w:type="spellStart"/>
            <w:r w:rsidR="009D53F0" w:rsidRPr="009D53F0">
              <w:rPr>
                <w:rFonts w:ascii="Arial" w:hAnsi="Arial" w:cs="Arial"/>
                <w:iCs/>
                <w:sz w:val="20"/>
                <w:szCs w:val="20"/>
                <w:lang w:val="es-ES"/>
              </w:rPr>
              <w:t>reparación</w:t>
            </w:r>
            <w:proofErr w:type="spellEnd"/>
            <w:r w:rsidR="009D53F0" w:rsidRPr="009D53F0">
              <w:rPr>
                <w:rFonts w:ascii="Arial" w:hAnsi="Arial" w:cs="Arial"/>
                <w:iCs/>
                <w:sz w:val="20"/>
                <w:szCs w:val="20"/>
                <w:lang w:val="es-ES"/>
              </w:rPr>
              <w:t xml:space="preserve"> directa promovido por el </w:t>
            </w:r>
            <w:proofErr w:type="spellStart"/>
            <w:r w:rsidR="009D53F0" w:rsidRPr="009D53F0">
              <w:rPr>
                <w:rFonts w:ascii="Arial" w:hAnsi="Arial" w:cs="Arial"/>
                <w:iCs/>
                <w:sz w:val="20"/>
                <w:szCs w:val="20"/>
                <w:lang w:val="es-ES"/>
              </w:rPr>
              <w:t>señor</w:t>
            </w:r>
            <w:proofErr w:type="spellEnd"/>
            <w:r w:rsidR="009D53F0" w:rsidRPr="009D53F0">
              <w:rPr>
                <w:rFonts w:ascii="Arial" w:hAnsi="Arial" w:cs="Arial"/>
                <w:iCs/>
                <w:sz w:val="20"/>
                <w:szCs w:val="20"/>
                <w:lang w:val="es-ES"/>
              </w:rPr>
              <w:t xml:space="preserve"> Gustavo </w:t>
            </w:r>
            <w:proofErr w:type="spellStart"/>
            <w:r w:rsidR="009D53F0" w:rsidRPr="009D53F0">
              <w:rPr>
                <w:rFonts w:ascii="Arial" w:hAnsi="Arial" w:cs="Arial"/>
                <w:iCs/>
                <w:sz w:val="20"/>
                <w:szCs w:val="20"/>
                <w:lang w:val="es-ES"/>
              </w:rPr>
              <w:t>López</w:t>
            </w:r>
            <w:proofErr w:type="spellEnd"/>
            <w:r w:rsidR="009D53F0" w:rsidRPr="009D53F0">
              <w:rPr>
                <w:rFonts w:ascii="Arial" w:hAnsi="Arial" w:cs="Arial"/>
                <w:iCs/>
                <w:sz w:val="20"/>
                <w:szCs w:val="20"/>
                <w:lang w:val="es-ES"/>
              </w:rPr>
              <w:t xml:space="preserve"> </w:t>
            </w:r>
            <w:proofErr w:type="spellStart"/>
            <w:r w:rsidR="009D53F0" w:rsidRPr="009D53F0">
              <w:rPr>
                <w:rFonts w:ascii="Arial" w:hAnsi="Arial" w:cs="Arial"/>
                <w:iCs/>
                <w:sz w:val="20"/>
                <w:szCs w:val="20"/>
                <w:lang w:val="es-ES"/>
              </w:rPr>
              <w:t>Baytala</w:t>
            </w:r>
            <w:proofErr w:type="spellEnd"/>
            <w:r w:rsidR="009D53F0" w:rsidRPr="009D53F0">
              <w:rPr>
                <w:rFonts w:ascii="Arial" w:hAnsi="Arial" w:cs="Arial"/>
                <w:iCs/>
                <w:sz w:val="20"/>
                <w:szCs w:val="20"/>
                <w:lang w:val="es-ES"/>
              </w:rPr>
              <w:t xml:space="preserve"> y otros en contra de la </w:t>
            </w:r>
            <w:proofErr w:type="spellStart"/>
            <w:r w:rsidR="009D53F0" w:rsidRPr="009D53F0">
              <w:rPr>
                <w:rFonts w:ascii="Arial" w:hAnsi="Arial" w:cs="Arial"/>
                <w:iCs/>
                <w:sz w:val="20"/>
                <w:szCs w:val="20"/>
                <w:lang w:val="es-ES"/>
              </w:rPr>
              <w:t>Compañía</w:t>
            </w:r>
            <w:proofErr w:type="spellEnd"/>
            <w:r w:rsidR="009D53F0" w:rsidRPr="009D53F0">
              <w:rPr>
                <w:rFonts w:ascii="Arial" w:hAnsi="Arial" w:cs="Arial"/>
                <w:iCs/>
                <w:sz w:val="20"/>
                <w:szCs w:val="20"/>
                <w:lang w:val="es-ES"/>
              </w:rPr>
              <w:t xml:space="preserve"> de </w:t>
            </w:r>
            <w:proofErr w:type="spellStart"/>
            <w:r w:rsidR="009D53F0" w:rsidRPr="009D53F0">
              <w:rPr>
                <w:rFonts w:ascii="Arial" w:hAnsi="Arial" w:cs="Arial"/>
                <w:iCs/>
                <w:sz w:val="20"/>
                <w:szCs w:val="20"/>
                <w:lang w:val="es-ES"/>
              </w:rPr>
              <w:t>Energía</w:t>
            </w:r>
            <w:proofErr w:type="spellEnd"/>
            <w:r w:rsidR="009D53F0" w:rsidRPr="009D53F0">
              <w:rPr>
                <w:rFonts w:ascii="Arial" w:hAnsi="Arial" w:cs="Arial"/>
                <w:iCs/>
                <w:sz w:val="20"/>
                <w:szCs w:val="20"/>
                <w:lang w:val="es-ES"/>
              </w:rPr>
              <w:t xml:space="preserve">. En otras palabras, dado que la solicitud de </w:t>
            </w:r>
            <w:proofErr w:type="spellStart"/>
            <w:r w:rsidR="009D53F0" w:rsidRPr="009D53F0">
              <w:rPr>
                <w:rFonts w:ascii="Arial" w:hAnsi="Arial" w:cs="Arial"/>
                <w:iCs/>
                <w:sz w:val="20"/>
                <w:szCs w:val="20"/>
                <w:lang w:val="es-ES"/>
              </w:rPr>
              <w:t>conciliación</w:t>
            </w:r>
            <w:proofErr w:type="spellEnd"/>
            <w:r w:rsidR="009D53F0" w:rsidRPr="009D53F0">
              <w:rPr>
                <w:rFonts w:ascii="Arial" w:hAnsi="Arial" w:cs="Arial"/>
                <w:iCs/>
                <w:sz w:val="20"/>
                <w:szCs w:val="20"/>
                <w:lang w:val="es-ES"/>
              </w:rPr>
              <w:t xml:space="preserve"> presentada por CEO en contra de SURA tiene por objeto agotar el requisito de procedibilidad de una </w:t>
            </w:r>
            <w:proofErr w:type="spellStart"/>
            <w:r w:rsidR="009D53F0" w:rsidRPr="009D53F0">
              <w:rPr>
                <w:rFonts w:ascii="Arial" w:hAnsi="Arial" w:cs="Arial"/>
                <w:iCs/>
                <w:sz w:val="20"/>
                <w:szCs w:val="20"/>
                <w:lang w:val="es-ES"/>
              </w:rPr>
              <w:t>acción</w:t>
            </w:r>
            <w:proofErr w:type="spellEnd"/>
            <w:r w:rsidR="009D53F0" w:rsidRPr="009D53F0">
              <w:rPr>
                <w:rFonts w:ascii="Arial" w:hAnsi="Arial" w:cs="Arial"/>
                <w:iCs/>
                <w:sz w:val="20"/>
                <w:szCs w:val="20"/>
                <w:lang w:val="es-ES"/>
              </w:rPr>
              <w:t xml:space="preserve"> de responsabilidad por </w:t>
            </w:r>
            <w:proofErr w:type="spellStart"/>
            <w:r w:rsidR="009D53F0" w:rsidRPr="009D53F0">
              <w:rPr>
                <w:rFonts w:ascii="Arial" w:hAnsi="Arial" w:cs="Arial"/>
                <w:iCs/>
                <w:sz w:val="20"/>
                <w:szCs w:val="20"/>
                <w:lang w:val="es-ES"/>
              </w:rPr>
              <w:t>daño</w:t>
            </w:r>
            <w:proofErr w:type="spellEnd"/>
            <w:r w:rsidR="009D53F0" w:rsidRPr="009D53F0">
              <w:rPr>
                <w:rFonts w:ascii="Arial" w:hAnsi="Arial" w:cs="Arial"/>
                <w:iCs/>
                <w:sz w:val="20"/>
                <w:szCs w:val="20"/>
                <w:lang w:val="es-ES"/>
              </w:rPr>
              <w:t xml:space="preserve"> contingente, </w:t>
            </w:r>
            <w:proofErr w:type="spellStart"/>
            <w:r w:rsidR="009D53F0" w:rsidRPr="009D53F0">
              <w:rPr>
                <w:rFonts w:ascii="Arial" w:hAnsi="Arial" w:cs="Arial"/>
                <w:iCs/>
                <w:sz w:val="20"/>
                <w:szCs w:val="20"/>
                <w:lang w:val="es-ES"/>
              </w:rPr>
              <w:t>daño</w:t>
            </w:r>
            <w:proofErr w:type="spellEnd"/>
            <w:r w:rsidR="009D53F0" w:rsidRPr="009D53F0">
              <w:rPr>
                <w:rFonts w:ascii="Arial" w:hAnsi="Arial" w:cs="Arial"/>
                <w:iCs/>
                <w:sz w:val="20"/>
                <w:szCs w:val="20"/>
                <w:lang w:val="es-ES"/>
              </w:rPr>
              <w:t xml:space="preserve"> que se </w:t>
            </w:r>
            <w:proofErr w:type="spellStart"/>
            <w:r w:rsidR="009D53F0" w:rsidRPr="009D53F0">
              <w:rPr>
                <w:rFonts w:ascii="Arial" w:hAnsi="Arial" w:cs="Arial"/>
                <w:iCs/>
                <w:sz w:val="20"/>
                <w:szCs w:val="20"/>
                <w:lang w:val="es-ES"/>
              </w:rPr>
              <w:t>derivaría</w:t>
            </w:r>
            <w:proofErr w:type="spellEnd"/>
            <w:r w:rsidR="009D53F0" w:rsidRPr="009D53F0">
              <w:rPr>
                <w:rFonts w:ascii="Arial" w:hAnsi="Arial" w:cs="Arial"/>
                <w:iCs/>
                <w:sz w:val="20"/>
                <w:szCs w:val="20"/>
                <w:lang w:val="es-ES"/>
              </w:rPr>
              <w:t xml:space="preserve"> de lo que eventualmente tenga que pagar el asegurado dentro del proceso promovido por el </w:t>
            </w:r>
            <w:proofErr w:type="spellStart"/>
            <w:r w:rsidR="009D53F0" w:rsidRPr="009D53F0">
              <w:rPr>
                <w:rFonts w:ascii="Arial" w:hAnsi="Arial" w:cs="Arial"/>
                <w:iCs/>
                <w:sz w:val="20"/>
                <w:szCs w:val="20"/>
                <w:lang w:val="es-ES"/>
              </w:rPr>
              <w:t>señor</w:t>
            </w:r>
            <w:proofErr w:type="spellEnd"/>
            <w:r w:rsidR="009D53F0" w:rsidRPr="009D53F0">
              <w:rPr>
                <w:rFonts w:ascii="Arial" w:hAnsi="Arial" w:cs="Arial"/>
                <w:iCs/>
                <w:sz w:val="20"/>
                <w:szCs w:val="20"/>
                <w:lang w:val="es-ES"/>
              </w:rPr>
              <w:t xml:space="preserve"> Gustavo </w:t>
            </w:r>
            <w:proofErr w:type="spellStart"/>
            <w:r w:rsidR="009D53F0" w:rsidRPr="009D53F0">
              <w:rPr>
                <w:rFonts w:ascii="Arial" w:hAnsi="Arial" w:cs="Arial"/>
                <w:iCs/>
                <w:sz w:val="20"/>
                <w:szCs w:val="20"/>
                <w:lang w:val="es-ES"/>
              </w:rPr>
              <w:t>López</w:t>
            </w:r>
            <w:proofErr w:type="spellEnd"/>
            <w:r w:rsidR="009D53F0" w:rsidRPr="009D53F0">
              <w:rPr>
                <w:rFonts w:ascii="Arial" w:hAnsi="Arial" w:cs="Arial"/>
                <w:iCs/>
                <w:sz w:val="20"/>
                <w:szCs w:val="20"/>
                <w:lang w:val="es-ES"/>
              </w:rPr>
              <w:t xml:space="preserve"> </w:t>
            </w:r>
            <w:proofErr w:type="spellStart"/>
            <w:r w:rsidR="009D53F0" w:rsidRPr="009D53F0">
              <w:rPr>
                <w:rFonts w:ascii="Arial" w:hAnsi="Arial" w:cs="Arial"/>
                <w:iCs/>
                <w:sz w:val="20"/>
                <w:szCs w:val="20"/>
                <w:lang w:val="es-ES"/>
              </w:rPr>
              <w:t>Baytala</w:t>
            </w:r>
            <w:proofErr w:type="spellEnd"/>
            <w:r w:rsidR="009D53F0" w:rsidRPr="009D53F0">
              <w:rPr>
                <w:rFonts w:ascii="Arial" w:hAnsi="Arial" w:cs="Arial"/>
                <w:iCs/>
                <w:sz w:val="20"/>
                <w:szCs w:val="20"/>
                <w:lang w:val="es-ES"/>
              </w:rPr>
              <w:t xml:space="preserve">, claramente, si este </w:t>
            </w:r>
            <w:proofErr w:type="spellStart"/>
            <w:r w:rsidR="009D53F0" w:rsidRPr="009D53F0">
              <w:rPr>
                <w:rFonts w:ascii="Arial" w:hAnsi="Arial" w:cs="Arial"/>
                <w:iCs/>
                <w:sz w:val="20"/>
                <w:szCs w:val="20"/>
                <w:lang w:val="es-ES"/>
              </w:rPr>
              <w:t>último</w:t>
            </w:r>
            <w:proofErr w:type="spellEnd"/>
            <w:r w:rsidR="009D53F0" w:rsidRPr="009D53F0">
              <w:rPr>
                <w:rFonts w:ascii="Arial" w:hAnsi="Arial" w:cs="Arial"/>
                <w:iCs/>
                <w:sz w:val="20"/>
                <w:szCs w:val="20"/>
                <w:lang w:val="es-ES"/>
              </w:rPr>
              <w:t xml:space="preserve"> proceso es desestimado, por </w:t>
            </w:r>
            <w:proofErr w:type="spellStart"/>
            <w:r w:rsidR="009D53F0" w:rsidRPr="009D53F0">
              <w:rPr>
                <w:rFonts w:ascii="Arial" w:hAnsi="Arial" w:cs="Arial"/>
                <w:iCs/>
                <w:sz w:val="20"/>
                <w:szCs w:val="20"/>
                <w:lang w:val="es-ES"/>
              </w:rPr>
              <w:t>sustracción</w:t>
            </w:r>
            <w:proofErr w:type="spellEnd"/>
            <w:r w:rsidR="009D53F0" w:rsidRPr="009D53F0">
              <w:rPr>
                <w:rFonts w:ascii="Arial" w:hAnsi="Arial" w:cs="Arial"/>
                <w:iCs/>
                <w:sz w:val="20"/>
                <w:szCs w:val="20"/>
                <w:lang w:val="es-ES"/>
              </w:rPr>
              <w:t xml:space="preserve"> de materia, </w:t>
            </w:r>
            <w:proofErr w:type="spellStart"/>
            <w:r w:rsidR="009D53F0" w:rsidRPr="009D53F0">
              <w:rPr>
                <w:rFonts w:ascii="Arial" w:hAnsi="Arial" w:cs="Arial"/>
                <w:iCs/>
                <w:sz w:val="20"/>
                <w:szCs w:val="20"/>
                <w:lang w:val="es-ES"/>
              </w:rPr>
              <w:t>también</w:t>
            </w:r>
            <w:proofErr w:type="spellEnd"/>
            <w:r w:rsidR="009D53F0" w:rsidRPr="009D53F0">
              <w:rPr>
                <w:rFonts w:ascii="Arial" w:hAnsi="Arial" w:cs="Arial"/>
                <w:iCs/>
                <w:sz w:val="20"/>
                <w:szCs w:val="20"/>
                <w:lang w:val="es-ES"/>
              </w:rPr>
              <w:t xml:space="preserve"> quedará sin objeto la </w:t>
            </w:r>
            <w:proofErr w:type="spellStart"/>
            <w:r w:rsidR="009D53F0" w:rsidRPr="009D53F0">
              <w:rPr>
                <w:rFonts w:ascii="Arial" w:hAnsi="Arial" w:cs="Arial"/>
                <w:iCs/>
                <w:sz w:val="20"/>
                <w:szCs w:val="20"/>
                <w:lang w:val="es-ES"/>
              </w:rPr>
              <w:t>acción</w:t>
            </w:r>
            <w:proofErr w:type="spellEnd"/>
            <w:r w:rsidR="009D53F0" w:rsidRPr="009D53F0">
              <w:rPr>
                <w:rFonts w:ascii="Arial" w:hAnsi="Arial" w:cs="Arial"/>
                <w:iCs/>
                <w:sz w:val="20"/>
                <w:szCs w:val="20"/>
                <w:lang w:val="es-ES"/>
              </w:rPr>
              <w:t xml:space="preserve"> que CEO pretende presentar.</w:t>
            </w:r>
          </w:p>
        </w:tc>
      </w:tr>
      <w:tr w:rsidR="00E233A6" w:rsidRPr="00563295" w14:paraId="423EF0FF" w14:textId="77777777" w:rsidTr="008F3801">
        <w:trPr>
          <w:trHeight w:val="478"/>
        </w:trPr>
        <w:tc>
          <w:tcPr>
            <w:tcW w:w="2338" w:type="dxa"/>
            <w:shd w:val="clear" w:color="auto" w:fill="0033A0"/>
            <w:vAlign w:val="center"/>
          </w:tcPr>
          <w:p w14:paraId="2F9F4436" w14:textId="77777777" w:rsidR="00E233A6" w:rsidRPr="00563295" w:rsidRDefault="00E233A6" w:rsidP="00E233A6">
            <w:pPr>
              <w:rPr>
                <w:rFonts w:ascii="Arial" w:hAnsi="Arial" w:cs="Arial"/>
                <w:b/>
                <w:sz w:val="20"/>
                <w:szCs w:val="20"/>
              </w:rPr>
            </w:pPr>
            <w:r w:rsidRPr="00563295">
              <w:rPr>
                <w:rFonts w:ascii="Arial" w:hAnsi="Arial" w:cs="Arial"/>
                <w:b/>
                <w:sz w:val="20"/>
                <w:szCs w:val="20"/>
              </w:rPr>
              <w:t>Observaciones</w:t>
            </w:r>
          </w:p>
        </w:tc>
        <w:tc>
          <w:tcPr>
            <w:tcW w:w="7512" w:type="dxa"/>
            <w:gridSpan w:val="3"/>
            <w:vAlign w:val="center"/>
          </w:tcPr>
          <w:p w14:paraId="0C08A217" w14:textId="35CDB379" w:rsidR="00E233A6" w:rsidRPr="00563295" w:rsidRDefault="00E233A6" w:rsidP="00E233A6">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2257" w14:textId="77777777" w:rsidR="00C11C1D" w:rsidRDefault="00C11C1D" w:rsidP="00114170">
      <w:r>
        <w:separator/>
      </w:r>
    </w:p>
  </w:endnote>
  <w:endnote w:type="continuationSeparator" w:id="0">
    <w:p w14:paraId="3D7C9C0A" w14:textId="77777777" w:rsidR="00C11C1D" w:rsidRDefault="00C11C1D"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D9A4F" w14:textId="77777777" w:rsidR="00C11C1D" w:rsidRDefault="00C11C1D" w:rsidP="00114170">
      <w:r>
        <w:separator/>
      </w:r>
    </w:p>
  </w:footnote>
  <w:footnote w:type="continuationSeparator" w:id="0">
    <w:p w14:paraId="4FE9A66C" w14:textId="77777777" w:rsidR="00C11C1D" w:rsidRDefault="00C11C1D"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5F73"/>
    <w:multiLevelType w:val="multilevel"/>
    <w:tmpl w:val="2F88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2379D"/>
    <w:multiLevelType w:val="multilevel"/>
    <w:tmpl w:val="73B2F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5C7295"/>
    <w:multiLevelType w:val="hybridMultilevel"/>
    <w:tmpl w:val="6AF6D5A8"/>
    <w:lvl w:ilvl="0" w:tplc="28CEE57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44294"/>
    <w:multiLevelType w:val="hybridMultilevel"/>
    <w:tmpl w:val="106090AE"/>
    <w:lvl w:ilvl="0" w:tplc="B46E5F58">
      <w:start w:val="1"/>
      <w:numFmt w:val="decimalZero"/>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1" w15:restartNumberingAfterBreak="0">
    <w:nsid w:val="6B5D2BEC"/>
    <w:multiLevelType w:val="multilevel"/>
    <w:tmpl w:val="8A566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63619"/>
    <w:multiLevelType w:val="multilevel"/>
    <w:tmpl w:val="192E7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C61F2"/>
    <w:multiLevelType w:val="multilevel"/>
    <w:tmpl w:val="A4D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8"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5457">
    <w:abstractNumId w:val="22"/>
  </w:num>
  <w:num w:numId="2" w16cid:durableId="1909266428">
    <w:abstractNumId w:val="19"/>
  </w:num>
  <w:num w:numId="3" w16cid:durableId="695233997">
    <w:abstractNumId w:val="25"/>
  </w:num>
  <w:num w:numId="4" w16cid:durableId="115487526">
    <w:abstractNumId w:val="23"/>
  </w:num>
  <w:num w:numId="5" w16cid:durableId="2106806049">
    <w:abstractNumId w:val="15"/>
  </w:num>
  <w:num w:numId="6" w16cid:durableId="111100401">
    <w:abstractNumId w:val="33"/>
  </w:num>
  <w:num w:numId="7" w16cid:durableId="1801192155">
    <w:abstractNumId w:val="10"/>
  </w:num>
  <w:num w:numId="8" w16cid:durableId="635373374">
    <w:abstractNumId w:val="4"/>
  </w:num>
  <w:num w:numId="9" w16cid:durableId="625311366">
    <w:abstractNumId w:val="37"/>
  </w:num>
  <w:num w:numId="10" w16cid:durableId="1068764972">
    <w:abstractNumId w:val="13"/>
  </w:num>
  <w:num w:numId="11" w16cid:durableId="1989094933">
    <w:abstractNumId w:val="2"/>
  </w:num>
  <w:num w:numId="12" w16cid:durableId="613220529">
    <w:abstractNumId w:val="32"/>
  </w:num>
  <w:num w:numId="13" w16cid:durableId="1287197642">
    <w:abstractNumId w:val="11"/>
  </w:num>
  <w:num w:numId="14" w16cid:durableId="579025015">
    <w:abstractNumId w:val="5"/>
  </w:num>
  <w:num w:numId="15" w16cid:durableId="1439567921">
    <w:abstractNumId w:val="21"/>
  </w:num>
  <w:num w:numId="16" w16cid:durableId="1814445709">
    <w:abstractNumId w:val="35"/>
  </w:num>
  <w:num w:numId="17" w16cid:durableId="697858396">
    <w:abstractNumId w:val="30"/>
  </w:num>
  <w:num w:numId="18" w16cid:durableId="1179349126">
    <w:abstractNumId w:val="29"/>
  </w:num>
  <w:num w:numId="19" w16cid:durableId="1164198733">
    <w:abstractNumId w:val="9"/>
  </w:num>
  <w:num w:numId="20" w16cid:durableId="1895580761">
    <w:abstractNumId w:val="24"/>
  </w:num>
  <w:num w:numId="21" w16cid:durableId="1511604564">
    <w:abstractNumId w:val="8"/>
  </w:num>
  <w:num w:numId="22" w16cid:durableId="864439142">
    <w:abstractNumId w:val="38"/>
  </w:num>
  <w:num w:numId="23" w16cid:durableId="1385955994">
    <w:abstractNumId w:val="14"/>
  </w:num>
  <w:num w:numId="24" w16cid:durableId="1215652854">
    <w:abstractNumId w:val="17"/>
  </w:num>
  <w:num w:numId="25" w16cid:durableId="1063063412">
    <w:abstractNumId w:val="27"/>
  </w:num>
  <w:num w:numId="26" w16cid:durableId="521208171">
    <w:abstractNumId w:val="16"/>
  </w:num>
  <w:num w:numId="27" w16cid:durableId="1679965974">
    <w:abstractNumId w:val="18"/>
  </w:num>
  <w:num w:numId="28" w16cid:durableId="434600131">
    <w:abstractNumId w:val="26"/>
  </w:num>
  <w:num w:numId="29" w16cid:durableId="190807967">
    <w:abstractNumId w:val="7"/>
  </w:num>
  <w:num w:numId="30" w16cid:durableId="1830170576">
    <w:abstractNumId w:val="6"/>
  </w:num>
  <w:num w:numId="31" w16cid:durableId="1744644743">
    <w:abstractNumId w:val="0"/>
  </w:num>
  <w:num w:numId="32" w16cid:durableId="245699332">
    <w:abstractNumId w:val="3"/>
  </w:num>
  <w:num w:numId="33" w16cid:durableId="66267997">
    <w:abstractNumId w:val="28"/>
  </w:num>
  <w:num w:numId="34" w16cid:durableId="1103260122">
    <w:abstractNumId w:val="20"/>
  </w:num>
  <w:num w:numId="35" w16cid:durableId="1366905997">
    <w:abstractNumId w:val="1"/>
  </w:num>
  <w:num w:numId="36" w16cid:durableId="974025898">
    <w:abstractNumId w:val="36"/>
  </w:num>
  <w:num w:numId="37" w16cid:durableId="1623224018">
    <w:abstractNumId w:val="31"/>
  </w:num>
  <w:num w:numId="38" w16cid:durableId="2025864372">
    <w:abstractNumId w:val="12"/>
  </w:num>
  <w:num w:numId="39" w16cid:durableId="11612366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1D90"/>
    <w:rsid w:val="00090D76"/>
    <w:rsid w:val="0009260D"/>
    <w:rsid w:val="00094F3F"/>
    <w:rsid w:val="000A0A02"/>
    <w:rsid w:val="000C1B02"/>
    <w:rsid w:val="000C26D4"/>
    <w:rsid w:val="000D4CF1"/>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7E08"/>
    <w:rsid w:val="002513CE"/>
    <w:rsid w:val="00255339"/>
    <w:rsid w:val="002554FB"/>
    <w:rsid w:val="00263159"/>
    <w:rsid w:val="002830E5"/>
    <w:rsid w:val="00285038"/>
    <w:rsid w:val="002958C0"/>
    <w:rsid w:val="002A58E2"/>
    <w:rsid w:val="002B706B"/>
    <w:rsid w:val="002B7B35"/>
    <w:rsid w:val="002C2E84"/>
    <w:rsid w:val="002C48B4"/>
    <w:rsid w:val="002C6436"/>
    <w:rsid w:val="002D5CC7"/>
    <w:rsid w:val="0030784C"/>
    <w:rsid w:val="00314784"/>
    <w:rsid w:val="00316B10"/>
    <w:rsid w:val="00326883"/>
    <w:rsid w:val="00337E0F"/>
    <w:rsid w:val="00346423"/>
    <w:rsid w:val="003466DD"/>
    <w:rsid w:val="00354234"/>
    <w:rsid w:val="00373807"/>
    <w:rsid w:val="00374C2E"/>
    <w:rsid w:val="00380545"/>
    <w:rsid w:val="003810F4"/>
    <w:rsid w:val="00392D2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73484"/>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676FE"/>
    <w:rsid w:val="005700BC"/>
    <w:rsid w:val="00577E84"/>
    <w:rsid w:val="00596831"/>
    <w:rsid w:val="005A6258"/>
    <w:rsid w:val="00611F74"/>
    <w:rsid w:val="00615F8B"/>
    <w:rsid w:val="00616CD3"/>
    <w:rsid w:val="00623929"/>
    <w:rsid w:val="00632829"/>
    <w:rsid w:val="00642A17"/>
    <w:rsid w:val="00644D7A"/>
    <w:rsid w:val="00670B1C"/>
    <w:rsid w:val="00672B99"/>
    <w:rsid w:val="0068118E"/>
    <w:rsid w:val="00685622"/>
    <w:rsid w:val="0069333C"/>
    <w:rsid w:val="00693718"/>
    <w:rsid w:val="00696EDE"/>
    <w:rsid w:val="006A16E9"/>
    <w:rsid w:val="006A6736"/>
    <w:rsid w:val="006B0E2A"/>
    <w:rsid w:val="006C1F03"/>
    <w:rsid w:val="006C2C55"/>
    <w:rsid w:val="006D71E7"/>
    <w:rsid w:val="006D7BD5"/>
    <w:rsid w:val="006E0BB5"/>
    <w:rsid w:val="006F1BB7"/>
    <w:rsid w:val="006F4FE6"/>
    <w:rsid w:val="006F6152"/>
    <w:rsid w:val="00703C75"/>
    <w:rsid w:val="00724202"/>
    <w:rsid w:val="00734BD8"/>
    <w:rsid w:val="00741D06"/>
    <w:rsid w:val="0074603F"/>
    <w:rsid w:val="00781F87"/>
    <w:rsid w:val="0079796A"/>
    <w:rsid w:val="007A3BF4"/>
    <w:rsid w:val="007B6543"/>
    <w:rsid w:val="007F4341"/>
    <w:rsid w:val="00817E08"/>
    <w:rsid w:val="00824DA6"/>
    <w:rsid w:val="0082787A"/>
    <w:rsid w:val="0083094B"/>
    <w:rsid w:val="00833C2B"/>
    <w:rsid w:val="00840314"/>
    <w:rsid w:val="00870DE5"/>
    <w:rsid w:val="00881BE6"/>
    <w:rsid w:val="008926B2"/>
    <w:rsid w:val="00894EBE"/>
    <w:rsid w:val="008C5FF9"/>
    <w:rsid w:val="008D6AFB"/>
    <w:rsid w:val="008F10F0"/>
    <w:rsid w:val="008F3801"/>
    <w:rsid w:val="0091430C"/>
    <w:rsid w:val="00926FCC"/>
    <w:rsid w:val="0094361E"/>
    <w:rsid w:val="009534D1"/>
    <w:rsid w:val="00954C7D"/>
    <w:rsid w:val="00955F5A"/>
    <w:rsid w:val="009572C0"/>
    <w:rsid w:val="0096555E"/>
    <w:rsid w:val="009666D9"/>
    <w:rsid w:val="009A3E8D"/>
    <w:rsid w:val="009B3D34"/>
    <w:rsid w:val="009C5F90"/>
    <w:rsid w:val="009D53F0"/>
    <w:rsid w:val="009E6A05"/>
    <w:rsid w:val="009E7D3B"/>
    <w:rsid w:val="00A2645B"/>
    <w:rsid w:val="00A266AC"/>
    <w:rsid w:val="00A26802"/>
    <w:rsid w:val="00A40839"/>
    <w:rsid w:val="00A62320"/>
    <w:rsid w:val="00A70A97"/>
    <w:rsid w:val="00A70E11"/>
    <w:rsid w:val="00A718A1"/>
    <w:rsid w:val="00A73C84"/>
    <w:rsid w:val="00A85BF6"/>
    <w:rsid w:val="00AA042C"/>
    <w:rsid w:val="00AA09C9"/>
    <w:rsid w:val="00AA1753"/>
    <w:rsid w:val="00AB38A7"/>
    <w:rsid w:val="00AB7CA0"/>
    <w:rsid w:val="00AC3353"/>
    <w:rsid w:val="00AE2901"/>
    <w:rsid w:val="00AF1DAC"/>
    <w:rsid w:val="00AF4AB7"/>
    <w:rsid w:val="00AF4F23"/>
    <w:rsid w:val="00B0219C"/>
    <w:rsid w:val="00B1639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11C1D"/>
    <w:rsid w:val="00C26408"/>
    <w:rsid w:val="00C4710B"/>
    <w:rsid w:val="00C55D97"/>
    <w:rsid w:val="00C57A64"/>
    <w:rsid w:val="00C65D73"/>
    <w:rsid w:val="00C803D5"/>
    <w:rsid w:val="00C84F6C"/>
    <w:rsid w:val="00CA4A17"/>
    <w:rsid w:val="00CC2635"/>
    <w:rsid w:val="00CD2308"/>
    <w:rsid w:val="00CD6E45"/>
    <w:rsid w:val="00CE2626"/>
    <w:rsid w:val="00D06467"/>
    <w:rsid w:val="00D17D49"/>
    <w:rsid w:val="00D24F6F"/>
    <w:rsid w:val="00D252A8"/>
    <w:rsid w:val="00D3438F"/>
    <w:rsid w:val="00D454F1"/>
    <w:rsid w:val="00D6573A"/>
    <w:rsid w:val="00D84690"/>
    <w:rsid w:val="00D87E0E"/>
    <w:rsid w:val="00DB24D0"/>
    <w:rsid w:val="00DC492A"/>
    <w:rsid w:val="00DE3986"/>
    <w:rsid w:val="00DE51B7"/>
    <w:rsid w:val="00DE5A62"/>
    <w:rsid w:val="00E028BD"/>
    <w:rsid w:val="00E15C4C"/>
    <w:rsid w:val="00E16566"/>
    <w:rsid w:val="00E171AF"/>
    <w:rsid w:val="00E22AE6"/>
    <w:rsid w:val="00E233A6"/>
    <w:rsid w:val="00E52842"/>
    <w:rsid w:val="00E55821"/>
    <w:rsid w:val="00E62DC0"/>
    <w:rsid w:val="00E7062F"/>
    <w:rsid w:val="00E76ABC"/>
    <w:rsid w:val="00E7737D"/>
    <w:rsid w:val="00E7768D"/>
    <w:rsid w:val="00EB2CAD"/>
    <w:rsid w:val="00EC1321"/>
    <w:rsid w:val="00EC25C0"/>
    <w:rsid w:val="00EC7AD8"/>
    <w:rsid w:val="00ED1342"/>
    <w:rsid w:val="00ED6DFF"/>
    <w:rsid w:val="00F165E5"/>
    <w:rsid w:val="00F256B0"/>
    <w:rsid w:val="00F6228C"/>
    <w:rsid w:val="00F67FE4"/>
    <w:rsid w:val="00F77CBB"/>
    <w:rsid w:val="00F83DDF"/>
    <w:rsid w:val="00F84E5B"/>
    <w:rsid w:val="00F94E43"/>
    <w:rsid w:val="00FA1BED"/>
    <w:rsid w:val="00FD1A62"/>
    <w:rsid w:val="00FD7619"/>
    <w:rsid w:val="00FF5B99"/>
    <w:rsid w:val="00FF66F3"/>
    <w:rsid w:val="00FF729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customStyle="1" w:styleId="Default">
    <w:name w:val="Default"/>
    <w:rsid w:val="00E233A6"/>
    <w:pPr>
      <w:autoSpaceDE w:val="0"/>
      <w:autoSpaceDN w:val="0"/>
      <w:adjustRightInd w:val="0"/>
      <w:spacing w:after="0" w:line="240" w:lineRule="auto"/>
    </w:pPr>
    <w:rPr>
      <w:rFonts w:ascii="Arial" w:hAnsi="Arial" w:cs="Arial"/>
      <w:color w:val="000000"/>
      <w:sz w:val="24"/>
      <w:szCs w:val="24"/>
      <w:lang w:val="es-MX"/>
    </w:rPr>
  </w:style>
  <w:style w:type="paragraph" w:customStyle="1" w:styleId="xmsonormal">
    <w:name w:val="x_msonormal"/>
    <w:basedOn w:val="Normal"/>
    <w:rsid w:val="00870DE5"/>
    <w:pPr>
      <w:spacing w:before="100" w:beforeAutospacing="1" w:after="100" w:afterAutospacing="1"/>
    </w:pPr>
    <w:rPr>
      <w:lang w:eastAsia="es-MX"/>
    </w:rPr>
  </w:style>
  <w:style w:type="paragraph" w:customStyle="1" w:styleId="xmsolistparagraph">
    <w:name w:val="x_msolistparagraph"/>
    <w:basedOn w:val="Normal"/>
    <w:rsid w:val="00870DE5"/>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3862">
      <w:bodyDiv w:val="1"/>
      <w:marLeft w:val="0"/>
      <w:marRight w:val="0"/>
      <w:marTop w:val="0"/>
      <w:marBottom w:val="0"/>
      <w:divBdr>
        <w:top w:val="none" w:sz="0" w:space="0" w:color="auto"/>
        <w:left w:val="none" w:sz="0" w:space="0" w:color="auto"/>
        <w:bottom w:val="none" w:sz="0" w:space="0" w:color="auto"/>
        <w:right w:val="none" w:sz="0" w:space="0" w:color="auto"/>
      </w:divBdr>
    </w:div>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2.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3.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DE35E4EA-48DF-46C8-8CD0-77BDBC63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Mariana Rubio</cp:lastModifiedBy>
  <cp:revision>6</cp:revision>
  <cp:lastPrinted>2019-03-04T21:06:00Z</cp:lastPrinted>
  <dcterms:created xsi:type="dcterms:W3CDTF">2025-02-26T03:48:00Z</dcterms:created>
  <dcterms:modified xsi:type="dcterms:W3CDTF">2025-02-26T03:50:00Z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