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5D2CC681"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D4829">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3E02270E" w14:textId="4ADA4461" w:rsidR="00D2680E" w:rsidRDefault="00326F37" w:rsidP="009534D1">
            <w:pPr>
              <w:pStyle w:val="Ttulo4"/>
              <w:rPr>
                <w:rFonts w:ascii="Arial" w:hAnsi="Arial" w:cs="Arial"/>
                <w:b w:val="0"/>
                <w:iCs/>
                <w:sz w:val="20"/>
              </w:rPr>
            </w:pPr>
            <w:r>
              <w:rPr>
                <w:rFonts w:ascii="Arial" w:hAnsi="Arial" w:cs="Arial"/>
                <w:b w:val="0"/>
                <w:iCs/>
                <w:sz w:val="20"/>
              </w:rPr>
              <w:t>EPS SURAMERICANA S.A.</w:t>
            </w:r>
          </w:p>
          <w:p w14:paraId="05D52C7B" w14:textId="77777777" w:rsidR="00D2680E" w:rsidRPr="00D2680E" w:rsidRDefault="00D2680E" w:rsidP="009534D1">
            <w:pPr>
              <w:pStyle w:val="Ttulo4"/>
              <w:rPr>
                <w:rFonts w:ascii="Arial" w:hAnsi="Arial" w:cs="Arial"/>
                <w:b w:val="0"/>
                <w:iCs/>
                <w:sz w:val="20"/>
              </w:rPr>
            </w:pPr>
          </w:p>
          <w:p w14:paraId="4DA7B6E0" w14:textId="5D152927" w:rsidR="00AB7CA0" w:rsidRPr="00D2680E" w:rsidRDefault="00D2680E" w:rsidP="009534D1">
            <w:pPr>
              <w:pStyle w:val="Ttulo4"/>
              <w:rPr>
                <w:rFonts w:ascii="Arial" w:hAnsi="Arial" w:cs="Arial"/>
                <w:b w:val="0"/>
                <w:iCs/>
                <w:szCs w:val="22"/>
              </w:rPr>
            </w:pPr>
            <w:r w:rsidRPr="00D2680E">
              <w:rPr>
                <w:rFonts w:ascii="Arial" w:hAnsi="Arial" w:cs="Arial"/>
                <w:bCs w:val="0"/>
                <w:iCs/>
                <w:sz w:val="20"/>
                <w:u w:val="single"/>
              </w:rPr>
              <w:t>Nota aclaratoria:</w:t>
            </w:r>
            <w:r w:rsidRPr="00D2680E">
              <w:rPr>
                <w:rFonts w:ascii="Arial" w:hAnsi="Arial" w:cs="Arial"/>
                <w:b w:val="0"/>
                <w:iCs/>
                <w:sz w:val="20"/>
              </w:rPr>
              <w:t xml:space="preserve"> </w:t>
            </w:r>
            <w:r w:rsidRPr="00D2680E">
              <w:rPr>
                <w:rFonts w:ascii="Arial" w:hAnsi="Arial" w:cs="Arial"/>
                <w:b w:val="0"/>
                <w:color w:val="000000"/>
                <w:sz w:val="20"/>
              </w:rPr>
              <w:t xml:space="preserve">De </w:t>
            </w:r>
            <w:r w:rsidR="004D4986">
              <w:rPr>
                <w:rFonts w:ascii="Arial" w:hAnsi="Arial" w:cs="Arial"/>
                <w:b w:val="0"/>
                <w:color w:val="000000"/>
                <w:sz w:val="20"/>
              </w:rPr>
              <w:t xml:space="preserve">conformidad con los hechos de la demanda los servicios facturados fueron servicios prestados para las lesiones sufridas como víctimas de accidentes de tránsito, inicialmente como asegurados y/o beneficiarios del seguro SOAT expedido por las entidades aseguradoras o en el evento de no contar con dicha póliza con cargo a los recursos de la subcuenta </w:t>
            </w:r>
            <w:proofErr w:type="spellStart"/>
            <w:r w:rsidR="004D4986">
              <w:rPr>
                <w:rFonts w:ascii="Arial" w:hAnsi="Arial" w:cs="Arial"/>
                <w:b w:val="0"/>
                <w:color w:val="000000"/>
                <w:sz w:val="20"/>
              </w:rPr>
              <w:t>ECAT</w:t>
            </w:r>
            <w:proofErr w:type="spellEnd"/>
            <w:r w:rsidR="004D4986">
              <w:rPr>
                <w:rFonts w:ascii="Arial" w:hAnsi="Arial" w:cs="Arial"/>
                <w:b w:val="0"/>
                <w:color w:val="000000"/>
                <w:sz w:val="20"/>
              </w:rPr>
              <w:t xml:space="preserve"> de la ADRES.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D1B9B67" w:rsidR="00611F74" w:rsidRPr="00563295" w:rsidRDefault="001D4829" w:rsidP="009534D1">
            <w:pPr>
              <w:pStyle w:val="Ttulo4"/>
              <w:rPr>
                <w:rFonts w:ascii="Arial" w:hAnsi="Arial" w:cs="Arial"/>
                <w:b w:val="0"/>
                <w:iCs/>
                <w:sz w:val="20"/>
              </w:rPr>
            </w:pPr>
            <w:r>
              <w:rPr>
                <w:rFonts w:ascii="Arial" w:hAnsi="Arial" w:cs="Arial"/>
                <w:b w:val="0"/>
                <w:iCs/>
                <w:sz w:val="20"/>
              </w:rPr>
              <w:t>Demandado directo</w:t>
            </w:r>
            <w:r w:rsidR="009534D1" w:rsidRPr="00563295">
              <w:rPr>
                <w:rFonts w:ascii="Arial" w:hAnsi="Arial" w:cs="Arial"/>
                <w:b w:val="0"/>
                <w:iCs/>
                <w:sz w:val="20"/>
              </w:rPr>
              <w:t xml:space="preserve">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1AEBA9A4" w:rsidR="00314784" w:rsidRPr="00563295" w:rsidRDefault="001D4829"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46C69511" w:rsidR="001C4AB7" w:rsidRPr="00563295" w:rsidRDefault="00326F37" w:rsidP="00AF4F23">
            <w:pPr>
              <w:pStyle w:val="Ttulo4"/>
              <w:rPr>
                <w:rFonts w:ascii="Arial" w:hAnsi="Arial" w:cs="Arial"/>
                <w:b w:val="0"/>
                <w:iCs/>
                <w:sz w:val="20"/>
              </w:rPr>
            </w:pPr>
            <w:r>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4AB32FB" w:rsidR="00AB7CA0" w:rsidRPr="00563295" w:rsidRDefault="00326F37" w:rsidP="00337E0F">
            <w:pPr>
              <w:jc w:val="both"/>
              <w:rPr>
                <w:rFonts w:ascii="Arial" w:hAnsi="Arial" w:cs="Arial"/>
                <w:iCs/>
                <w:sz w:val="20"/>
                <w:szCs w:val="20"/>
              </w:rPr>
            </w:pPr>
            <w:r>
              <w:rPr>
                <w:rFonts w:ascii="Arial" w:hAnsi="Arial" w:cs="Arial"/>
                <w:iCs/>
                <w:sz w:val="20"/>
                <w:szCs w:val="20"/>
              </w:rPr>
              <w:t>03 de marzo de 2025</w:t>
            </w:r>
            <w:r w:rsidR="002975F8">
              <w:rPr>
                <w:rFonts w:ascii="Arial" w:hAnsi="Arial" w:cs="Arial"/>
                <w:iCs/>
                <w:sz w:val="20"/>
                <w:szCs w:val="20"/>
              </w:rPr>
              <w:t xml:space="preserve">- Notificación por estados </w:t>
            </w:r>
            <w:r>
              <w:rPr>
                <w:rFonts w:ascii="Arial" w:hAnsi="Arial" w:cs="Arial"/>
                <w:iCs/>
                <w:sz w:val="20"/>
                <w:szCs w:val="20"/>
              </w:rPr>
              <w:t>auto notifica por conducta concluyente</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55CF830D" w:rsidR="001C4AB7" w:rsidRPr="00563295" w:rsidRDefault="00326F37" w:rsidP="00AF4F23">
            <w:pPr>
              <w:jc w:val="both"/>
              <w:rPr>
                <w:rFonts w:ascii="Arial" w:hAnsi="Arial" w:cs="Arial"/>
                <w:iCs/>
                <w:sz w:val="20"/>
                <w:szCs w:val="20"/>
                <w:lang w:val="es-ES"/>
              </w:rPr>
            </w:pPr>
            <w:r>
              <w:rPr>
                <w:rFonts w:ascii="Arial" w:hAnsi="Arial" w:cs="Arial"/>
                <w:iCs/>
                <w:sz w:val="20"/>
                <w:szCs w:val="20"/>
                <w:lang w:val="es-ES"/>
              </w:rPr>
              <w:t>Jorge Uriel Rueda Romero</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4FF024D9" w:rsidR="001C4AB7" w:rsidRPr="00563295" w:rsidRDefault="00326F37" w:rsidP="00AF4F23">
            <w:pPr>
              <w:jc w:val="both"/>
              <w:rPr>
                <w:rFonts w:ascii="Arial" w:hAnsi="Arial" w:cs="Arial"/>
                <w:iCs/>
                <w:sz w:val="20"/>
                <w:szCs w:val="20"/>
                <w:lang w:val="es-ES"/>
              </w:rPr>
            </w:pPr>
            <w:r>
              <w:rPr>
                <w:rFonts w:ascii="Arial" w:hAnsi="Arial" w:cs="Arial"/>
                <w:iCs/>
                <w:sz w:val="20"/>
                <w:szCs w:val="20"/>
                <w:lang w:val="es-ES"/>
              </w:rPr>
              <w:t>91.292.913</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62DE454D" w:rsidR="004B709D" w:rsidRPr="00563295" w:rsidRDefault="00326F37" w:rsidP="00407B3B">
            <w:pPr>
              <w:jc w:val="both"/>
              <w:rPr>
                <w:rFonts w:ascii="Arial" w:hAnsi="Arial" w:cs="Arial"/>
                <w:iCs/>
                <w:sz w:val="20"/>
                <w:szCs w:val="20"/>
              </w:rPr>
            </w:pPr>
            <w:r>
              <w:rPr>
                <w:rFonts w:ascii="Arial" w:hAnsi="Arial" w:cs="Arial"/>
                <w:bCs/>
                <w:sz w:val="20"/>
                <w:szCs w:val="20"/>
                <w:lang w:val="es-ES_tradnl"/>
              </w:rPr>
              <w:t>N/A</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0DC8FB84" w:rsidR="004B709D" w:rsidRPr="00563295" w:rsidRDefault="00326F37" w:rsidP="00407B3B">
            <w:pPr>
              <w:jc w:val="both"/>
              <w:rPr>
                <w:rFonts w:ascii="Arial" w:hAnsi="Arial" w:cs="Arial"/>
                <w:iCs/>
                <w:sz w:val="20"/>
                <w:szCs w:val="20"/>
              </w:rPr>
            </w:pPr>
            <w:r>
              <w:rPr>
                <w:rFonts w:ascii="Arial" w:hAnsi="Arial" w:cs="Arial"/>
                <w:iCs/>
                <w:sz w:val="20"/>
                <w:szCs w:val="20"/>
              </w:rPr>
              <w:t>N/A</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7A9DC4E5" w:rsidR="00484071" w:rsidRPr="00FD6F8F" w:rsidRDefault="00326F37" w:rsidP="002277B8">
            <w:pPr>
              <w:jc w:val="both"/>
              <w:rPr>
                <w:rFonts w:ascii="Arial" w:hAnsi="Arial" w:cs="Arial"/>
                <w:iCs/>
                <w:sz w:val="20"/>
                <w:szCs w:val="20"/>
              </w:rPr>
            </w:pPr>
            <w:r>
              <w:rPr>
                <w:rFonts w:ascii="Arial" w:hAnsi="Arial" w:cs="Arial"/>
                <w:iCs/>
                <w:sz w:val="20"/>
                <w:szCs w:val="20"/>
              </w:rPr>
              <w:t>N/A</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6390B3F7" w:rsidR="00C26408" w:rsidRPr="00FD6F8F" w:rsidRDefault="00326F37" w:rsidP="00D2680E">
            <w:pPr>
              <w:rPr>
                <w:rFonts w:ascii="Arial" w:hAnsi="Arial" w:cs="Arial"/>
                <w:sz w:val="20"/>
                <w:szCs w:val="20"/>
              </w:rPr>
            </w:pPr>
            <w:r>
              <w:rPr>
                <w:rFonts w:ascii="Arial" w:hAnsi="Arial" w:cs="Arial"/>
                <w:sz w:val="20"/>
                <w:szCs w:val="20"/>
              </w:rPr>
              <w:t>N/A</w:t>
            </w:r>
          </w:p>
        </w:tc>
        <w:tc>
          <w:tcPr>
            <w:tcW w:w="1702" w:type="dxa"/>
            <w:shd w:val="clear" w:color="auto" w:fill="0033A0"/>
            <w:vAlign w:val="center"/>
          </w:tcPr>
          <w:p w14:paraId="5E464232" w14:textId="5615B8FD" w:rsidR="007B6543" w:rsidRPr="00FD6F8F" w:rsidRDefault="00212C67" w:rsidP="00F2776B">
            <w:pPr>
              <w:autoSpaceDE w:val="0"/>
              <w:autoSpaceDN w:val="0"/>
              <w:adjustRightInd w:val="0"/>
              <w:jc w:val="both"/>
              <w:rPr>
                <w:rFonts w:ascii="Arial" w:hAnsi="Arial" w:cs="Arial"/>
                <w:sz w:val="20"/>
                <w:szCs w:val="20"/>
              </w:rPr>
            </w:pPr>
            <w:r w:rsidRPr="00FD6F8F">
              <w:rPr>
                <w:rFonts w:ascii="Arial" w:hAnsi="Arial" w:cs="Arial"/>
                <w:sz w:val="20"/>
                <w:szCs w:val="20"/>
              </w:rPr>
              <w:t>Ramo</w:t>
            </w:r>
          </w:p>
        </w:tc>
        <w:tc>
          <w:tcPr>
            <w:tcW w:w="2408" w:type="dxa"/>
            <w:gridSpan w:val="2"/>
            <w:vAlign w:val="center"/>
          </w:tcPr>
          <w:p w14:paraId="486667E2" w14:textId="60CC8C47" w:rsidR="00C26408" w:rsidRPr="00FD6F8F" w:rsidRDefault="00326F37" w:rsidP="00FD6F8F">
            <w:pPr>
              <w:jc w:val="both"/>
              <w:rPr>
                <w:rFonts w:ascii="Arial" w:hAnsi="Arial" w:cs="Arial"/>
                <w:iCs/>
                <w:sz w:val="20"/>
                <w:szCs w:val="20"/>
              </w:rPr>
            </w:pPr>
            <w:r>
              <w:rPr>
                <w:rFonts w:ascii="Arial" w:hAnsi="Arial" w:cs="Arial"/>
                <w:iCs/>
                <w:sz w:val="20"/>
                <w:szCs w:val="20"/>
              </w:rPr>
              <w:t>N/A</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77903850" w:rsidR="00C26408" w:rsidRPr="00FD6F8F" w:rsidRDefault="00326F37" w:rsidP="00FD6F8F">
            <w:pPr>
              <w:jc w:val="both"/>
              <w:rPr>
                <w:rFonts w:ascii="Arial" w:hAnsi="Arial" w:cs="Arial"/>
                <w:iCs/>
                <w:sz w:val="20"/>
                <w:szCs w:val="20"/>
              </w:rPr>
            </w:pPr>
            <w:r>
              <w:rPr>
                <w:rFonts w:ascii="Arial" w:hAnsi="Arial" w:cs="Arial"/>
                <w:sz w:val="20"/>
                <w:szCs w:val="20"/>
              </w:rPr>
              <w:t>N/A</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18EBBDA8" w:rsidR="00C26408" w:rsidRPr="00FD6F8F" w:rsidRDefault="00326F37" w:rsidP="00FD6F8F">
            <w:pPr>
              <w:autoSpaceDE w:val="0"/>
              <w:autoSpaceDN w:val="0"/>
              <w:adjustRightInd w:val="0"/>
              <w:rPr>
                <w:rFonts w:ascii="Arial" w:hAnsi="Arial" w:cs="Arial"/>
                <w:sz w:val="20"/>
                <w:szCs w:val="20"/>
              </w:rPr>
            </w:pPr>
            <w:r>
              <w:rPr>
                <w:rFonts w:ascii="Arial" w:hAnsi="Arial" w:cs="Arial"/>
                <w:sz w:val="20"/>
                <w:szCs w:val="20"/>
              </w:rPr>
              <w:t>N/A</w:t>
            </w:r>
          </w:p>
        </w:tc>
        <w:tc>
          <w:tcPr>
            <w:tcW w:w="1718" w:type="dxa"/>
            <w:gridSpan w:val="2"/>
            <w:shd w:val="clear" w:color="auto" w:fill="0033A0"/>
            <w:vAlign w:val="center"/>
          </w:tcPr>
          <w:p w14:paraId="7D4CD472" w14:textId="438AC017" w:rsidR="00A70A97" w:rsidRPr="00FD6F8F" w:rsidRDefault="00A70A97" w:rsidP="00F2776B">
            <w:pPr>
              <w:autoSpaceDE w:val="0"/>
              <w:autoSpaceDN w:val="0"/>
              <w:adjustRightInd w:val="0"/>
              <w:rPr>
                <w:rFonts w:ascii="Arial" w:hAnsi="Arial" w:cs="Arial"/>
                <w:sz w:val="20"/>
                <w:szCs w:val="20"/>
              </w:rPr>
            </w:pPr>
            <w:r w:rsidRPr="00FD6F8F">
              <w:rPr>
                <w:rFonts w:ascii="Arial" w:hAnsi="Arial" w:cs="Arial"/>
                <w:sz w:val="20"/>
                <w:szCs w:val="20"/>
              </w:rPr>
              <w:t>Placa</w:t>
            </w:r>
            <w:r w:rsidR="0091430C" w:rsidRPr="00FD6F8F">
              <w:rPr>
                <w:rFonts w:ascii="Arial" w:hAnsi="Arial" w:cs="Arial"/>
                <w:sz w:val="20"/>
                <w:szCs w:val="20"/>
              </w:rPr>
              <w:t xml:space="preserve"> </w:t>
            </w:r>
          </w:p>
        </w:tc>
        <w:tc>
          <w:tcPr>
            <w:tcW w:w="2392" w:type="dxa"/>
            <w:vAlign w:val="center"/>
          </w:tcPr>
          <w:p w14:paraId="2AA20772" w14:textId="0FF667AC" w:rsidR="00A70A97" w:rsidRPr="00FD6F8F" w:rsidRDefault="00FD6F8F" w:rsidP="00F2776B">
            <w:pPr>
              <w:autoSpaceDE w:val="0"/>
              <w:autoSpaceDN w:val="0"/>
              <w:adjustRightInd w:val="0"/>
              <w:rPr>
                <w:rFonts w:ascii="Arial" w:hAnsi="Arial" w:cs="Arial"/>
                <w:iCs/>
                <w:sz w:val="20"/>
                <w:szCs w:val="20"/>
              </w:rPr>
            </w:pPr>
            <w:r w:rsidRPr="00FD6F8F">
              <w:rPr>
                <w:rFonts w:ascii="Arial" w:hAnsi="Arial" w:cs="Arial"/>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68ADBDBB" w:rsidR="00247E08" w:rsidRPr="00563295" w:rsidRDefault="00326F37" w:rsidP="00F2776B">
            <w:pPr>
              <w:jc w:val="both"/>
              <w:rPr>
                <w:rFonts w:ascii="Arial" w:hAnsi="Arial" w:cs="Arial"/>
                <w:iCs/>
                <w:sz w:val="20"/>
                <w:szCs w:val="20"/>
              </w:rPr>
            </w:pPr>
            <w:r>
              <w:rPr>
                <w:rFonts w:ascii="Arial" w:hAnsi="Arial" w:cs="Arial"/>
                <w:iCs/>
                <w:sz w:val="20"/>
                <w:szCs w:val="20"/>
              </w:rPr>
              <w:t>Fabisalud IPS S.A.S.</w:t>
            </w:r>
            <w:r w:rsidR="009534D1" w:rsidRPr="00563295">
              <w:rPr>
                <w:rFonts w:ascii="Arial" w:hAnsi="Arial" w:cs="Arial"/>
                <w:iCs/>
                <w:sz w:val="20"/>
                <w:szCs w:val="20"/>
              </w:rPr>
              <w:t xml:space="preserve"> (</w:t>
            </w:r>
            <w:r>
              <w:rPr>
                <w:rFonts w:ascii="Arial" w:hAnsi="Arial" w:cs="Arial"/>
                <w:iCs/>
                <w:sz w:val="20"/>
                <w:szCs w:val="20"/>
              </w:rPr>
              <w:t>NIT. 900.951.033-8</w:t>
            </w:r>
            <w:r w:rsidR="009534D1" w:rsidRPr="00563295">
              <w:rPr>
                <w:rFonts w:ascii="Arial" w:hAnsi="Arial" w:cs="Arial"/>
                <w:iCs/>
                <w:sz w:val="20"/>
                <w:szCs w:val="20"/>
              </w:rPr>
              <w:t>)</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CC15FC8" w14:textId="73BD9AF3" w:rsidR="00D2680E" w:rsidRPr="00326F37" w:rsidRDefault="00326F37" w:rsidP="00326F37">
            <w:pPr>
              <w:pStyle w:val="Ttulo4"/>
              <w:rPr>
                <w:rFonts w:ascii="Arial" w:hAnsi="Arial" w:cs="Arial"/>
                <w:b w:val="0"/>
                <w:iCs/>
                <w:sz w:val="20"/>
              </w:rPr>
            </w:pPr>
            <w:r>
              <w:rPr>
                <w:rFonts w:ascii="Arial" w:hAnsi="Arial" w:cs="Arial"/>
                <w:b w:val="0"/>
                <w:iCs/>
                <w:sz w:val="20"/>
              </w:rPr>
              <w:t>EPS SURAMERICANA S.A.</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6ADBC700" w:rsidR="00954C7D" w:rsidRPr="00563295" w:rsidRDefault="00D2680E" w:rsidP="00954C7D">
            <w:pPr>
              <w:jc w:val="both"/>
              <w:rPr>
                <w:rFonts w:ascii="Arial" w:hAnsi="Arial" w:cs="Arial"/>
                <w:iCs/>
                <w:sz w:val="20"/>
                <w:szCs w:val="20"/>
              </w:rPr>
            </w:pPr>
            <w:r>
              <w:rPr>
                <w:rFonts w:ascii="Arial" w:hAnsi="Arial" w:cs="Arial"/>
                <w:bCs/>
                <w:sz w:val="20"/>
                <w:szCs w:val="20"/>
                <w:lang w:val="es-ES_tradnl"/>
              </w:rPr>
              <w:t xml:space="preserve">N/A </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7FDCEF72" w:rsidR="00954C7D" w:rsidRPr="00563295" w:rsidRDefault="00954C7D" w:rsidP="002C6436">
            <w:pPr>
              <w:jc w:val="both"/>
              <w:rPr>
                <w:rFonts w:ascii="Arial" w:hAnsi="Arial" w:cs="Arial"/>
                <w:iCs/>
                <w:sz w:val="20"/>
                <w:szCs w:val="20"/>
              </w:rPr>
            </w:pPr>
            <w:r w:rsidRPr="00563295">
              <w:rPr>
                <w:rFonts w:ascii="Arial" w:hAnsi="Arial" w:cs="Arial"/>
                <w:iCs/>
                <w:sz w:val="20"/>
                <w:szCs w:val="20"/>
              </w:rPr>
              <w:t>Juzgado</w:t>
            </w:r>
            <w:r w:rsidR="004B709D" w:rsidRPr="00563295">
              <w:rPr>
                <w:rFonts w:ascii="Arial" w:hAnsi="Arial" w:cs="Arial"/>
                <w:iCs/>
                <w:sz w:val="20"/>
                <w:szCs w:val="20"/>
              </w:rPr>
              <w:t xml:space="preserve"> </w:t>
            </w:r>
            <w:r w:rsidR="00A10BBB">
              <w:rPr>
                <w:rFonts w:ascii="Arial" w:hAnsi="Arial" w:cs="Arial"/>
                <w:iCs/>
                <w:sz w:val="20"/>
                <w:szCs w:val="20"/>
              </w:rPr>
              <w:t>Once (11º) Civil del Circuito de Cali</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1CF91782" w:rsidR="00954C7D" w:rsidRPr="00563295" w:rsidRDefault="004333FB" w:rsidP="009534D1">
            <w:pPr>
              <w:jc w:val="both"/>
              <w:rPr>
                <w:rFonts w:ascii="Arial" w:hAnsi="Arial" w:cs="Arial"/>
                <w:sz w:val="20"/>
                <w:szCs w:val="20"/>
              </w:rPr>
            </w:pPr>
            <w:r>
              <w:rPr>
                <w:rFonts w:ascii="Arial" w:hAnsi="Arial" w:cs="Arial"/>
                <w:sz w:val="20"/>
                <w:szCs w:val="20"/>
              </w:rPr>
              <w:t>76001-3103-011-2024-00299-00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671B73C8" w14:textId="17C35FBC" w:rsidR="00B6358F" w:rsidRPr="00563295" w:rsidRDefault="004333FB" w:rsidP="00FF704B">
            <w:pPr>
              <w:pStyle w:val="Sinespaciado"/>
              <w:jc w:val="both"/>
              <w:rPr>
                <w:rFonts w:ascii="Arial" w:hAnsi="Arial" w:cs="Arial"/>
                <w:b/>
                <w:sz w:val="20"/>
                <w:szCs w:val="20"/>
              </w:rPr>
            </w:pPr>
            <w:r>
              <w:rPr>
                <w:rFonts w:ascii="Arial" w:hAnsi="Arial" w:cs="Arial"/>
                <w:sz w:val="20"/>
                <w:szCs w:val="20"/>
              </w:rPr>
              <w:t>La parte demandante busca que se condene a EPS SURAMERICANA S.A. a pagar a FABISALUD IPS S.A.S., la suma de doscientos noventa y tres millones quinientos veintidós mil ciento once pesos m/</w:t>
            </w:r>
            <w:proofErr w:type="spellStart"/>
            <w:r>
              <w:rPr>
                <w:rFonts w:ascii="Arial" w:hAnsi="Arial" w:cs="Arial"/>
                <w:sz w:val="20"/>
                <w:szCs w:val="20"/>
              </w:rPr>
              <w:t>cte</w:t>
            </w:r>
            <w:proofErr w:type="spellEnd"/>
            <w:r>
              <w:rPr>
                <w:rFonts w:ascii="Arial" w:hAnsi="Arial" w:cs="Arial"/>
                <w:sz w:val="20"/>
                <w:szCs w:val="20"/>
              </w:rPr>
              <w:t xml:space="preserve"> ($293.522.111), valor que corresponde a una serie de facturas dejadas de pagar, correspondientes al año 2018. Además, se solicita que se condene a EPS SURAMERICANA S.A., a pagar los intereses moratorios, conforme a lo establecido en el inciso 2 del artículo 56 de la Ley 1438 de 2011, calculados desde la fecha en que debieron realizarse los pagos hasta la fecha en que efectivamente se realicen. </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5F400C0" w14:textId="188FF90F" w:rsidR="00AA1753" w:rsidRPr="00563295" w:rsidRDefault="00227E45" w:rsidP="001802C0">
            <w:pPr>
              <w:pStyle w:val="Sangra2detindependiente"/>
              <w:spacing w:after="0" w:line="240" w:lineRule="auto"/>
              <w:ind w:left="0"/>
              <w:jc w:val="both"/>
              <w:rPr>
                <w:rFonts w:ascii="Arial" w:hAnsi="Arial" w:cs="Arial"/>
                <w:b/>
                <w:bCs/>
                <w:sz w:val="20"/>
                <w:szCs w:val="20"/>
              </w:rPr>
            </w:pPr>
            <w:r>
              <w:rPr>
                <w:rFonts w:ascii="Arial" w:hAnsi="Arial" w:cs="Arial"/>
                <w:b/>
                <w:sz w:val="20"/>
                <w:szCs w:val="20"/>
              </w:rPr>
              <w:t xml:space="preserve">$0. </w:t>
            </w:r>
            <w:r w:rsidRPr="00227E45">
              <w:rPr>
                <w:rFonts w:ascii="Arial" w:hAnsi="Arial" w:cs="Arial"/>
                <w:bCs/>
                <w:sz w:val="20"/>
                <w:szCs w:val="20"/>
              </w:rPr>
              <w:t>No se reconoce valor alguno debido a que</w:t>
            </w:r>
            <w:r>
              <w:rPr>
                <w:rFonts w:ascii="Arial" w:hAnsi="Arial" w:cs="Arial"/>
                <w:b/>
                <w:sz w:val="20"/>
                <w:szCs w:val="20"/>
              </w:rPr>
              <w:t xml:space="preserve"> </w:t>
            </w:r>
            <w:r w:rsidRPr="001136CE">
              <w:rPr>
                <w:rFonts w:ascii="Arial" w:hAnsi="Arial" w:cs="Arial"/>
                <w:bCs/>
                <w:sz w:val="20"/>
                <w:szCs w:val="20"/>
              </w:rPr>
              <w:t xml:space="preserve">la obligación crediticia </w:t>
            </w:r>
            <w:r w:rsidR="00433F0E">
              <w:rPr>
                <w:rFonts w:ascii="Arial" w:hAnsi="Arial" w:cs="Arial"/>
                <w:bCs/>
                <w:sz w:val="20"/>
                <w:szCs w:val="20"/>
              </w:rPr>
              <w:t xml:space="preserve">en favor de la parte demandante se encontraría prescrita. Bien por haber transcurrido más de 3 años desde que se hicieron exigibles las facturas, bien en los términos del artículo 1081 del Código de Comercio. </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4BE6233D" w14:textId="1F41797B" w:rsidR="00C0541F" w:rsidRDefault="00A17C2C" w:rsidP="002513CE">
            <w:pPr>
              <w:jc w:val="both"/>
              <w:rPr>
                <w:rFonts w:ascii="Arial" w:hAnsi="Arial" w:cs="Arial"/>
                <w:iCs/>
                <w:sz w:val="20"/>
                <w:szCs w:val="20"/>
              </w:rPr>
            </w:pPr>
            <w:r>
              <w:rPr>
                <w:rFonts w:ascii="Arial" w:hAnsi="Arial" w:cs="Arial"/>
                <w:iCs/>
                <w:sz w:val="20"/>
                <w:szCs w:val="20"/>
              </w:rPr>
              <w:t xml:space="preserve">Alega la parte demandante que FABISALUD IPS S.A.S., prestó los servicios de urgencias y posterior a urgencias a los afiliados a EPS SURAMERICANA S.A., para la atención de las lesiones sufridas como víctimas de accidentes de tránsito, inicialmente como asegurados y/o beneficiarios del seguro SOAT expedidos por las entidades aseguradoras o en el evento de no contar con dicha póliza con cargo a los recursos de la subcuenta </w:t>
            </w:r>
            <w:proofErr w:type="spellStart"/>
            <w:r>
              <w:rPr>
                <w:rFonts w:ascii="Arial" w:hAnsi="Arial" w:cs="Arial"/>
                <w:iCs/>
                <w:sz w:val="20"/>
                <w:szCs w:val="20"/>
              </w:rPr>
              <w:t>ECAT</w:t>
            </w:r>
            <w:proofErr w:type="spellEnd"/>
            <w:r>
              <w:rPr>
                <w:rFonts w:ascii="Arial" w:hAnsi="Arial" w:cs="Arial"/>
                <w:iCs/>
                <w:sz w:val="20"/>
                <w:szCs w:val="20"/>
              </w:rPr>
              <w:t xml:space="preserve"> de la ADRES. </w:t>
            </w:r>
          </w:p>
          <w:p w14:paraId="54F2B3E4" w14:textId="77777777" w:rsidR="00A17C2C" w:rsidRDefault="00A17C2C" w:rsidP="002513CE">
            <w:pPr>
              <w:jc w:val="both"/>
              <w:rPr>
                <w:rFonts w:ascii="Arial" w:hAnsi="Arial" w:cs="Arial"/>
                <w:iCs/>
                <w:sz w:val="20"/>
                <w:szCs w:val="20"/>
              </w:rPr>
            </w:pPr>
          </w:p>
          <w:p w14:paraId="3026A838" w14:textId="77777777" w:rsidR="00A17C2C" w:rsidRDefault="00A17C2C" w:rsidP="002513CE">
            <w:pPr>
              <w:jc w:val="both"/>
              <w:rPr>
                <w:rFonts w:ascii="Arial" w:hAnsi="Arial" w:cs="Arial"/>
                <w:iCs/>
                <w:sz w:val="20"/>
                <w:szCs w:val="20"/>
              </w:rPr>
            </w:pPr>
            <w:r>
              <w:rPr>
                <w:rFonts w:ascii="Arial" w:hAnsi="Arial" w:cs="Arial"/>
                <w:iCs/>
                <w:sz w:val="20"/>
                <w:szCs w:val="20"/>
              </w:rPr>
              <w:t xml:space="preserve">Los servicios de salud prestado pro FABISALUD IPS S.A.S., que superaron las coberturas de las pólizas SOAT conforme a los montos establecidos en el artículo 2.6.1.4.2.3 del Decreto 780 de 2016, fueron debidamente cobrados a EPS SURAMERICANA S.A., a través de reclamaciones formales, las cuales se ajustaron a los requisitos establecidos en la Ley 1438 de 2011, la Ley 1231 de 2008, la Ley 1122 de 2007, el Decreto 780 de 2016, el Decreto 663 de 1993, la Resolución 1645 de 2016, Decreto 056 de 2015, Resolución 5261 de 1994, Nota Externa No. 201633200889671, expedida por el Ministerio de Salud y Protección Social, y demás normas que reglamentan, complementan y adicionan el cobro de servicios de salud prestados a víctima de accidente de tránsito que superan la cobertura SOAT. </w:t>
            </w:r>
          </w:p>
          <w:p w14:paraId="46B80965" w14:textId="77777777" w:rsidR="006E4110" w:rsidRDefault="006E4110" w:rsidP="002513CE">
            <w:pPr>
              <w:jc w:val="both"/>
              <w:rPr>
                <w:rFonts w:ascii="Arial" w:hAnsi="Arial" w:cs="Arial"/>
                <w:iCs/>
                <w:sz w:val="20"/>
                <w:szCs w:val="20"/>
              </w:rPr>
            </w:pPr>
          </w:p>
          <w:p w14:paraId="0D210CED" w14:textId="5AE91E80" w:rsidR="006E4110" w:rsidRPr="00563295" w:rsidRDefault="006E4110" w:rsidP="002513CE">
            <w:pPr>
              <w:jc w:val="both"/>
              <w:rPr>
                <w:rFonts w:ascii="Arial" w:hAnsi="Arial" w:cs="Arial"/>
                <w:iCs/>
                <w:sz w:val="20"/>
                <w:szCs w:val="20"/>
              </w:rPr>
            </w:pPr>
            <w:r>
              <w:rPr>
                <w:rFonts w:ascii="Arial" w:hAnsi="Arial" w:cs="Arial"/>
                <w:iCs/>
                <w:sz w:val="20"/>
                <w:szCs w:val="20"/>
              </w:rPr>
              <w:t xml:space="preserve">Se dice que las facturas cambiarias que fueron presentadas pro FABISALUD IPS SAS a EPS SURAMERICANA S.A., correspondientes a los servicios prestados durante la vigencia de 2016 -2017, una parte significativa de los servicios e insumos facturados fue objeto de devoluciones, algunas de forma oportuna desde la primera devolución, y otras notificaron la segunda o tercera devolución de forma oportuna, las cuales fueron desvirtuadas pro FABISALUD IPS S.A.S. En tal sentido, EPS SURAMERICANA S.A., debió observar estrictamente los ´términos estipulados en el artículo 57 de la Ley 1438 de 2011 y al haber notificado las objeciones de forma extemporánea (posterior a los veinte días contados desde su radicación), se tienen por no objetadas y son plenamente exigibles para pago. </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C10137" w:rsidR="00954C7D" w:rsidRPr="00563295" w:rsidRDefault="008C5FF9" w:rsidP="00954C7D">
            <w:pPr>
              <w:jc w:val="both"/>
              <w:rPr>
                <w:rFonts w:ascii="Arial" w:hAnsi="Arial" w:cs="Arial"/>
                <w:b/>
                <w:iCs/>
                <w:sz w:val="20"/>
                <w:szCs w:val="20"/>
              </w:rPr>
            </w:pPr>
            <w:r w:rsidRPr="00563295">
              <w:rPr>
                <w:rFonts w:ascii="Arial" w:hAnsi="Arial" w:cs="Arial"/>
                <w:b/>
                <w:iCs/>
                <w:sz w:val="20"/>
                <w:szCs w:val="20"/>
              </w:rPr>
              <w:t>REMOTA</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5071A6A2" w14:textId="1E5C20E0" w:rsidR="00A17C2C" w:rsidRDefault="00B96B97" w:rsidP="00A17C2C">
            <w:pPr>
              <w:jc w:val="both"/>
              <w:rPr>
                <w:rFonts w:ascii="Arial" w:hAnsi="Arial" w:cs="Arial"/>
                <w:iCs/>
                <w:sz w:val="20"/>
                <w:szCs w:val="20"/>
                <w:lang w:val="es-ES"/>
              </w:rPr>
            </w:pPr>
            <w:r>
              <w:rPr>
                <w:rFonts w:ascii="Arial" w:hAnsi="Arial" w:cs="Arial"/>
                <w:iCs/>
                <w:sz w:val="20"/>
                <w:szCs w:val="20"/>
                <w:lang w:val="es-ES"/>
              </w:rPr>
              <w:t xml:space="preserve">La contingencia se califica como </w:t>
            </w:r>
            <w:r>
              <w:rPr>
                <w:rFonts w:ascii="Arial" w:hAnsi="Arial" w:cs="Arial"/>
                <w:b/>
                <w:bCs/>
                <w:iCs/>
                <w:sz w:val="20"/>
                <w:szCs w:val="20"/>
                <w:u w:val="single"/>
                <w:lang w:val="es-ES"/>
              </w:rPr>
              <w:t>remota</w:t>
            </w:r>
            <w:r>
              <w:rPr>
                <w:rFonts w:ascii="Arial" w:hAnsi="Arial" w:cs="Arial"/>
                <w:iCs/>
                <w:sz w:val="20"/>
                <w:szCs w:val="20"/>
                <w:lang w:val="es-ES"/>
              </w:rPr>
              <w:t xml:space="preserve"> puesto que en el presente asunto habría operado la prescripción de la acción cambiaria a ejercerse a partir de las facturas que dan origen al debito que se reclama de EPS SURAMERICANA S.A. Esto pues según se relata en la demanda la última de las facturas tenía su pago exigible en el mes de septiembre de 2018, y la demanda se presentó el día 10 de octubre de 2024, es decir, alrededor de 6 años después de la </w:t>
            </w:r>
            <w:r w:rsidR="00AD6CCB">
              <w:rPr>
                <w:rFonts w:ascii="Arial" w:hAnsi="Arial" w:cs="Arial"/>
                <w:iCs/>
                <w:sz w:val="20"/>
                <w:szCs w:val="20"/>
                <w:lang w:val="es-ES"/>
              </w:rPr>
              <w:t>exigibilidad</w:t>
            </w:r>
            <w:r>
              <w:rPr>
                <w:rFonts w:ascii="Arial" w:hAnsi="Arial" w:cs="Arial"/>
                <w:iCs/>
                <w:sz w:val="20"/>
                <w:szCs w:val="20"/>
                <w:lang w:val="es-ES"/>
              </w:rPr>
              <w:t xml:space="preserve"> de los títulos contenidos en las facturas. </w:t>
            </w:r>
          </w:p>
          <w:p w14:paraId="7A2C10A9" w14:textId="77777777" w:rsidR="00CE147C" w:rsidRDefault="00CE147C" w:rsidP="00A17C2C">
            <w:pPr>
              <w:jc w:val="both"/>
              <w:rPr>
                <w:rFonts w:ascii="Arial" w:hAnsi="Arial" w:cs="Arial"/>
                <w:iCs/>
                <w:sz w:val="20"/>
                <w:szCs w:val="20"/>
                <w:lang w:val="es-ES"/>
              </w:rPr>
            </w:pPr>
          </w:p>
          <w:p w14:paraId="0E6863B6" w14:textId="399FDDFD" w:rsidR="00CE147C" w:rsidRPr="00B96B97" w:rsidRDefault="00CE147C" w:rsidP="00A17C2C">
            <w:pPr>
              <w:jc w:val="both"/>
              <w:rPr>
                <w:rFonts w:ascii="Arial" w:hAnsi="Arial" w:cs="Arial"/>
                <w:iCs/>
                <w:sz w:val="20"/>
                <w:szCs w:val="20"/>
                <w:lang w:val="es-ES"/>
              </w:rPr>
            </w:pPr>
            <w:r>
              <w:rPr>
                <w:rFonts w:ascii="Arial" w:hAnsi="Arial" w:cs="Arial"/>
                <w:iCs/>
                <w:sz w:val="20"/>
                <w:szCs w:val="20"/>
                <w:lang w:val="es-ES"/>
              </w:rPr>
              <w:t xml:space="preserve">De otro lado, si se tuviera en cuenta que como lo menciona la parte demandante en los hechos de la demanda la prestación del servicio se dio con ocasión o con motivo del SOAT, entonces se aplicaría la prescripción prevista en el artículo 1081 del Código de Comercio, que es ordinaria de 2 años y extraordinaria de 5 años. Plazos que se habrían cumplido con creces en el presente asunto. Este término se contaría según lo dicho por la Corte Suprema de Justicia en Sentencia SC3075-2024 del 19 de diciembre de 2024, se contaría a partir del momento en que la IPS haya tenido o debido tener conocimiento del hecho que da base a la acción, lo cual según la regulación especializada sucede cuando la víctima del accidente de tránsito fue atendida o egresó de la institución prestadora. </w:t>
            </w:r>
          </w:p>
          <w:p w14:paraId="46EE1E88" w14:textId="00CF59C6" w:rsidR="000F38F3" w:rsidRPr="00563295" w:rsidRDefault="000F38F3" w:rsidP="008C5FF9">
            <w:pPr>
              <w:jc w:val="both"/>
              <w:rPr>
                <w:rFonts w:ascii="Arial" w:hAnsi="Arial" w:cs="Arial"/>
                <w:iCs/>
                <w:sz w:val="20"/>
                <w:szCs w:val="20"/>
                <w:lang w:val="es-ES"/>
              </w:rPr>
            </w:pP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2A5561CA" w:rsidR="00954C7D" w:rsidRPr="00563295" w:rsidRDefault="005916C7" w:rsidP="00954C7D">
            <w:pPr>
              <w:jc w:val="both"/>
              <w:rPr>
                <w:rFonts w:ascii="Arial" w:hAnsi="Arial" w:cs="Arial"/>
                <w:iCs/>
                <w:sz w:val="20"/>
                <w:szCs w:val="20"/>
                <w:lang w:val="es-ES"/>
              </w:rPr>
            </w:pPr>
            <w:r w:rsidRPr="00D2680E">
              <w:rPr>
                <w:rFonts w:ascii="Arial" w:hAnsi="Arial" w:cs="Arial"/>
                <w:b/>
                <w:iCs/>
                <w:sz w:val="20"/>
                <w:szCs w:val="20"/>
                <w:u w:val="single"/>
              </w:rPr>
              <w:t>Nota aclaratoria:</w:t>
            </w:r>
            <w:r w:rsidRPr="00D2680E">
              <w:rPr>
                <w:rFonts w:ascii="Arial" w:hAnsi="Arial" w:cs="Arial"/>
                <w:b/>
                <w:iCs/>
                <w:sz w:val="20"/>
                <w:szCs w:val="20"/>
              </w:rPr>
              <w:t xml:space="preserve"> </w:t>
            </w:r>
            <w:r w:rsidR="00CE147C">
              <w:rPr>
                <w:rFonts w:ascii="Arial" w:hAnsi="Arial" w:cs="Arial"/>
                <w:bCs/>
                <w:color w:val="000000"/>
                <w:sz w:val="20"/>
                <w:szCs w:val="20"/>
              </w:rPr>
              <w:t xml:space="preserve">En la demanda se indica que los servicios fueron prestados a los afiliados con ocasión del SOAT. </w:t>
            </w:r>
            <w:r w:rsidR="0039541A">
              <w:rPr>
                <w:rFonts w:ascii="Arial" w:hAnsi="Arial" w:cs="Arial"/>
                <w:bCs/>
                <w:color w:val="000000"/>
                <w:sz w:val="20"/>
                <w:szCs w:val="20"/>
              </w:rPr>
              <w:t xml:space="preserve">Pero </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37A6" w14:textId="77777777" w:rsidR="00E74734" w:rsidRDefault="00E74734" w:rsidP="00114170">
      <w:r>
        <w:separator/>
      </w:r>
    </w:p>
  </w:endnote>
  <w:endnote w:type="continuationSeparator" w:id="0">
    <w:p w14:paraId="4B2CE104" w14:textId="77777777" w:rsidR="00E74734" w:rsidRDefault="00E7473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2187" w14:textId="77777777" w:rsidR="00E74734" w:rsidRDefault="00E74734" w:rsidP="00114170">
      <w:r>
        <w:separator/>
      </w:r>
    </w:p>
  </w:footnote>
  <w:footnote w:type="continuationSeparator" w:id="0">
    <w:p w14:paraId="3FE13B18" w14:textId="77777777" w:rsidR="00E74734" w:rsidRDefault="00E7473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E05"/>
    <w:multiLevelType w:val="hybridMultilevel"/>
    <w:tmpl w:val="036A3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0"/>
  </w:num>
  <w:num w:numId="2" w16cid:durableId="1909266428">
    <w:abstractNumId w:val="18"/>
  </w:num>
  <w:num w:numId="3" w16cid:durableId="695233997">
    <w:abstractNumId w:val="23"/>
  </w:num>
  <w:num w:numId="4" w16cid:durableId="115487526">
    <w:abstractNumId w:val="21"/>
  </w:num>
  <w:num w:numId="5" w16cid:durableId="2106806049">
    <w:abstractNumId w:val="14"/>
  </w:num>
  <w:num w:numId="6" w16cid:durableId="111100401">
    <w:abstractNumId w:val="29"/>
  </w:num>
  <w:num w:numId="7" w16cid:durableId="1801192155">
    <w:abstractNumId w:val="10"/>
  </w:num>
  <w:num w:numId="8" w16cid:durableId="635373374">
    <w:abstractNumId w:val="3"/>
  </w:num>
  <w:num w:numId="9" w16cid:durableId="625311366">
    <w:abstractNumId w:val="31"/>
  </w:num>
  <w:num w:numId="10" w16cid:durableId="1068764972">
    <w:abstractNumId w:val="12"/>
  </w:num>
  <w:num w:numId="11" w16cid:durableId="1989094933">
    <w:abstractNumId w:val="1"/>
  </w:num>
  <w:num w:numId="12" w16cid:durableId="613220529">
    <w:abstractNumId w:val="28"/>
  </w:num>
  <w:num w:numId="13" w16cid:durableId="1287197642">
    <w:abstractNumId w:val="11"/>
  </w:num>
  <w:num w:numId="14" w16cid:durableId="579025015">
    <w:abstractNumId w:val="5"/>
  </w:num>
  <w:num w:numId="15" w16cid:durableId="1439567921">
    <w:abstractNumId w:val="19"/>
  </w:num>
  <w:num w:numId="16" w16cid:durableId="1814445709">
    <w:abstractNumId w:val="30"/>
  </w:num>
  <w:num w:numId="17" w16cid:durableId="697858396">
    <w:abstractNumId w:val="27"/>
  </w:num>
  <w:num w:numId="18" w16cid:durableId="1179349126">
    <w:abstractNumId w:val="26"/>
  </w:num>
  <w:num w:numId="19" w16cid:durableId="1164198733">
    <w:abstractNumId w:val="9"/>
  </w:num>
  <w:num w:numId="20" w16cid:durableId="1895580761">
    <w:abstractNumId w:val="22"/>
  </w:num>
  <w:num w:numId="21" w16cid:durableId="1511604564">
    <w:abstractNumId w:val="8"/>
  </w:num>
  <w:num w:numId="22" w16cid:durableId="864439142">
    <w:abstractNumId w:val="32"/>
  </w:num>
  <w:num w:numId="23" w16cid:durableId="1385955994">
    <w:abstractNumId w:val="13"/>
  </w:num>
  <w:num w:numId="24" w16cid:durableId="1215652854">
    <w:abstractNumId w:val="16"/>
  </w:num>
  <w:num w:numId="25" w16cid:durableId="1063063412">
    <w:abstractNumId w:val="25"/>
  </w:num>
  <w:num w:numId="26" w16cid:durableId="521208171">
    <w:abstractNumId w:val="15"/>
  </w:num>
  <w:num w:numId="27" w16cid:durableId="1679965974">
    <w:abstractNumId w:val="17"/>
  </w:num>
  <w:num w:numId="28" w16cid:durableId="434600131">
    <w:abstractNumId w:val="24"/>
  </w:num>
  <w:num w:numId="29" w16cid:durableId="190807967">
    <w:abstractNumId w:val="7"/>
  </w:num>
  <w:num w:numId="30" w16cid:durableId="1830170576">
    <w:abstractNumId w:val="6"/>
  </w:num>
  <w:num w:numId="31" w16cid:durableId="1744644743">
    <w:abstractNumId w:val="0"/>
  </w:num>
  <w:num w:numId="32" w16cid:durableId="245699332">
    <w:abstractNumId w:val="2"/>
  </w:num>
  <w:num w:numId="33" w16cid:durableId="100015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8F3"/>
    <w:rsid w:val="000F3BCA"/>
    <w:rsid w:val="001136CE"/>
    <w:rsid w:val="00114170"/>
    <w:rsid w:val="00123760"/>
    <w:rsid w:val="001253CC"/>
    <w:rsid w:val="0013149B"/>
    <w:rsid w:val="001802C0"/>
    <w:rsid w:val="00184BEB"/>
    <w:rsid w:val="00190D99"/>
    <w:rsid w:val="00197AE5"/>
    <w:rsid w:val="001B5C91"/>
    <w:rsid w:val="001C281E"/>
    <w:rsid w:val="001C4AB7"/>
    <w:rsid w:val="001D4829"/>
    <w:rsid w:val="001D5B1E"/>
    <w:rsid w:val="00205973"/>
    <w:rsid w:val="00207388"/>
    <w:rsid w:val="00212C67"/>
    <w:rsid w:val="00213571"/>
    <w:rsid w:val="00216E9C"/>
    <w:rsid w:val="00221F8F"/>
    <w:rsid w:val="002277B8"/>
    <w:rsid w:val="00227E45"/>
    <w:rsid w:val="002311CE"/>
    <w:rsid w:val="0023279C"/>
    <w:rsid w:val="002422AF"/>
    <w:rsid w:val="00247E08"/>
    <w:rsid w:val="002513CE"/>
    <w:rsid w:val="00255339"/>
    <w:rsid w:val="002554FB"/>
    <w:rsid w:val="00263159"/>
    <w:rsid w:val="00285038"/>
    <w:rsid w:val="002958C0"/>
    <w:rsid w:val="002975F8"/>
    <w:rsid w:val="002A58E2"/>
    <w:rsid w:val="002B706B"/>
    <w:rsid w:val="002B7B35"/>
    <w:rsid w:val="002C2E84"/>
    <w:rsid w:val="002C48B4"/>
    <w:rsid w:val="002C6436"/>
    <w:rsid w:val="002D48A8"/>
    <w:rsid w:val="002D5CC7"/>
    <w:rsid w:val="0030784C"/>
    <w:rsid w:val="00314784"/>
    <w:rsid w:val="00316B10"/>
    <w:rsid w:val="00326883"/>
    <w:rsid w:val="00326F37"/>
    <w:rsid w:val="00337E0F"/>
    <w:rsid w:val="00346423"/>
    <w:rsid w:val="00354234"/>
    <w:rsid w:val="00373807"/>
    <w:rsid w:val="00374C2E"/>
    <w:rsid w:val="00380545"/>
    <w:rsid w:val="003810F4"/>
    <w:rsid w:val="00392D26"/>
    <w:rsid w:val="0039541A"/>
    <w:rsid w:val="003A17AC"/>
    <w:rsid w:val="003A544A"/>
    <w:rsid w:val="003A5FDC"/>
    <w:rsid w:val="003D1FDE"/>
    <w:rsid w:val="003D20D7"/>
    <w:rsid w:val="003E59C2"/>
    <w:rsid w:val="003F2547"/>
    <w:rsid w:val="00407B3B"/>
    <w:rsid w:val="004113B5"/>
    <w:rsid w:val="0042254E"/>
    <w:rsid w:val="004252B9"/>
    <w:rsid w:val="0043197D"/>
    <w:rsid w:val="004333FB"/>
    <w:rsid w:val="00433F0E"/>
    <w:rsid w:val="00447AE4"/>
    <w:rsid w:val="004526CC"/>
    <w:rsid w:val="00454945"/>
    <w:rsid w:val="00461C8A"/>
    <w:rsid w:val="00473484"/>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4986"/>
    <w:rsid w:val="004D6B61"/>
    <w:rsid w:val="00500604"/>
    <w:rsid w:val="00504ED6"/>
    <w:rsid w:val="00527AC1"/>
    <w:rsid w:val="00530052"/>
    <w:rsid w:val="0054566E"/>
    <w:rsid w:val="00551367"/>
    <w:rsid w:val="0055384F"/>
    <w:rsid w:val="005540BF"/>
    <w:rsid w:val="00563295"/>
    <w:rsid w:val="005676FE"/>
    <w:rsid w:val="005700BC"/>
    <w:rsid w:val="00577E84"/>
    <w:rsid w:val="005916C7"/>
    <w:rsid w:val="00596831"/>
    <w:rsid w:val="005A6258"/>
    <w:rsid w:val="00611F74"/>
    <w:rsid w:val="00615F8B"/>
    <w:rsid w:val="00623929"/>
    <w:rsid w:val="00632829"/>
    <w:rsid w:val="00642A17"/>
    <w:rsid w:val="00643641"/>
    <w:rsid w:val="00670B1C"/>
    <w:rsid w:val="00672B99"/>
    <w:rsid w:val="0068118E"/>
    <w:rsid w:val="00685622"/>
    <w:rsid w:val="0069333C"/>
    <w:rsid w:val="00693718"/>
    <w:rsid w:val="00696EDE"/>
    <w:rsid w:val="006A16E9"/>
    <w:rsid w:val="006A6736"/>
    <w:rsid w:val="006B0E2A"/>
    <w:rsid w:val="006C1F03"/>
    <w:rsid w:val="006C2C55"/>
    <w:rsid w:val="006D5E90"/>
    <w:rsid w:val="006D71E7"/>
    <w:rsid w:val="006E0BB5"/>
    <w:rsid w:val="006E4110"/>
    <w:rsid w:val="006E706F"/>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0EDE"/>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80EB5"/>
    <w:rsid w:val="009A3E8D"/>
    <w:rsid w:val="009C5F90"/>
    <w:rsid w:val="009E6A05"/>
    <w:rsid w:val="009E7D3B"/>
    <w:rsid w:val="00A10BBB"/>
    <w:rsid w:val="00A17C2C"/>
    <w:rsid w:val="00A2645B"/>
    <w:rsid w:val="00A26802"/>
    <w:rsid w:val="00A40839"/>
    <w:rsid w:val="00A62320"/>
    <w:rsid w:val="00A70A97"/>
    <w:rsid w:val="00A70E11"/>
    <w:rsid w:val="00A718A1"/>
    <w:rsid w:val="00A73C84"/>
    <w:rsid w:val="00AA042C"/>
    <w:rsid w:val="00AA09C9"/>
    <w:rsid w:val="00AA1753"/>
    <w:rsid w:val="00AA6E8E"/>
    <w:rsid w:val="00AB38A7"/>
    <w:rsid w:val="00AB7CA0"/>
    <w:rsid w:val="00AD6CCB"/>
    <w:rsid w:val="00AE21BE"/>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6B97"/>
    <w:rsid w:val="00B977DA"/>
    <w:rsid w:val="00BC0395"/>
    <w:rsid w:val="00BF75F6"/>
    <w:rsid w:val="00C031BC"/>
    <w:rsid w:val="00C0541F"/>
    <w:rsid w:val="00C26408"/>
    <w:rsid w:val="00C32640"/>
    <w:rsid w:val="00C4710B"/>
    <w:rsid w:val="00C5392B"/>
    <w:rsid w:val="00C55D97"/>
    <w:rsid w:val="00C57A64"/>
    <w:rsid w:val="00C65D73"/>
    <w:rsid w:val="00C803D5"/>
    <w:rsid w:val="00C84F6C"/>
    <w:rsid w:val="00CC2635"/>
    <w:rsid w:val="00CD2308"/>
    <w:rsid w:val="00CD6E45"/>
    <w:rsid w:val="00CE147C"/>
    <w:rsid w:val="00CE2626"/>
    <w:rsid w:val="00CF7627"/>
    <w:rsid w:val="00D06467"/>
    <w:rsid w:val="00D17D49"/>
    <w:rsid w:val="00D24F6F"/>
    <w:rsid w:val="00D252A8"/>
    <w:rsid w:val="00D2680E"/>
    <w:rsid w:val="00D3438F"/>
    <w:rsid w:val="00D454F1"/>
    <w:rsid w:val="00D6573A"/>
    <w:rsid w:val="00D84690"/>
    <w:rsid w:val="00D87E0E"/>
    <w:rsid w:val="00DC492A"/>
    <w:rsid w:val="00DE3986"/>
    <w:rsid w:val="00DE51B7"/>
    <w:rsid w:val="00DE5A62"/>
    <w:rsid w:val="00E028BD"/>
    <w:rsid w:val="00E15C4C"/>
    <w:rsid w:val="00E16566"/>
    <w:rsid w:val="00E171AF"/>
    <w:rsid w:val="00E22AE6"/>
    <w:rsid w:val="00E52842"/>
    <w:rsid w:val="00E55821"/>
    <w:rsid w:val="00E6255E"/>
    <w:rsid w:val="00E62DC0"/>
    <w:rsid w:val="00E7062F"/>
    <w:rsid w:val="00E74734"/>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6F8F"/>
    <w:rsid w:val="00FD7619"/>
    <w:rsid w:val="00FF5B99"/>
    <w:rsid w:val="00FF66F3"/>
    <w:rsid w:val="00FF70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5183627C-A1B9-4180-AA95-EAB291A5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Manuel Henao Gallego</cp:lastModifiedBy>
  <cp:revision>3</cp:revision>
  <cp:lastPrinted>2019-03-04T21:06:00Z</cp:lastPrinted>
  <dcterms:created xsi:type="dcterms:W3CDTF">2025-03-05T16:46:00Z</dcterms:created>
  <dcterms:modified xsi:type="dcterms:W3CDTF">2025-03-05T22:28:00Z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