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2E64F" w14:textId="2B84687B" w:rsidR="00237528" w:rsidRPr="008668AE" w:rsidRDefault="00237528" w:rsidP="00237528">
      <w:pPr>
        <w:jc w:val="both"/>
      </w:pPr>
      <w:r w:rsidRPr="008668AE">
        <w:t xml:space="preserve">Estimados, el día </w:t>
      </w:r>
      <w:r w:rsidR="00D127E8" w:rsidRPr="008668AE">
        <w:t>25 de febrero de 2025</w:t>
      </w:r>
      <w:r w:rsidRPr="008668AE">
        <w:t xml:space="preserve">, se radicó contestación en nombre de la </w:t>
      </w:r>
      <w:r w:rsidR="00D127E8" w:rsidRPr="008668AE">
        <w:t>CONFIANZA</w:t>
      </w:r>
      <w:r w:rsidRPr="008668AE">
        <w:t xml:space="preserve">, en el proceso identificado con consecutivo </w:t>
      </w:r>
      <w:r w:rsidR="002C2FC1" w:rsidRPr="008668AE">
        <w:t>20</w:t>
      </w:r>
      <w:r w:rsidR="00D127E8" w:rsidRPr="008668AE">
        <w:t>22-</w:t>
      </w:r>
      <w:r w:rsidR="002C2FC1" w:rsidRPr="008668AE">
        <w:t>00</w:t>
      </w:r>
      <w:r w:rsidR="00D127E8" w:rsidRPr="008668AE">
        <w:t>040</w:t>
      </w:r>
      <w:r w:rsidRPr="008668AE">
        <w:t xml:space="preserve">. Se presenta informe del escrito y se adjunta pdf contentivo de la contestación, sus anexos, la constancia de traslado a las otras partes, y la constancia de radicación en la ventanilla virtual de SAMAI. </w:t>
      </w:r>
    </w:p>
    <w:p w14:paraId="66BD3C3A" w14:textId="6967A887" w:rsidR="00237528" w:rsidRPr="008668AE" w:rsidRDefault="00237528" w:rsidP="00237528">
      <w:pPr>
        <w:jc w:val="both"/>
        <w:rPr>
          <w:b/>
          <w:bCs/>
        </w:rPr>
      </w:pPr>
      <w:r w:rsidRPr="008668AE">
        <w:rPr>
          <w:b/>
          <w:bCs/>
        </w:rPr>
        <w:t xml:space="preserve">Resumen de los hechos. </w:t>
      </w:r>
    </w:p>
    <w:p w14:paraId="43FBD32E" w14:textId="34074EDB" w:rsidR="00237528" w:rsidRPr="008668AE" w:rsidRDefault="00D127E8" w:rsidP="00237528">
      <w:pPr>
        <w:jc w:val="both"/>
      </w:pPr>
      <w:r w:rsidRPr="008668AE">
        <w:t xml:space="preserve">De conformidad con los hechos de la demanda, la señora ANGELA MARÍA MOORE CARVAJAL, médica de profesión con especialización en anestesiología y reanimación; laboró para el Hospital Universitario del Valle – Evaristo García, a través de convenio colectivo No. 201-1573, desarrollando un trabajo colectivo de “Médico Especialista” en calidad de “afiliada partícipe” de la Asociación Gremial Especializada en Salud de Occidente – AGESOC. A juicio de la parte demandante, durante su vinculación con el Hospital Universitario del Valle, se configuró la figura del contrato realidad. </w:t>
      </w:r>
    </w:p>
    <w:p w14:paraId="039E0918" w14:textId="69336F40" w:rsidR="00237528" w:rsidRPr="008668AE" w:rsidRDefault="00237528" w:rsidP="00237528">
      <w:pPr>
        <w:tabs>
          <w:tab w:val="left" w:pos="6447"/>
        </w:tabs>
        <w:jc w:val="both"/>
        <w:rPr>
          <w:b/>
          <w:bCs/>
        </w:rPr>
      </w:pPr>
      <w:r w:rsidRPr="008668AE">
        <w:rPr>
          <w:b/>
          <w:bCs/>
        </w:rPr>
        <w:t>Valoración Objetiva de las pretensiones</w:t>
      </w:r>
      <w:r w:rsidRPr="008668AE">
        <w:rPr>
          <w:b/>
          <w:bCs/>
        </w:rPr>
        <w:tab/>
      </w:r>
    </w:p>
    <w:p w14:paraId="5CE3F63F" w14:textId="5B5A9E13" w:rsidR="00237528" w:rsidRPr="008668AE" w:rsidRDefault="00237528" w:rsidP="00237528">
      <w:pPr>
        <w:spacing w:line="264" w:lineRule="exact"/>
        <w:ind w:left="59" w:right="-20"/>
        <w:jc w:val="both"/>
        <w:rPr>
          <w:rFonts w:eastAsia="Calibri"/>
        </w:rPr>
      </w:pPr>
      <w:r w:rsidRPr="008668AE">
        <w:rPr>
          <w:rFonts w:eastAsia="Calibri"/>
        </w:rPr>
        <w:t xml:space="preserve">Valor 100% </w:t>
      </w:r>
      <w:r w:rsidR="00AB307D" w:rsidRPr="008668AE">
        <w:rPr>
          <w:rFonts w:ascii="Calibri" w:eastAsia="Calibri" w:hAnsi="Calibri" w:cs="Calibri"/>
          <w:b/>
          <w:bCs/>
        </w:rPr>
        <w:t xml:space="preserve">$ </w:t>
      </w:r>
      <w:r w:rsidR="00AB307D" w:rsidRPr="00B82B09">
        <w:rPr>
          <w:rFonts w:ascii="Calibri" w:eastAsia="Calibri" w:hAnsi="Calibri" w:cs="Calibri"/>
          <w:b/>
          <w:bCs/>
        </w:rPr>
        <w:t>37.004.673</w:t>
      </w:r>
    </w:p>
    <w:p w14:paraId="306AAC8C" w14:textId="388A1ABB" w:rsidR="00237528" w:rsidRPr="008668AE" w:rsidRDefault="00237528" w:rsidP="00237528">
      <w:pPr>
        <w:spacing w:line="264" w:lineRule="exact"/>
        <w:ind w:left="59" w:right="-20"/>
        <w:jc w:val="both"/>
        <w:rPr>
          <w:rFonts w:eastAsia="Calibri"/>
        </w:rPr>
      </w:pPr>
      <w:r w:rsidRPr="008668AE">
        <w:rPr>
          <w:rFonts w:eastAsia="Calibri"/>
        </w:rPr>
        <w:t xml:space="preserve">Deducible: </w:t>
      </w:r>
      <w:r w:rsidR="008C59D7" w:rsidRPr="008668AE">
        <w:rPr>
          <w:rFonts w:eastAsia="Calibri"/>
        </w:rPr>
        <w:t>No aplica</w:t>
      </w:r>
    </w:p>
    <w:p w14:paraId="076A52A6" w14:textId="586D279E" w:rsidR="00237528" w:rsidRPr="008668AE" w:rsidRDefault="00237528" w:rsidP="00237528">
      <w:pPr>
        <w:spacing w:line="264" w:lineRule="exact"/>
        <w:ind w:left="59" w:right="-20"/>
        <w:jc w:val="both"/>
        <w:rPr>
          <w:rFonts w:eastAsia="Calibri"/>
        </w:rPr>
      </w:pPr>
      <w:r w:rsidRPr="008668AE">
        <w:rPr>
          <w:rFonts w:eastAsia="Calibri"/>
        </w:rPr>
        <w:t xml:space="preserve">Coaseguro: </w:t>
      </w:r>
      <w:r w:rsidR="008C59D7" w:rsidRPr="008668AE">
        <w:rPr>
          <w:rFonts w:eastAsia="Calibri"/>
        </w:rPr>
        <w:t>No aplica</w:t>
      </w:r>
    </w:p>
    <w:p w14:paraId="0D95D194" w14:textId="3E6F2867" w:rsidR="00237528" w:rsidRPr="008668AE" w:rsidRDefault="00237528" w:rsidP="00237528">
      <w:pPr>
        <w:spacing w:line="264" w:lineRule="exact"/>
        <w:ind w:left="59" w:right="-20"/>
        <w:jc w:val="both"/>
        <w:rPr>
          <w:rFonts w:eastAsia="Calibri"/>
          <w:b/>
          <w:bCs/>
          <w:u w:val="single"/>
        </w:rPr>
      </w:pPr>
      <w:proofErr w:type="gramStart"/>
      <w:r w:rsidRPr="008668AE">
        <w:rPr>
          <w:rFonts w:eastAsia="Calibri"/>
          <w:b/>
          <w:bCs/>
          <w:u w:val="single"/>
        </w:rPr>
        <w:t>Total</w:t>
      </w:r>
      <w:proofErr w:type="gramEnd"/>
      <w:r w:rsidRPr="008668AE">
        <w:rPr>
          <w:rFonts w:eastAsia="Calibri"/>
          <w:b/>
          <w:bCs/>
          <w:u w:val="single"/>
        </w:rPr>
        <w:t xml:space="preserve"> Exposición de </w:t>
      </w:r>
      <w:r w:rsidR="008668AE" w:rsidRPr="008668AE">
        <w:rPr>
          <w:rFonts w:eastAsia="Calibri"/>
          <w:b/>
          <w:bCs/>
          <w:u w:val="single"/>
        </w:rPr>
        <w:t>CONFIANZA</w:t>
      </w:r>
      <w:r w:rsidRPr="008668AE">
        <w:rPr>
          <w:rFonts w:eastAsia="Calibri"/>
          <w:b/>
          <w:bCs/>
          <w:u w:val="single"/>
        </w:rPr>
        <w:t xml:space="preserve"> </w:t>
      </w:r>
      <w:r w:rsidR="00AB307D" w:rsidRPr="00AB307D">
        <w:rPr>
          <w:rFonts w:ascii="Calibri" w:eastAsia="Calibri" w:hAnsi="Calibri" w:cs="Calibri"/>
          <w:b/>
          <w:bCs/>
          <w:u w:val="single"/>
        </w:rPr>
        <w:t>$ 37.004.673</w:t>
      </w:r>
      <w:r w:rsidRPr="008668AE">
        <w:rPr>
          <w:rFonts w:eastAsia="Calibri"/>
          <w:b/>
          <w:bCs/>
          <w:u w:val="single"/>
        </w:rPr>
        <w:t xml:space="preserve"> </w:t>
      </w:r>
    </w:p>
    <w:p w14:paraId="58CE156D" w14:textId="7EEAF5F6" w:rsidR="00237528" w:rsidRPr="008668AE" w:rsidRDefault="00237528" w:rsidP="00237528">
      <w:pPr>
        <w:spacing w:line="264" w:lineRule="exact"/>
        <w:ind w:left="59" w:right="-20"/>
        <w:jc w:val="both"/>
        <w:rPr>
          <w:rFonts w:eastAsia="Calibri"/>
        </w:rPr>
      </w:pPr>
      <w:r w:rsidRPr="008668AE">
        <w:rPr>
          <w:rFonts w:eastAsia="Calibri"/>
        </w:rPr>
        <w:t>Se llega a esta valoración de la siguiente forma</w:t>
      </w:r>
      <w:r w:rsidR="00322D7E" w:rsidRPr="008668AE">
        <w:rPr>
          <w:rFonts w:eastAsia="Calibri"/>
        </w:rPr>
        <w:t>:</w:t>
      </w:r>
    </w:p>
    <w:p w14:paraId="7A15166A" w14:textId="1C67CB38" w:rsidR="00322D7E" w:rsidRPr="008668AE" w:rsidRDefault="00322D7E" w:rsidP="00322D7E">
      <w:pPr>
        <w:spacing w:line="264" w:lineRule="exact"/>
        <w:ind w:right="-20"/>
        <w:jc w:val="both"/>
        <w:rPr>
          <w:rFonts w:eastAsia="Calibri"/>
        </w:rPr>
      </w:pPr>
      <w:r w:rsidRPr="008668AE">
        <w:rPr>
          <w:rFonts w:eastAsia="Calibri"/>
        </w:rPr>
        <w:t>Al buscar las pretensiones la declaración de una relación laboral, se tomarán como días extremos el 1 de octubre de 2018 hasta el 31 de octubre de 2020 y como asignación salarial la suma de $8.430.587, que de acuerdo a la información entregada por el Hospital Universitario del Valle es la asignación salarial de 8 horas para el año 2021. No hay información sobre la asignación para los años en los que estuvo vinculada la demandante.</w:t>
      </w:r>
      <w:r w:rsidR="00ED2507" w:rsidRPr="008668AE">
        <w:rPr>
          <w:rFonts w:eastAsia="Calibri"/>
        </w:rPr>
        <w:t xml:space="preserve"> Adicionalmente, la solicitud de la demanda fue encaminada en ese sentido. </w:t>
      </w:r>
    </w:p>
    <w:p w14:paraId="6610D852" w14:textId="22BE603C" w:rsidR="00015FAE" w:rsidRPr="008668AE" w:rsidRDefault="00684142" w:rsidP="00015FAE">
      <w:pPr>
        <w:pStyle w:val="Prrafodelista"/>
        <w:numPr>
          <w:ilvl w:val="0"/>
          <w:numId w:val="2"/>
        </w:numPr>
        <w:spacing w:line="264" w:lineRule="exact"/>
        <w:ind w:right="-20"/>
        <w:jc w:val="both"/>
        <w:rPr>
          <w:rFonts w:ascii="Calibri" w:eastAsia="Calibri" w:hAnsi="Calibri" w:cs="Calibri"/>
          <w:sz w:val="22"/>
          <w:szCs w:val="22"/>
        </w:rPr>
      </w:pPr>
      <w:r w:rsidRPr="008668AE">
        <w:rPr>
          <w:rFonts w:ascii="Calibri" w:eastAsia="Calibri" w:hAnsi="Calibri" w:cs="Calibri"/>
          <w:b/>
          <w:bCs/>
          <w:sz w:val="22"/>
          <w:szCs w:val="22"/>
        </w:rPr>
        <w:t xml:space="preserve">Auxilio de Cesantía: </w:t>
      </w:r>
      <w:r w:rsidRPr="008668AE">
        <w:rPr>
          <w:rFonts w:ascii="Calibri" w:eastAsia="Calibri" w:hAnsi="Calibri" w:cs="Calibri"/>
          <w:sz w:val="22"/>
          <w:szCs w:val="22"/>
        </w:rPr>
        <w:t>Del 1 de octubre de 2018 al 31 de octubre de 2020</w:t>
      </w:r>
    </w:p>
    <w:p w14:paraId="0FCBAE29" w14:textId="77777777" w:rsidR="00322D7E" w:rsidRPr="008668AE" w:rsidRDefault="00322D7E" w:rsidP="00322D7E">
      <w:pPr>
        <w:pStyle w:val="Prrafodelista"/>
        <w:spacing w:line="264" w:lineRule="exact"/>
        <w:ind w:right="-20"/>
        <w:jc w:val="both"/>
        <w:rPr>
          <w:rFonts w:ascii="Calibri" w:eastAsia="Calibri" w:hAnsi="Calibri" w:cs="Calibri"/>
          <w:b/>
          <w:bCs/>
          <w:sz w:val="22"/>
          <w:szCs w:val="22"/>
        </w:rPr>
      </w:pPr>
    </w:p>
    <w:p w14:paraId="55092852" w14:textId="5BDB94D9" w:rsidR="00322D7E" w:rsidRPr="008668AE" w:rsidRDefault="00015FAE" w:rsidP="00322D7E">
      <w:pPr>
        <w:pStyle w:val="Prrafodelista"/>
        <w:numPr>
          <w:ilvl w:val="0"/>
          <w:numId w:val="3"/>
        </w:numPr>
        <w:spacing w:line="264" w:lineRule="exact"/>
        <w:ind w:right="-20"/>
        <w:jc w:val="both"/>
        <w:rPr>
          <w:rFonts w:ascii="Calibri" w:eastAsia="Calibri" w:hAnsi="Calibri" w:cs="Calibri"/>
          <w:sz w:val="22"/>
          <w:szCs w:val="22"/>
        </w:rPr>
      </w:pPr>
      <w:r w:rsidRPr="008668AE">
        <w:rPr>
          <w:rFonts w:ascii="Calibri" w:eastAsia="Calibri" w:hAnsi="Calibri" w:cs="Calibri"/>
          <w:sz w:val="22"/>
          <w:szCs w:val="22"/>
        </w:rPr>
        <w:t>2018: $2.131.065</w:t>
      </w:r>
    </w:p>
    <w:p w14:paraId="6212462F" w14:textId="7B4382FB" w:rsidR="00015FAE" w:rsidRPr="008668AE" w:rsidRDefault="00015FAE" w:rsidP="00322D7E">
      <w:pPr>
        <w:pStyle w:val="Prrafodelista"/>
        <w:numPr>
          <w:ilvl w:val="0"/>
          <w:numId w:val="3"/>
        </w:numPr>
        <w:spacing w:line="264" w:lineRule="exact"/>
        <w:ind w:right="-20"/>
        <w:jc w:val="both"/>
        <w:rPr>
          <w:rFonts w:ascii="Calibri" w:eastAsia="Calibri" w:hAnsi="Calibri" w:cs="Calibri"/>
          <w:sz w:val="22"/>
          <w:szCs w:val="22"/>
        </w:rPr>
      </w:pPr>
      <w:r w:rsidRPr="008668AE">
        <w:rPr>
          <w:rFonts w:ascii="Calibri" w:eastAsia="Calibri" w:hAnsi="Calibri" w:cs="Calibri"/>
          <w:sz w:val="22"/>
          <w:szCs w:val="22"/>
        </w:rPr>
        <w:t>2019: $</w:t>
      </w:r>
      <w:r w:rsidR="00E60502" w:rsidRPr="008668AE">
        <w:rPr>
          <w:rFonts w:ascii="Calibri" w:eastAsia="Calibri" w:hAnsi="Calibri" w:cs="Calibri"/>
          <w:sz w:val="22"/>
          <w:szCs w:val="22"/>
        </w:rPr>
        <w:t>8.430.587</w:t>
      </w:r>
    </w:p>
    <w:p w14:paraId="05DCE4D8" w14:textId="7C8926E4" w:rsidR="00E60502" w:rsidRPr="008668AE" w:rsidRDefault="00E60502" w:rsidP="00E60502">
      <w:pPr>
        <w:pStyle w:val="Prrafodelista"/>
        <w:numPr>
          <w:ilvl w:val="0"/>
          <w:numId w:val="3"/>
        </w:numPr>
        <w:spacing w:line="264" w:lineRule="exact"/>
        <w:ind w:right="-20"/>
        <w:jc w:val="both"/>
        <w:rPr>
          <w:rFonts w:ascii="Calibri" w:eastAsia="Calibri" w:hAnsi="Calibri" w:cs="Calibri"/>
          <w:sz w:val="22"/>
          <w:szCs w:val="22"/>
        </w:rPr>
      </w:pPr>
      <w:r w:rsidRPr="008668AE">
        <w:rPr>
          <w:rFonts w:ascii="Calibri" w:eastAsia="Calibri" w:hAnsi="Calibri" w:cs="Calibri"/>
          <w:sz w:val="22"/>
          <w:szCs w:val="22"/>
        </w:rPr>
        <w:t>2020: $7.048.907</w:t>
      </w:r>
    </w:p>
    <w:p w14:paraId="5BC01723" w14:textId="59F209BB" w:rsidR="00E60502" w:rsidRPr="008668AE" w:rsidRDefault="00E60502" w:rsidP="00E60502">
      <w:pPr>
        <w:pStyle w:val="Prrafodelista"/>
        <w:numPr>
          <w:ilvl w:val="0"/>
          <w:numId w:val="3"/>
        </w:numPr>
        <w:spacing w:line="264" w:lineRule="exact"/>
        <w:ind w:right="-20"/>
        <w:jc w:val="both"/>
        <w:rPr>
          <w:rFonts w:ascii="Calibri" w:eastAsia="Calibri" w:hAnsi="Calibri" w:cs="Calibri"/>
          <w:sz w:val="22"/>
          <w:szCs w:val="22"/>
        </w:rPr>
      </w:pPr>
      <w:r w:rsidRPr="008668AE">
        <w:rPr>
          <w:rFonts w:ascii="Calibri" w:eastAsia="Calibri" w:hAnsi="Calibri" w:cs="Calibri"/>
          <w:b/>
          <w:bCs/>
          <w:sz w:val="22"/>
          <w:szCs w:val="22"/>
        </w:rPr>
        <w:t xml:space="preserve">Total: </w:t>
      </w:r>
      <w:r w:rsidRPr="008668AE">
        <w:rPr>
          <w:rFonts w:ascii="Calibri" w:eastAsia="Calibri" w:hAnsi="Calibri" w:cs="Calibri"/>
          <w:sz w:val="22"/>
          <w:szCs w:val="22"/>
        </w:rPr>
        <w:t>$17.610.560</w:t>
      </w:r>
    </w:p>
    <w:p w14:paraId="789F46A4" w14:textId="1E3C1BF0" w:rsidR="00E60502" w:rsidRPr="008668AE" w:rsidRDefault="00E60502" w:rsidP="00E60502">
      <w:pPr>
        <w:pStyle w:val="Prrafodelista"/>
        <w:spacing w:line="264" w:lineRule="exact"/>
        <w:ind w:left="1080" w:right="-20"/>
        <w:jc w:val="both"/>
        <w:rPr>
          <w:rFonts w:ascii="Calibri" w:eastAsia="Calibri" w:hAnsi="Calibri" w:cs="Calibri"/>
          <w:sz w:val="22"/>
          <w:szCs w:val="22"/>
        </w:rPr>
      </w:pPr>
    </w:p>
    <w:p w14:paraId="4111FB36" w14:textId="77777777" w:rsidR="00E60502" w:rsidRPr="008668AE" w:rsidRDefault="00E60502" w:rsidP="00E60502">
      <w:pPr>
        <w:pStyle w:val="Prrafodelista"/>
        <w:numPr>
          <w:ilvl w:val="0"/>
          <w:numId w:val="2"/>
        </w:numPr>
        <w:spacing w:line="264" w:lineRule="exact"/>
        <w:ind w:right="-20"/>
        <w:jc w:val="both"/>
        <w:rPr>
          <w:rFonts w:ascii="Calibri" w:eastAsia="Calibri" w:hAnsi="Calibri" w:cs="Calibri"/>
          <w:sz w:val="22"/>
          <w:szCs w:val="22"/>
        </w:rPr>
      </w:pPr>
      <w:r w:rsidRPr="008668AE">
        <w:rPr>
          <w:rFonts w:ascii="Calibri" w:eastAsia="Calibri" w:hAnsi="Calibri" w:cs="Calibri"/>
          <w:b/>
          <w:bCs/>
          <w:sz w:val="22"/>
          <w:szCs w:val="22"/>
        </w:rPr>
        <w:t xml:space="preserve">Intereses de cesantías: </w:t>
      </w:r>
      <w:r w:rsidRPr="008668AE">
        <w:rPr>
          <w:rFonts w:ascii="Calibri" w:eastAsia="Calibri" w:hAnsi="Calibri" w:cs="Calibri"/>
          <w:sz w:val="22"/>
          <w:szCs w:val="22"/>
        </w:rPr>
        <w:t>Del 1 de octubre de 2018 al 31 de octubre de 2020</w:t>
      </w:r>
    </w:p>
    <w:p w14:paraId="69DF10B8" w14:textId="77777777" w:rsidR="00E60502" w:rsidRPr="008668AE" w:rsidRDefault="00E60502" w:rsidP="00E60502">
      <w:pPr>
        <w:pStyle w:val="Prrafodelista"/>
        <w:spacing w:line="264" w:lineRule="exact"/>
        <w:ind w:right="-20"/>
        <w:jc w:val="both"/>
        <w:rPr>
          <w:rFonts w:ascii="Calibri" w:eastAsia="Calibri" w:hAnsi="Calibri" w:cs="Calibri"/>
          <w:b/>
          <w:bCs/>
          <w:sz w:val="22"/>
          <w:szCs w:val="22"/>
        </w:rPr>
      </w:pPr>
    </w:p>
    <w:p w14:paraId="2D915556" w14:textId="06C1C0A4" w:rsidR="00E60502" w:rsidRPr="008668AE" w:rsidRDefault="00E60502" w:rsidP="00E60502">
      <w:pPr>
        <w:pStyle w:val="Prrafodelista"/>
        <w:numPr>
          <w:ilvl w:val="0"/>
          <w:numId w:val="3"/>
        </w:numPr>
        <w:spacing w:line="264" w:lineRule="exact"/>
        <w:ind w:right="-20"/>
        <w:jc w:val="both"/>
        <w:rPr>
          <w:rFonts w:ascii="Calibri" w:eastAsia="Calibri" w:hAnsi="Calibri" w:cs="Calibri"/>
          <w:sz w:val="22"/>
          <w:szCs w:val="22"/>
        </w:rPr>
      </w:pPr>
      <w:r w:rsidRPr="008668AE">
        <w:rPr>
          <w:rFonts w:ascii="Calibri" w:eastAsia="Calibri" w:hAnsi="Calibri" w:cs="Calibri"/>
          <w:sz w:val="22"/>
          <w:szCs w:val="22"/>
        </w:rPr>
        <w:t>2018: $64.642</w:t>
      </w:r>
    </w:p>
    <w:p w14:paraId="3B838CB3" w14:textId="3F093E44" w:rsidR="00E60502" w:rsidRPr="008668AE" w:rsidRDefault="00E60502" w:rsidP="00E60502">
      <w:pPr>
        <w:pStyle w:val="Prrafodelista"/>
        <w:numPr>
          <w:ilvl w:val="0"/>
          <w:numId w:val="3"/>
        </w:numPr>
        <w:spacing w:line="264" w:lineRule="exact"/>
        <w:ind w:right="-20"/>
        <w:jc w:val="both"/>
        <w:rPr>
          <w:rFonts w:ascii="Calibri" w:eastAsia="Calibri" w:hAnsi="Calibri" w:cs="Calibri"/>
          <w:sz w:val="22"/>
          <w:szCs w:val="22"/>
        </w:rPr>
      </w:pPr>
      <w:r w:rsidRPr="008668AE">
        <w:rPr>
          <w:rFonts w:ascii="Calibri" w:eastAsia="Calibri" w:hAnsi="Calibri" w:cs="Calibri"/>
          <w:sz w:val="22"/>
          <w:szCs w:val="22"/>
        </w:rPr>
        <w:t>2019: $1.011.670</w:t>
      </w:r>
    </w:p>
    <w:p w14:paraId="40B97B4E" w14:textId="0636080F" w:rsidR="00E60502" w:rsidRPr="008668AE" w:rsidRDefault="00E60502" w:rsidP="00E60502">
      <w:pPr>
        <w:pStyle w:val="Prrafodelista"/>
        <w:numPr>
          <w:ilvl w:val="0"/>
          <w:numId w:val="3"/>
        </w:numPr>
        <w:spacing w:line="264" w:lineRule="exact"/>
        <w:ind w:right="-20"/>
        <w:jc w:val="both"/>
        <w:rPr>
          <w:rFonts w:ascii="Calibri" w:eastAsia="Calibri" w:hAnsi="Calibri" w:cs="Calibri"/>
          <w:sz w:val="22"/>
          <w:szCs w:val="22"/>
        </w:rPr>
      </w:pPr>
      <w:r w:rsidRPr="008668AE">
        <w:rPr>
          <w:rFonts w:ascii="Calibri" w:eastAsia="Calibri" w:hAnsi="Calibri" w:cs="Calibri"/>
          <w:sz w:val="22"/>
          <w:szCs w:val="22"/>
        </w:rPr>
        <w:t>2020: $707.240</w:t>
      </w:r>
    </w:p>
    <w:p w14:paraId="26BC35BB" w14:textId="543D01EC" w:rsidR="00E60502" w:rsidRPr="008668AE" w:rsidRDefault="00E60502" w:rsidP="00E60502">
      <w:pPr>
        <w:pStyle w:val="Prrafodelista"/>
        <w:numPr>
          <w:ilvl w:val="0"/>
          <w:numId w:val="3"/>
        </w:numPr>
        <w:spacing w:line="264" w:lineRule="exact"/>
        <w:ind w:right="-20"/>
        <w:jc w:val="both"/>
        <w:rPr>
          <w:rFonts w:ascii="Calibri" w:eastAsia="Calibri" w:hAnsi="Calibri" w:cs="Calibri"/>
          <w:sz w:val="22"/>
          <w:szCs w:val="22"/>
        </w:rPr>
      </w:pPr>
      <w:r w:rsidRPr="008668AE">
        <w:rPr>
          <w:rFonts w:ascii="Calibri" w:eastAsia="Calibri" w:hAnsi="Calibri" w:cs="Calibri"/>
          <w:b/>
          <w:bCs/>
          <w:sz w:val="22"/>
          <w:szCs w:val="22"/>
        </w:rPr>
        <w:t xml:space="preserve">Total: </w:t>
      </w:r>
      <w:r w:rsidRPr="008668AE">
        <w:rPr>
          <w:rFonts w:ascii="Calibri" w:eastAsia="Calibri" w:hAnsi="Calibri" w:cs="Calibri"/>
          <w:sz w:val="22"/>
          <w:szCs w:val="22"/>
        </w:rPr>
        <w:t>$1.783.553</w:t>
      </w:r>
    </w:p>
    <w:p w14:paraId="10333876" w14:textId="1D660AF9" w:rsidR="00E60502" w:rsidRPr="008668AE" w:rsidRDefault="00E60502" w:rsidP="00E60502">
      <w:pPr>
        <w:pStyle w:val="Prrafodelista"/>
        <w:spacing w:line="264" w:lineRule="exact"/>
        <w:ind w:right="-20"/>
        <w:jc w:val="both"/>
        <w:rPr>
          <w:rFonts w:ascii="Calibri" w:eastAsia="Calibri" w:hAnsi="Calibri" w:cs="Calibri"/>
          <w:b/>
          <w:bCs/>
          <w:sz w:val="22"/>
          <w:szCs w:val="22"/>
        </w:rPr>
      </w:pPr>
    </w:p>
    <w:p w14:paraId="0717FF85" w14:textId="77777777" w:rsidR="00E60502" w:rsidRPr="008668AE" w:rsidRDefault="00E60502" w:rsidP="00E60502">
      <w:pPr>
        <w:pStyle w:val="Prrafodelista"/>
        <w:numPr>
          <w:ilvl w:val="0"/>
          <w:numId w:val="2"/>
        </w:numPr>
        <w:spacing w:line="264" w:lineRule="exact"/>
        <w:ind w:right="-20"/>
        <w:jc w:val="both"/>
        <w:rPr>
          <w:rFonts w:ascii="Calibri" w:eastAsia="Calibri" w:hAnsi="Calibri" w:cs="Calibri"/>
          <w:sz w:val="22"/>
          <w:szCs w:val="22"/>
        </w:rPr>
      </w:pPr>
      <w:r w:rsidRPr="008668AE">
        <w:rPr>
          <w:rFonts w:ascii="Calibri" w:eastAsia="Calibri" w:hAnsi="Calibri" w:cs="Calibri"/>
          <w:b/>
          <w:bCs/>
          <w:sz w:val="22"/>
          <w:szCs w:val="22"/>
        </w:rPr>
        <w:t xml:space="preserve">Prima de servicios: </w:t>
      </w:r>
      <w:r w:rsidRPr="008668AE">
        <w:rPr>
          <w:rFonts w:ascii="Calibri" w:eastAsia="Calibri" w:hAnsi="Calibri" w:cs="Calibri"/>
          <w:sz w:val="22"/>
          <w:szCs w:val="22"/>
        </w:rPr>
        <w:t>Del 1 de octubre de 2018 al 31 de octubre de 2020</w:t>
      </w:r>
    </w:p>
    <w:p w14:paraId="3EB24192" w14:textId="77777777" w:rsidR="00E60502" w:rsidRPr="008668AE" w:rsidRDefault="00E60502" w:rsidP="00E60502">
      <w:pPr>
        <w:pStyle w:val="Prrafodelista"/>
        <w:spacing w:line="264" w:lineRule="exact"/>
        <w:ind w:right="-20"/>
        <w:jc w:val="both"/>
        <w:rPr>
          <w:rFonts w:ascii="Calibri" w:eastAsia="Calibri" w:hAnsi="Calibri" w:cs="Calibri"/>
          <w:b/>
          <w:bCs/>
          <w:sz w:val="22"/>
          <w:szCs w:val="22"/>
        </w:rPr>
      </w:pPr>
    </w:p>
    <w:p w14:paraId="578A56FA" w14:textId="228AF2EC" w:rsidR="00E60502" w:rsidRPr="008668AE" w:rsidRDefault="00E60502" w:rsidP="00E60502">
      <w:pPr>
        <w:pStyle w:val="Prrafodelista"/>
        <w:numPr>
          <w:ilvl w:val="0"/>
          <w:numId w:val="3"/>
        </w:numPr>
        <w:spacing w:line="264" w:lineRule="exact"/>
        <w:ind w:right="-20"/>
        <w:jc w:val="both"/>
        <w:rPr>
          <w:rFonts w:ascii="Calibri" w:eastAsia="Calibri" w:hAnsi="Calibri" w:cs="Calibri"/>
          <w:sz w:val="22"/>
          <w:szCs w:val="22"/>
        </w:rPr>
      </w:pPr>
      <w:r w:rsidRPr="008668AE">
        <w:rPr>
          <w:rFonts w:ascii="Calibri" w:eastAsia="Calibri" w:hAnsi="Calibri" w:cs="Calibri"/>
          <w:sz w:val="22"/>
          <w:szCs w:val="22"/>
        </w:rPr>
        <w:t>2018: $2.131.065</w:t>
      </w:r>
    </w:p>
    <w:p w14:paraId="7137A5F6" w14:textId="7055E085" w:rsidR="00E60502" w:rsidRPr="008668AE" w:rsidRDefault="00E60502" w:rsidP="00E60502">
      <w:pPr>
        <w:pStyle w:val="Prrafodelista"/>
        <w:numPr>
          <w:ilvl w:val="0"/>
          <w:numId w:val="3"/>
        </w:numPr>
        <w:spacing w:line="264" w:lineRule="exact"/>
        <w:ind w:right="-20"/>
        <w:jc w:val="both"/>
        <w:rPr>
          <w:rFonts w:ascii="Calibri" w:eastAsia="Calibri" w:hAnsi="Calibri" w:cs="Calibri"/>
          <w:sz w:val="22"/>
          <w:szCs w:val="22"/>
        </w:rPr>
      </w:pPr>
      <w:r w:rsidRPr="008668AE">
        <w:rPr>
          <w:rFonts w:ascii="Calibri" w:eastAsia="Calibri" w:hAnsi="Calibri" w:cs="Calibri"/>
          <w:sz w:val="22"/>
          <w:szCs w:val="22"/>
        </w:rPr>
        <w:t>2019: $8.430.587</w:t>
      </w:r>
    </w:p>
    <w:p w14:paraId="7EE6B2D8" w14:textId="75C446E1" w:rsidR="00E60502" w:rsidRPr="008668AE" w:rsidRDefault="00E60502" w:rsidP="00E60502">
      <w:pPr>
        <w:pStyle w:val="Prrafodelista"/>
        <w:numPr>
          <w:ilvl w:val="0"/>
          <w:numId w:val="3"/>
        </w:numPr>
        <w:spacing w:line="264" w:lineRule="exact"/>
        <w:ind w:right="-20"/>
        <w:jc w:val="both"/>
        <w:rPr>
          <w:rFonts w:ascii="Calibri" w:eastAsia="Calibri" w:hAnsi="Calibri" w:cs="Calibri"/>
          <w:sz w:val="22"/>
          <w:szCs w:val="22"/>
        </w:rPr>
      </w:pPr>
      <w:r w:rsidRPr="008668AE">
        <w:rPr>
          <w:rFonts w:ascii="Calibri" w:eastAsia="Calibri" w:hAnsi="Calibri" w:cs="Calibri"/>
          <w:sz w:val="22"/>
          <w:szCs w:val="22"/>
        </w:rPr>
        <w:t>2020: $7.048.907</w:t>
      </w:r>
    </w:p>
    <w:p w14:paraId="7367F8A2" w14:textId="2EA14DB0" w:rsidR="00E60502" w:rsidRPr="008668AE" w:rsidRDefault="00E60502" w:rsidP="00E60502">
      <w:pPr>
        <w:pStyle w:val="Prrafodelista"/>
        <w:numPr>
          <w:ilvl w:val="0"/>
          <w:numId w:val="3"/>
        </w:numPr>
        <w:spacing w:line="264" w:lineRule="exact"/>
        <w:ind w:right="-20"/>
        <w:jc w:val="both"/>
        <w:rPr>
          <w:rFonts w:ascii="Calibri" w:eastAsia="Calibri" w:hAnsi="Calibri" w:cs="Calibri"/>
          <w:sz w:val="22"/>
          <w:szCs w:val="22"/>
        </w:rPr>
      </w:pPr>
      <w:r w:rsidRPr="008668AE">
        <w:rPr>
          <w:rFonts w:ascii="Calibri" w:eastAsia="Calibri" w:hAnsi="Calibri" w:cs="Calibri"/>
          <w:b/>
          <w:bCs/>
          <w:sz w:val="22"/>
          <w:szCs w:val="22"/>
        </w:rPr>
        <w:lastRenderedPageBreak/>
        <w:t xml:space="preserve">Total: </w:t>
      </w:r>
      <w:r w:rsidRPr="008668AE">
        <w:rPr>
          <w:rFonts w:ascii="Calibri" w:eastAsia="Calibri" w:hAnsi="Calibri" w:cs="Calibri"/>
          <w:sz w:val="22"/>
          <w:szCs w:val="22"/>
        </w:rPr>
        <w:t>$ $ 17.610.560</w:t>
      </w:r>
      <w:r w:rsidR="00B82B09">
        <w:rPr>
          <w:rFonts w:ascii="Calibri" w:eastAsia="Calibri" w:hAnsi="Calibri" w:cs="Calibri"/>
          <w:sz w:val="22"/>
          <w:szCs w:val="22"/>
        </w:rPr>
        <w:t xml:space="preserve"> </w:t>
      </w:r>
    </w:p>
    <w:p w14:paraId="79E84FD1" w14:textId="13C1CF87" w:rsidR="00E60502" w:rsidRPr="008668AE" w:rsidRDefault="00E60502" w:rsidP="00E60502">
      <w:pPr>
        <w:spacing w:line="264" w:lineRule="exact"/>
        <w:ind w:right="-20"/>
        <w:jc w:val="both"/>
        <w:rPr>
          <w:rFonts w:ascii="Calibri" w:eastAsia="Calibri" w:hAnsi="Calibri" w:cs="Calibri"/>
        </w:rPr>
      </w:pPr>
    </w:p>
    <w:p w14:paraId="627E0797" w14:textId="08832EE5" w:rsidR="00E60502" w:rsidRPr="00B82B09" w:rsidRDefault="00E60502" w:rsidP="00B82B09">
      <w:pPr>
        <w:pStyle w:val="Prrafodelista"/>
        <w:numPr>
          <w:ilvl w:val="0"/>
          <w:numId w:val="2"/>
        </w:numPr>
        <w:spacing w:line="264" w:lineRule="exact"/>
        <w:ind w:right="-20"/>
        <w:jc w:val="both"/>
        <w:rPr>
          <w:rFonts w:ascii="Calibri" w:eastAsia="Calibri" w:hAnsi="Calibri" w:cs="Calibri"/>
          <w:sz w:val="22"/>
          <w:szCs w:val="22"/>
          <w:lang w:val="es-CO"/>
        </w:rPr>
      </w:pPr>
      <w:r w:rsidRPr="008668AE">
        <w:rPr>
          <w:rFonts w:ascii="Calibri" w:eastAsia="Calibri" w:hAnsi="Calibri" w:cs="Calibri"/>
          <w:b/>
          <w:bCs/>
          <w:sz w:val="22"/>
          <w:szCs w:val="22"/>
        </w:rPr>
        <w:t xml:space="preserve">Indemnización artículo 65: </w:t>
      </w:r>
      <w:r w:rsidR="00B82B09" w:rsidRPr="008668AE">
        <w:rPr>
          <w:rFonts w:ascii="Calibri" w:eastAsia="Calibri" w:hAnsi="Calibri" w:cs="Calibri"/>
          <w:sz w:val="22"/>
          <w:szCs w:val="22"/>
        </w:rPr>
        <w:t xml:space="preserve">No se No se reconoce, teniendo en cuenta que existen pronunciamientos del Consejo de Estado que indican que es improcedente, </w:t>
      </w:r>
      <w:r w:rsidR="00B82B09">
        <w:rPr>
          <w:rFonts w:ascii="Calibri" w:eastAsia="Calibri" w:hAnsi="Calibri" w:cs="Calibri"/>
          <w:sz w:val="22"/>
          <w:szCs w:val="22"/>
          <w:lang w:val="es-CO"/>
        </w:rPr>
        <w:t>debido a</w:t>
      </w:r>
      <w:r w:rsidR="00B82B09" w:rsidRPr="008668AE">
        <w:rPr>
          <w:rFonts w:ascii="Calibri" w:eastAsia="Calibri" w:hAnsi="Calibri" w:cs="Calibri"/>
          <w:sz w:val="22"/>
          <w:szCs w:val="22"/>
          <w:lang w:val="es-CO"/>
        </w:rPr>
        <w:t xml:space="preserve"> que la decisión que declara la relación laboral </w:t>
      </w:r>
      <w:r w:rsidR="00B82B09">
        <w:rPr>
          <w:rFonts w:ascii="Calibri" w:eastAsia="Calibri" w:hAnsi="Calibri" w:cs="Calibri"/>
          <w:sz w:val="22"/>
          <w:szCs w:val="22"/>
          <w:lang w:val="es-CO"/>
        </w:rPr>
        <w:t>de una eventual sentencia condenatoria</w:t>
      </w:r>
      <w:r w:rsidR="00B82B09" w:rsidRPr="008668AE">
        <w:rPr>
          <w:rFonts w:ascii="Calibri" w:eastAsia="Calibri" w:hAnsi="Calibri" w:cs="Calibri"/>
          <w:sz w:val="22"/>
          <w:szCs w:val="22"/>
          <w:lang w:val="es-CO"/>
        </w:rPr>
        <w:t xml:space="preserve"> es constitutiva de derechos, y a partir de esta nacen los derechos laborales exigidos en la demanda, por ello, no es procedente en la medida en que la obligación de pagar las prestaciones sociales, incluido el auxilio de cesantías, surge a partir de la expedición de la sentencia que reconoce la relación laboral. </w:t>
      </w:r>
      <w:r w:rsidR="00B82B09">
        <w:rPr>
          <w:rFonts w:ascii="Calibri" w:eastAsia="Calibri" w:hAnsi="Calibri" w:cs="Calibri"/>
          <w:sz w:val="22"/>
          <w:szCs w:val="22"/>
          <w:lang w:val="es-CO"/>
        </w:rPr>
        <w:t xml:space="preserve">Ver sentencia: </w:t>
      </w:r>
      <w:r w:rsidR="00B82B09" w:rsidRPr="00B82B09">
        <w:rPr>
          <w:rFonts w:ascii="Calibri" w:eastAsia="Calibri" w:hAnsi="Calibri" w:cs="Calibri"/>
          <w:sz w:val="22"/>
          <w:szCs w:val="22"/>
          <w:lang w:val="es-CO"/>
        </w:rPr>
        <w:t xml:space="preserve">Radicado: 05001-23-33-000-2015-00589-02 </w:t>
      </w:r>
      <w:proofErr w:type="spellStart"/>
      <w:r w:rsidR="00B82B09" w:rsidRPr="00B82B09">
        <w:rPr>
          <w:rFonts w:ascii="Calibri" w:eastAsia="Calibri" w:hAnsi="Calibri" w:cs="Calibri"/>
          <w:sz w:val="22"/>
          <w:szCs w:val="22"/>
          <w:lang w:val="es-CO"/>
        </w:rPr>
        <w:t>Nº</w:t>
      </w:r>
      <w:proofErr w:type="spellEnd"/>
      <w:r w:rsidR="00B82B09" w:rsidRPr="00B82B09">
        <w:rPr>
          <w:rFonts w:ascii="Calibri" w:eastAsia="Calibri" w:hAnsi="Calibri" w:cs="Calibri"/>
          <w:sz w:val="22"/>
          <w:szCs w:val="22"/>
          <w:lang w:val="es-CO"/>
        </w:rPr>
        <w:t xml:space="preserve"> Interno: 1241-2023 Medio de control: Nulidad y restablecimiento del derecho – Ley 1437 de 2011 Tema: Contrato realidad</w:t>
      </w:r>
      <w:r w:rsidR="00B82B09">
        <w:rPr>
          <w:rFonts w:ascii="Calibri" w:eastAsia="Calibri" w:hAnsi="Calibri" w:cs="Calibri"/>
          <w:sz w:val="22"/>
          <w:szCs w:val="22"/>
          <w:lang w:val="es-CO"/>
        </w:rPr>
        <w:t xml:space="preserve"> </w:t>
      </w:r>
    </w:p>
    <w:p w14:paraId="2ED737E0" w14:textId="77777777" w:rsidR="008C59D7" w:rsidRPr="008668AE" w:rsidRDefault="008C59D7" w:rsidP="008C59D7">
      <w:pPr>
        <w:pStyle w:val="Prrafodelista"/>
        <w:spacing w:line="264" w:lineRule="exact"/>
        <w:ind w:right="-20"/>
        <w:jc w:val="both"/>
        <w:rPr>
          <w:rFonts w:ascii="Calibri" w:eastAsia="Calibri" w:hAnsi="Calibri" w:cs="Calibri"/>
          <w:b/>
          <w:bCs/>
          <w:sz w:val="22"/>
          <w:szCs w:val="22"/>
        </w:rPr>
      </w:pPr>
    </w:p>
    <w:p w14:paraId="5F2E2B83" w14:textId="59803314" w:rsidR="008C59D7" w:rsidRPr="008668AE" w:rsidRDefault="008C59D7" w:rsidP="00E60502">
      <w:pPr>
        <w:pStyle w:val="Prrafodelista"/>
        <w:numPr>
          <w:ilvl w:val="0"/>
          <w:numId w:val="2"/>
        </w:numPr>
        <w:spacing w:line="264" w:lineRule="exact"/>
        <w:ind w:right="-20"/>
        <w:jc w:val="both"/>
        <w:rPr>
          <w:rFonts w:ascii="Calibri" w:eastAsia="Calibri" w:hAnsi="Calibri" w:cs="Calibri"/>
          <w:b/>
          <w:bCs/>
          <w:sz w:val="22"/>
          <w:szCs w:val="22"/>
        </w:rPr>
      </w:pPr>
      <w:r w:rsidRPr="008668AE">
        <w:rPr>
          <w:rFonts w:ascii="Calibri" w:eastAsia="Calibri" w:hAnsi="Calibri" w:cs="Calibri"/>
          <w:b/>
          <w:bCs/>
          <w:sz w:val="22"/>
          <w:szCs w:val="22"/>
        </w:rPr>
        <w:t xml:space="preserve">Indemnización despido sin justa causa: </w:t>
      </w:r>
      <w:r w:rsidR="008668AE" w:rsidRPr="008668AE">
        <w:rPr>
          <w:rFonts w:ascii="Calibri" w:eastAsia="Calibri" w:hAnsi="Calibri" w:cs="Calibri"/>
          <w:sz w:val="22"/>
          <w:szCs w:val="22"/>
        </w:rPr>
        <w:t xml:space="preserve">No se reconoce, teniendo en cuenta que existen pronunciamientos del Consejo de Estado que indican que es improcedente comoquiera que la demandante no se vinculó a través de un contrato de trabajo. </w:t>
      </w:r>
      <w:r w:rsidR="00B82B09">
        <w:rPr>
          <w:rFonts w:ascii="Calibri" w:eastAsia="Calibri" w:hAnsi="Calibri" w:cs="Calibri"/>
          <w:sz w:val="22"/>
          <w:szCs w:val="22"/>
        </w:rPr>
        <w:t xml:space="preserve">Ver sentencia: </w:t>
      </w:r>
      <w:r w:rsidR="00B82B09" w:rsidRPr="00B82B09">
        <w:rPr>
          <w:rFonts w:ascii="Calibri" w:eastAsia="Calibri" w:hAnsi="Calibri" w:cs="Calibri"/>
          <w:sz w:val="22"/>
          <w:szCs w:val="22"/>
        </w:rPr>
        <w:t>CONSEJO DE ESTADO SALA DE LO CONTENCIOSO ADMINISTRATIVO SECCIÓN SEGUNDA - SUBSECCIÓN A MAGISTRADO PONENTE: LUIS EDUARDO MESA NIEVES Bogotá D.C., veinte (20) de noviembre de dos mil veinticuatro (2024) Referencia: Nulidad y restablecimiento del derecho Radicación: 63001233300020190017401 (1533-2021)</w:t>
      </w:r>
    </w:p>
    <w:p w14:paraId="1361DB53" w14:textId="76BA5BE7" w:rsidR="00E60502" w:rsidRPr="00B82B09" w:rsidRDefault="00E60502" w:rsidP="00B82B09">
      <w:pPr>
        <w:spacing w:line="264" w:lineRule="exact"/>
        <w:ind w:right="-20"/>
        <w:jc w:val="both"/>
        <w:rPr>
          <w:rFonts w:ascii="Calibri" w:eastAsia="Calibri" w:hAnsi="Calibri" w:cs="Calibri"/>
          <w:b/>
          <w:bCs/>
        </w:rPr>
      </w:pPr>
    </w:p>
    <w:p w14:paraId="56EA718D" w14:textId="549A4A65" w:rsidR="008668AE" w:rsidRPr="008668AE" w:rsidRDefault="00BF0E59" w:rsidP="008668AE">
      <w:pPr>
        <w:pStyle w:val="Prrafodelista"/>
        <w:numPr>
          <w:ilvl w:val="0"/>
          <w:numId w:val="2"/>
        </w:numPr>
        <w:spacing w:line="264" w:lineRule="exact"/>
        <w:ind w:right="-20"/>
        <w:jc w:val="both"/>
        <w:rPr>
          <w:rFonts w:ascii="Calibri" w:eastAsia="Calibri" w:hAnsi="Calibri" w:cs="Calibri"/>
          <w:sz w:val="22"/>
          <w:szCs w:val="22"/>
        </w:rPr>
      </w:pPr>
      <w:r w:rsidRPr="008668AE">
        <w:rPr>
          <w:rFonts w:ascii="Calibri" w:eastAsia="Calibri" w:hAnsi="Calibri" w:cs="Calibri"/>
          <w:b/>
          <w:bCs/>
          <w:sz w:val="22"/>
          <w:szCs w:val="22"/>
        </w:rPr>
        <w:t xml:space="preserve">Por concepto de perjuicios morales: </w:t>
      </w:r>
      <w:r w:rsidR="008C59D7" w:rsidRPr="008668AE">
        <w:rPr>
          <w:rFonts w:ascii="Calibri" w:eastAsia="Calibri" w:hAnsi="Calibri" w:cs="Calibri"/>
          <w:sz w:val="22"/>
          <w:szCs w:val="22"/>
        </w:rPr>
        <w:t>No se reconocen, pues no se encuentran acreditados.</w:t>
      </w:r>
    </w:p>
    <w:p w14:paraId="06DA3E6D" w14:textId="77777777" w:rsidR="008C59D7" w:rsidRPr="008668AE" w:rsidRDefault="008C59D7" w:rsidP="008C59D7">
      <w:pPr>
        <w:pStyle w:val="Prrafodelista"/>
        <w:rPr>
          <w:rFonts w:ascii="Calibri" w:eastAsia="Calibri" w:hAnsi="Calibri" w:cs="Calibri"/>
          <w:sz w:val="22"/>
          <w:szCs w:val="22"/>
        </w:rPr>
      </w:pPr>
    </w:p>
    <w:p w14:paraId="503F2831" w14:textId="13BE7027" w:rsidR="008C59D7" w:rsidRPr="008668AE" w:rsidRDefault="008C59D7" w:rsidP="00394358">
      <w:pPr>
        <w:pStyle w:val="Prrafodelista"/>
        <w:numPr>
          <w:ilvl w:val="0"/>
          <w:numId w:val="2"/>
        </w:numPr>
        <w:spacing w:line="264" w:lineRule="exact"/>
        <w:ind w:right="-20"/>
        <w:jc w:val="both"/>
        <w:rPr>
          <w:rFonts w:ascii="Calibri" w:eastAsia="Calibri" w:hAnsi="Calibri" w:cs="Calibri"/>
          <w:sz w:val="22"/>
          <w:szCs w:val="22"/>
        </w:rPr>
      </w:pPr>
      <w:r w:rsidRPr="008668AE">
        <w:rPr>
          <w:rFonts w:ascii="Calibri" w:eastAsia="Calibri" w:hAnsi="Calibri" w:cs="Calibri"/>
          <w:b/>
          <w:bCs/>
          <w:sz w:val="22"/>
          <w:szCs w:val="22"/>
        </w:rPr>
        <w:t xml:space="preserve">TOTAL: $ </w:t>
      </w:r>
      <w:r w:rsidR="00B82B09" w:rsidRPr="00B82B09">
        <w:rPr>
          <w:rFonts w:ascii="Calibri" w:eastAsia="Calibri" w:hAnsi="Calibri" w:cs="Calibri"/>
          <w:b/>
          <w:bCs/>
          <w:sz w:val="22"/>
          <w:szCs w:val="22"/>
        </w:rPr>
        <w:t>37.004.673</w:t>
      </w:r>
    </w:p>
    <w:p w14:paraId="60028CE4" w14:textId="77777777" w:rsidR="00237528" w:rsidRPr="008668AE" w:rsidRDefault="00237528" w:rsidP="00237528">
      <w:pPr>
        <w:jc w:val="both"/>
        <w:rPr>
          <w:b/>
          <w:bCs/>
        </w:rPr>
      </w:pPr>
    </w:p>
    <w:p w14:paraId="15A1B267" w14:textId="75E77985" w:rsidR="00237528" w:rsidRPr="008668AE" w:rsidRDefault="00237528" w:rsidP="00237528">
      <w:pPr>
        <w:jc w:val="both"/>
        <w:rPr>
          <w:b/>
          <w:bCs/>
        </w:rPr>
      </w:pPr>
      <w:r w:rsidRPr="008668AE">
        <w:rPr>
          <w:b/>
          <w:bCs/>
        </w:rPr>
        <w:t xml:space="preserve">Calificación de la contingencia: </w:t>
      </w:r>
      <w:r w:rsidR="007F431C" w:rsidRPr="008668AE">
        <w:rPr>
          <w:b/>
          <w:bCs/>
        </w:rPr>
        <w:t>REMOTA</w:t>
      </w:r>
    </w:p>
    <w:p w14:paraId="667DCE70" w14:textId="5B2F17BF" w:rsidR="0023604D" w:rsidRPr="008668AE" w:rsidRDefault="0023604D" w:rsidP="0023604D">
      <w:pPr>
        <w:tabs>
          <w:tab w:val="left" w:pos="3520"/>
        </w:tabs>
        <w:spacing w:after="0" w:line="264" w:lineRule="exact"/>
        <w:ind w:left="59" w:right="-20"/>
        <w:jc w:val="both"/>
        <w:rPr>
          <w:rFonts w:ascii="Calibri" w:eastAsia="Calibri" w:hAnsi="Calibri" w:cs="Calibri"/>
        </w:rPr>
      </w:pPr>
      <w:r w:rsidRPr="008668AE">
        <w:rPr>
          <w:rFonts w:ascii="Calibri" w:eastAsia="Calibri" w:hAnsi="Calibri" w:cs="Calibri"/>
        </w:rPr>
        <w:t>La calificación de la contingencia e</w:t>
      </w:r>
      <w:r w:rsidR="00CC7E92" w:rsidRPr="008668AE">
        <w:rPr>
          <w:rFonts w:ascii="Calibri" w:eastAsia="Calibri" w:hAnsi="Calibri" w:cs="Calibri"/>
        </w:rPr>
        <w:t xml:space="preserve">s </w:t>
      </w:r>
      <w:r w:rsidR="00CC7E92" w:rsidRPr="008668AE">
        <w:rPr>
          <w:rFonts w:ascii="Calibri" w:eastAsia="Calibri" w:hAnsi="Calibri" w:cs="Calibri"/>
          <w:b/>
          <w:bCs/>
        </w:rPr>
        <w:t>REMOTA</w:t>
      </w:r>
      <w:r w:rsidR="00394358" w:rsidRPr="008668AE">
        <w:rPr>
          <w:rFonts w:ascii="Calibri" w:eastAsia="Calibri" w:hAnsi="Calibri" w:cs="Calibri"/>
        </w:rPr>
        <w:t xml:space="preserve">, debido a que la Póliza </w:t>
      </w:r>
      <w:r w:rsidR="00CC7E92" w:rsidRPr="008668AE">
        <w:rPr>
          <w:rFonts w:ascii="Calibri" w:eastAsia="Calibri" w:hAnsi="Calibri" w:cs="Calibri"/>
        </w:rPr>
        <w:t xml:space="preserve">no </w:t>
      </w:r>
      <w:r w:rsidR="00394358" w:rsidRPr="008668AE">
        <w:rPr>
          <w:rFonts w:ascii="Calibri" w:eastAsia="Calibri" w:hAnsi="Calibri" w:cs="Calibri"/>
        </w:rPr>
        <w:t>presta cobertura material</w:t>
      </w:r>
      <w:r w:rsidR="00CC7E92" w:rsidRPr="008668AE">
        <w:rPr>
          <w:rFonts w:ascii="Calibri" w:eastAsia="Calibri" w:hAnsi="Calibri" w:cs="Calibri"/>
        </w:rPr>
        <w:t xml:space="preserve"> y además se configuró la prescripción de las acciones derivadas del contrato de seguro</w:t>
      </w:r>
      <w:r w:rsidR="00394358" w:rsidRPr="008668AE">
        <w:rPr>
          <w:rFonts w:ascii="Calibri" w:eastAsia="Calibri" w:hAnsi="Calibri" w:cs="Calibri"/>
        </w:rPr>
        <w:t xml:space="preserve"> y acreditar o desvirtuar la responsabilidad del asegurado dependerá del debate probatorio que se surta en el desarrollo del proceso. </w:t>
      </w:r>
    </w:p>
    <w:p w14:paraId="3F6477D1" w14:textId="77777777" w:rsidR="00394358" w:rsidRPr="008668AE" w:rsidRDefault="00394358" w:rsidP="0023604D">
      <w:pPr>
        <w:tabs>
          <w:tab w:val="left" w:pos="3520"/>
        </w:tabs>
        <w:spacing w:after="0" w:line="264" w:lineRule="exact"/>
        <w:ind w:left="59" w:right="-20"/>
        <w:jc w:val="both"/>
        <w:rPr>
          <w:rFonts w:ascii="Calibri" w:eastAsia="Calibri" w:hAnsi="Calibri" w:cs="Calibri"/>
        </w:rPr>
      </w:pPr>
    </w:p>
    <w:p w14:paraId="036584D2" w14:textId="5DC0B35F" w:rsidR="0023604D" w:rsidRPr="008668AE" w:rsidRDefault="0023604D" w:rsidP="0023604D">
      <w:pPr>
        <w:tabs>
          <w:tab w:val="left" w:pos="3520"/>
        </w:tabs>
        <w:spacing w:after="0" w:line="264" w:lineRule="exact"/>
        <w:ind w:left="59" w:right="-20"/>
        <w:jc w:val="both"/>
        <w:rPr>
          <w:rFonts w:ascii="Calibri" w:eastAsia="Calibri" w:hAnsi="Calibri" w:cs="Calibri"/>
        </w:rPr>
      </w:pPr>
      <w:r w:rsidRPr="008668AE">
        <w:rPr>
          <w:rFonts w:ascii="Calibri" w:eastAsia="Calibri" w:hAnsi="Calibri" w:cs="Calibri"/>
        </w:rPr>
        <w:t>Respecto al contrato de seguro</w:t>
      </w:r>
      <w:r w:rsidR="00394358" w:rsidRPr="008668AE">
        <w:rPr>
          <w:rFonts w:ascii="Calibri" w:eastAsia="Calibri" w:hAnsi="Calibri" w:cs="Calibri"/>
        </w:rPr>
        <w:t xml:space="preserve"> pactado en la</w:t>
      </w:r>
      <w:r w:rsidR="0036098E" w:rsidRPr="008668AE">
        <w:rPr>
          <w:rFonts w:ascii="Calibri" w:eastAsia="Calibri" w:hAnsi="Calibri" w:cs="Calibri"/>
        </w:rPr>
        <w:t>s</w:t>
      </w:r>
      <w:r w:rsidR="00394358" w:rsidRPr="008668AE">
        <w:rPr>
          <w:rFonts w:ascii="Calibri" w:eastAsia="Calibri" w:hAnsi="Calibri" w:cs="Calibri"/>
        </w:rPr>
        <w:t xml:space="preserve"> Póliza</w:t>
      </w:r>
      <w:r w:rsidR="0036098E" w:rsidRPr="008668AE">
        <w:rPr>
          <w:rFonts w:ascii="Calibri" w:eastAsia="Calibri" w:hAnsi="Calibri" w:cs="Calibri"/>
        </w:rPr>
        <w:t>s</w:t>
      </w:r>
      <w:r w:rsidR="00394358" w:rsidRPr="008668AE">
        <w:rPr>
          <w:rFonts w:ascii="Calibri" w:eastAsia="Calibri" w:hAnsi="Calibri" w:cs="Calibri"/>
        </w:rPr>
        <w:t xml:space="preserve"> de </w:t>
      </w:r>
      <w:r w:rsidR="0036098E" w:rsidRPr="008668AE">
        <w:rPr>
          <w:rFonts w:ascii="Calibri" w:eastAsia="Calibri" w:hAnsi="Calibri" w:cs="Calibri"/>
        </w:rPr>
        <w:t>cumplimiento en favor de entidades estatales No. GU073380, GU075040, GU075404, GU076654</w:t>
      </w:r>
      <w:r w:rsidRPr="008668AE">
        <w:rPr>
          <w:rFonts w:ascii="Calibri" w:eastAsia="Calibri" w:hAnsi="Calibri" w:cs="Calibri"/>
        </w:rPr>
        <w:t>,</w:t>
      </w:r>
      <w:r w:rsidR="00394358" w:rsidRPr="008668AE">
        <w:rPr>
          <w:rFonts w:ascii="Calibri" w:eastAsia="Calibri" w:hAnsi="Calibri" w:cs="Calibri"/>
        </w:rPr>
        <w:t xml:space="preserve"> se debe indicar que </w:t>
      </w:r>
      <w:r w:rsidR="0036098E" w:rsidRPr="008668AE">
        <w:rPr>
          <w:rFonts w:ascii="Calibri" w:eastAsia="Calibri" w:hAnsi="Calibri" w:cs="Calibri"/>
        </w:rPr>
        <w:t>éstas no</w:t>
      </w:r>
      <w:r w:rsidR="00394358" w:rsidRPr="008668AE">
        <w:rPr>
          <w:rFonts w:ascii="Calibri" w:eastAsia="Calibri" w:hAnsi="Calibri" w:cs="Calibri"/>
        </w:rPr>
        <w:t xml:space="preserve"> presta</w:t>
      </w:r>
      <w:r w:rsidR="0036098E" w:rsidRPr="008668AE">
        <w:rPr>
          <w:rFonts w:ascii="Calibri" w:eastAsia="Calibri" w:hAnsi="Calibri" w:cs="Calibri"/>
        </w:rPr>
        <w:t>n</w:t>
      </w:r>
      <w:r w:rsidR="00394358" w:rsidRPr="008668AE">
        <w:rPr>
          <w:rFonts w:ascii="Calibri" w:eastAsia="Calibri" w:hAnsi="Calibri" w:cs="Calibri"/>
        </w:rPr>
        <w:t xml:space="preserve"> cobertura material,</w:t>
      </w:r>
      <w:r w:rsidR="0036098E" w:rsidRPr="008668AE">
        <w:rPr>
          <w:rFonts w:ascii="Calibri" w:eastAsia="Calibri" w:hAnsi="Calibri" w:cs="Calibri"/>
        </w:rPr>
        <w:t xml:space="preserve"> por cuanto, el objeto de amparo de cada una de ellas es el incumplimiento de las obligaciones laborales en que haya incurrido la Asociación Gremial Especializada en Salud del Occidente – AGESOC y que generen una consecuencia negativa en contra del asegurado HOSPITAL UNIVERSITARIO DEL VALLE; situación que no está siendo objeto de debate en el litigio, debido a que, lo que pretende el medio de control es declarar la existencia de una relación laboral entre la demandante y el HOSPITAL UNIVERSITARIO DEL VALLE, Así las cosas, es claro que el contrato de seguro no ampara los incumplimientos en los que directamente llegare a incurrir el HOSPITAL UNIVERSITARIO DEL VALLE</w:t>
      </w:r>
      <w:r w:rsidR="00394358" w:rsidRPr="008668AE">
        <w:rPr>
          <w:rFonts w:ascii="Calibri" w:eastAsia="Calibri" w:hAnsi="Calibri" w:cs="Calibri"/>
        </w:rPr>
        <w:t xml:space="preserve">. </w:t>
      </w:r>
      <w:r w:rsidR="0036098E" w:rsidRPr="008668AE">
        <w:rPr>
          <w:rFonts w:ascii="Calibri" w:eastAsia="Calibri" w:hAnsi="Calibri" w:cs="Calibri"/>
        </w:rPr>
        <w:t>Respecto a la</w:t>
      </w:r>
      <w:r w:rsidRPr="008668AE">
        <w:rPr>
          <w:rFonts w:ascii="Calibri" w:eastAsia="Calibri" w:hAnsi="Calibri" w:cs="Calibri"/>
        </w:rPr>
        <w:t xml:space="preserve"> cobertura temporal, </w:t>
      </w:r>
      <w:r w:rsidR="0036098E" w:rsidRPr="008668AE">
        <w:rPr>
          <w:rFonts w:ascii="Calibri" w:eastAsia="Calibri" w:hAnsi="Calibri" w:cs="Calibri"/>
        </w:rPr>
        <w:t xml:space="preserve">es necesario indicar que las Pólizas de cumplimiento cuentan con las siguientes vigencias: </w:t>
      </w:r>
      <w:r w:rsidR="0036098E" w:rsidRPr="008668AE">
        <w:rPr>
          <w:rFonts w:ascii="Calibri" w:eastAsia="Calibri" w:hAnsi="Calibri" w:cs="Calibri"/>
          <w:i/>
          <w:iCs/>
        </w:rPr>
        <w:t xml:space="preserve">i) GU073380: </w:t>
      </w:r>
      <w:r w:rsidR="0036098E" w:rsidRPr="008668AE">
        <w:rPr>
          <w:rFonts w:ascii="Calibri" w:eastAsia="Calibri" w:hAnsi="Calibri" w:cs="Calibri"/>
        </w:rPr>
        <w:t xml:space="preserve">desde el 1 de marzo de 2018 hasta el 30 de septiembre de 2021; </w:t>
      </w:r>
      <w:proofErr w:type="spellStart"/>
      <w:r w:rsidR="0036098E" w:rsidRPr="008668AE">
        <w:rPr>
          <w:rFonts w:ascii="Calibri" w:eastAsia="Calibri" w:hAnsi="Calibri" w:cs="Calibri"/>
          <w:i/>
          <w:iCs/>
        </w:rPr>
        <w:t>ii</w:t>
      </w:r>
      <w:proofErr w:type="spellEnd"/>
      <w:r w:rsidR="0036098E" w:rsidRPr="008668AE">
        <w:rPr>
          <w:rFonts w:ascii="Calibri" w:eastAsia="Calibri" w:hAnsi="Calibri" w:cs="Calibri"/>
          <w:i/>
          <w:iCs/>
        </w:rPr>
        <w:t xml:space="preserve">) GU075040: </w:t>
      </w:r>
      <w:r w:rsidR="00077738" w:rsidRPr="008668AE">
        <w:rPr>
          <w:rFonts w:ascii="Calibri" w:eastAsia="Calibri" w:hAnsi="Calibri" w:cs="Calibri"/>
        </w:rPr>
        <w:t xml:space="preserve">1 de enero de 2019 hasta el 28 de febrero de 2022; </w:t>
      </w:r>
      <w:proofErr w:type="spellStart"/>
      <w:r w:rsidR="00077738" w:rsidRPr="008668AE">
        <w:rPr>
          <w:rFonts w:ascii="Calibri" w:eastAsia="Calibri" w:hAnsi="Calibri" w:cs="Calibri"/>
          <w:i/>
          <w:iCs/>
        </w:rPr>
        <w:t>iii</w:t>
      </w:r>
      <w:proofErr w:type="spellEnd"/>
      <w:r w:rsidR="00077738" w:rsidRPr="008668AE">
        <w:rPr>
          <w:rFonts w:ascii="Calibri" w:eastAsia="Calibri" w:hAnsi="Calibri" w:cs="Calibri"/>
          <w:i/>
          <w:iCs/>
        </w:rPr>
        <w:t xml:space="preserve">) GU075404: </w:t>
      </w:r>
      <w:r w:rsidR="00077738" w:rsidRPr="008668AE">
        <w:rPr>
          <w:rFonts w:ascii="Calibri" w:eastAsia="Calibri" w:hAnsi="Calibri" w:cs="Calibri"/>
        </w:rPr>
        <w:t xml:space="preserve">1 de marzo de 2019 hasta el 31 de octubre de 2022; </w:t>
      </w:r>
      <w:proofErr w:type="spellStart"/>
      <w:r w:rsidR="00077738" w:rsidRPr="008668AE">
        <w:rPr>
          <w:rFonts w:ascii="Calibri" w:eastAsia="Calibri" w:hAnsi="Calibri" w:cs="Calibri"/>
          <w:i/>
          <w:iCs/>
        </w:rPr>
        <w:t>iv</w:t>
      </w:r>
      <w:proofErr w:type="spellEnd"/>
      <w:r w:rsidR="00077738" w:rsidRPr="008668AE">
        <w:rPr>
          <w:rFonts w:ascii="Calibri" w:eastAsia="Calibri" w:hAnsi="Calibri" w:cs="Calibri"/>
          <w:i/>
          <w:iCs/>
        </w:rPr>
        <w:t xml:space="preserve">) GU076654: </w:t>
      </w:r>
      <w:r w:rsidR="00077738" w:rsidRPr="008668AE">
        <w:rPr>
          <w:rFonts w:ascii="Calibri" w:eastAsia="Calibri" w:hAnsi="Calibri" w:cs="Calibri"/>
        </w:rPr>
        <w:t xml:space="preserve">1 de enero de 2020 hasta el 31 de enero de 2023; todas, se pactaron bajo la modalidad de ocurrencia, por lo que cubren los siniestros que se presenten en la vigencia de la Póliza. Finalmente, respecto al llamamiento en garantía, es necesario poner de presente que fue realizado por la ASOCIACION </w:t>
      </w:r>
      <w:r w:rsidR="00077738" w:rsidRPr="008668AE">
        <w:rPr>
          <w:rFonts w:ascii="Calibri" w:eastAsia="Calibri" w:hAnsi="Calibri" w:cs="Calibri"/>
        </w:rPr>
        <w:lastRenderedPageBreak/>
        <w:t>GREMIAL ESPECIALIZADA EN SALUD DEL OCCIDENTE – AGESOC, entidad que no cuenta con legitimación en la causa por activa, pues no figura como el asegurado</w:t>
      </w:r>
      <w:r w:rsidR="00E364ED" w:rsidRPr="008668AE">
        <w:rPr>
          <w:rFonts w:ascii="Calibri" w:eastAsia="Calibri" w:hAnsi="Calibri" w:cs="Calibri"/>
        </w:rPr>
        <w:t xml:space="preserve"> y/o beneficiario</w:t>
      </w:r>
      <w:r w:rsidR="00077738" w:rsidRPr="008668AE">
        <w:rPr>
          <w:rFonts w:ascii="Calibri" w:eastAsia="Calibri" w:hAnsi="Calibri" w:cs="Calibri"/>
        </w:rPr>
        <w:t xml:space="preserve"> de las Pólizas, sino únicamente como tomador, por lo que no le es posible reclamar algún tipo de indemnización, comoquiera que el asegurado es el HOSPITAL UNIVERSITARIO DEL VALLE, cuyo patrimonio es el que se encuentra amparado</w:t>
      </w:r>
      <w:r w:rsidR="00E364ED" w:rsidRPr="008668AE">
        <w:rPr>
          <w:rFonts w:ascii="Calibri" w:eastAsia="Calibri" w:hAnsi="Calibri" w:cs="Calibri"/>
        </w:rPr>
        <w:t xml:space="preserve"> de los perjuicios ocasionados por el incumplimiento de las obligaciones laborales del contratista derivadas de la contratación del personal utilizado en el territorio nacional para la ejecución del contrato amparado</w:t>
      </w:r>
      <w:r w:rsidR="00077738" w:rsidRPr="008668AE">
        <w:rPr>
          <w:rFonts w:ascii="Calibri" w:eastAsia="Calibri" w:hAnsi="Calibri" w:cs="Calibri"/>
        </w:rPr>
        <w:t xml:space="preserve">. En virtud de lo anterior, al no haberse realizado hasta el momento reclamación alguna por parte del asegurado, HOSPITAL UNIVERSITARIO DEL VALLE, actualmente operó la prescripción ordinaria de las acciones derivadas del contrato de seguro, pues la entidad tuvo conocimiento del presunto siniestro </w:t>
      </w:r>
      <w:r w:rsidR="00494C81" w:rsidRPr="008668AE">
        <w:rPr>
          <w:rFonts w:ascii="Calibri" w:eastAsia="Calibri" w:hAnsi="Calibri" w:cs="Calibri"/>
        </w:rPr>
        <w:t xml:space="preserve">el 21 de diciembre de 2020, fecha en la cual se presentó la reclamación </w:t>
      </w:r>
      <w:r w:rsidR="00E364ED" w:rsidRPr="008668AE">
        <w:rPr>
          <w:rFonts w:ascii="Calibri" w:eastAsia="Calibri" w:hAnsi="Calibri" w:cs="Calibri"/>
        </w:rPr>
        <w:t xml:space="preserve">administrativa </w:t>
      </w:r>
      <w:r w:rsidR="00494C81" w:rsidRPr="008668AE">
        <w:rPr>
          <w:rFonts w:ascii="Calibri" w:eastAsia="Calibri" w:hAnsi="Calibri" w:cs="Calibri"/>
        </w:rPr>
        <w:t xml:space="preserve">por parte </w:t>
      </w:r>
      <w:r w:rsidR="00E364ED" w:rsidRPr="008668AE">
        <w:rPr>
          <w:rFonts w:ascii="Calibri" w:eastAsia="Calibri" w:hAnsi="Calibri" w:cs="Calibri"/>
        </w:rPr>
        <w:t xml:space="preserve">de la </w:t>
      </w:r>
      <w:r w:rsidR="00494C81" w:rsidRPr="008668AE">
        <w:rPr>
          <w:rFonts w:ascii="Calibri" w:eastAsia="Calibri" w:hAnsi="Calibri" w:cs="Calibri"/>
        </w:rPr>
        <w:t>demandante.</w:t>
      </w:r>
      <w:r w:rsidRPr="008668AE">
        <w:rPr>
          <w:rFonts w:ascii="Calibri" w:eastAsia="Calibri" w:hAnsi="Calibri" w:cs="Calibri"/>
        </w:rPr>
        <w:t xml:space="preserve"> </w:t>
      </w:r>
    </w:p>
    <w:p w14:paraId="7E1A76B4" w14:textId="79D4DCAE" w:rsidR="0023604D" w:rsidRPr="008668AE" w:rsidRDefault="0023604D" w:rsidP="008C4C99">
      <w:pPr>
        <w:tabs>
          <w:tab w:val="left" w:pos="3520"/>
        </w:tabs>
        <w:spacing w:after="0" w:line="264" w:lineRule="exact"/>
        <w:ind w:left="59" w:right="-20"/>
        <w:jc w:val="both"/>
        <w:rPr>
          <w:rFonts w:ascii="Calibri" w:eastAsia="Calibri" w:hAnsi="Calibri" w:cs="Calibri"/>
        </w:rPr>
      </w:pPr>
      <w:r w:rsidRPr="008668AE">
        <w:rPr>
          <w:rFonts w:ascii="Calibri" w:eastAsia="Calibri" w:hAnsi="Calibri" w:cs="Calibri"/>
        </w:rPr>
        <w:tab/>
      </w:r>
    </w:p>
    <w:p w14:paraId="5848CAA1" w14:textId="64A7BEEE" w:rsidR="0023604D" w:rsidRPr="008668AE" w:rsidRDefault="0023604D" w:rsidP="0023604D">
      <w:pPr>
        <w:tabs>
          <w:tab w:val="left" w:pos="3520"/>
        </w:tabs>
        <w:spacing w:after="0" w:line="264" w:lineRule="exact"/>
        <w:ind w:left="59" w:right="-20"/>
        <w:jc w:val="both"/>
        <w:rPr>
          <w:rFonts w:ascii="Calibri" w:eastAsia="Calibri" w:hAnsi="Calibri" w:cs="Calibri"/>
        </w:rPr>
      </w:pPr>
      <w:r w:rsidRPr="008668AE">
        <w:rPr>
          <w:rFonts w:ascii="Calibri" w:eastAsia="Calibri" w:hAnsi="Calibri" w:cs="Calibri"/>
        </w:rPr>
        <w:t>Ahora bien,</w:t>
      </w:r>
      <w:r w:rsidR="008C4C99" w:rsidRPr="008668AE">
        <w:rPr>
          <w:rFonts w:ascii="Calibri" w:eastAsia="Calibri" w:hAnsi="Calibri" w:cs="Calibri"/>
        </w:rPr>
        <w:t xml:space="preserve"> respecto a la responsabilidad del asegurado,</w:t>
      </w:r>
      <w:r w:rsidR="00494C81" w:rsidRPr="008668AE">
        <w:rPr>
          <w:rFonts w:ascii="Calibri" w:eastAsia="Calibri" w:hAnsi="Calibri" w:cs="Calibri"/>
        </w:rPr>
        <w:t xml:space="preserve"> aún no se encuentran probados los elementos esenciales de un contrato laboral, sin embargo, el proceso aún se encuentra en una etapa temprana, por lo que no se han pruebas más allá de las documentales aportadas con el escrito inicial</w:t>
      </w:r>
      <w:r w:rsidR="00FD2E6E" w:rsidRPr="008668AE">
        <w:rPr>
          <w:rFonts w:ascii="Calibri" w:eastAsia="Calibri" w:hAnsi="Calibri" w:cs="Calibri"/>
        </w:rPr>
        <w:t xml:space="preserve">. </w:t>
      </w:r>
    </w:p>
    <w:p w14:paraId="7CEB873E" w14:textId="651E0365" w:rsidR="00237528" w:rsidRPr="008668AE" w:rsidRDefault="00237528" w:rsidP="00237528">
      <w:pPr>
        <w:jc w:val="both"/>
      </w:pPr>
    </w:p>
    <w:p w14:paraId="34A0D171" w14:textId="77777777" w:rsidR="00237528" w:rsidRPr="008668AE" w:rsidRDefault="00237528" w:rsidP="00237528">
      <w:pPr>
        <w:jc w:val="both"/>
        <w:rPr>
          <w:b/>
          <w:bCs/>
        </w:rPr>
      </w:pPr>
    </w:p>
    <w:sectPr w:rsidR="00237528" w:rsidRPr="008668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A04102"/>
    <w:multiLevelType w:val="hybridMultilevel"/>
    <w:tmpl w:val="1DB4DDA6"/>
    <w:lvl w:ilvl="0" w:tplc="A9F6DB64">
      <w:start w:val="7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DCD13AD"/>
    <w:multiLevelType w:val="hybridMultilevel"/>
    <w:tmpl w:val="FBB29E0A"/>
    <w:lvl w:ilvl="0" w:tplc="96B0769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6597EEF"/>
    <w:multiLevelType w:val="hybridMultilevel"/>
    <w:tmpl w:val="AD9239E2"/>
    <w:lvl w:ilvl="0" w:tplc="D9BCAF04">
      <w:numFmt w:val="bullet"/>
      <w:lvlText w:val="-"/>
      <w:lvlJc w:val="left"/>
      <w:pPr>
        <w:ind w:left="1080" w:hanging="360"/>
      </w:pPr>
      <w:rPr>
        <w:rFonts w:ascii="Calibri" w:eastAsia="Calibri" w:hAnsi="Calibri" w:cs="Calibri" w:hint="default"/>
        <w:b/>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16cid:durableId="916551579">
    <w:abstractNumId w:val="0"/>
  </w:num>
  <w:num w:numId="2" w16cid:durableId="1183588719">
    <w:abstractNumId w:val="1"/>
  </w:num>
  <w:num w:numId="3" w16cid:durableId="2036231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713"/>
    <w:rsid w:val="00015FAE"/>
    <w:rsid w:val="00077738"/>
    <w:rsid w:val="000E3867"/>
    <w:rsid w:val="001E7713"/>
    <w:rsid w:val="0023604D"/>
    <w:rsid w:val="00237528"/>
    <w:rsid w:val="002C2FC1"/>
    <w:rsid w:val="00322D7E"/>
    <w:rsid w:val="0036098E"/>
    <w:rsid w:val="00394358"/>
    <w:rsid w:val="003E69F2"/>
    <w:rsid w:val="00494C81"/>
    <w:rsid w:val="00684142"/>
    <w:rsid w:val="00706445"/>
    <w:rsid w:val="00724815"/>
    <w:rsid w:val="00744E3E"/>
    <w:rsid w:val="007F431C"/>
    <w:rsid w:val="008668AE"/>
    <w:rsid w:val="008A61DC"/>
    <w:rsid w:val="008C4C99"/>
    <w:rsid w:val="008C59D7"/>
    <w:rsid w:val="008D67E9"/>
    <w:rsid w:val="0090575D"/>
    <w:rsid w:val="009142A8"/>
    <w:rsid w:val="0094751A"/>
    <w:rsid w:val="00AB307D"/>
    <w:rsid w:val="00AE329B"/>
    <w:rsid w:val="00B0444E"/>
    <w:rsid w:val="00B82B09"/>
    <w:rsid w:val="00BA5814"/>
    <w:rsid w:val="00BF0E59"/>
    <w:rsid w:val="00CB57B3"/>
    <w:rsid w:val="00CC7E92"/>
    <w:rsid w:val="00D127E8"/>
    <w:rsid w:val="00E364ED"/>
    <w:rsid w:val="00E40014"/>
    <w:rsid w:val="00E60502"/>
    <w:rsid w:val="00ED2507"/>
    <w:rsid w:val="00FD2E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F2F2A"/>
  <w15:chartTrackingRefBased/>
  <w15:docId w15:val="{E9BA4646-BA5C-48C9-A57C-16005DF7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7528"/>
    <w:pPr>
      <w:spacing w:after="0" w:line="240" w:lineRule="auto"/>
      <w:ind w:left="720"/>
      <w:contextualSpacing/>
    </w:pPr>
    <w:rPr>
      <w:rFonts w:ascii="Times New Roman" w:eastAsia="Times New Roman" w:hAnsi="Times New Roman" w:cs="Times New Roman"/>
      <w:kern w:val="0"/>
      <w:sz w:val="24"/>
      <w:szCs w:val="24"/>
      <w:lang w:val="es-ES" w:eastAsia="es-ES"/>
      <w14:ligatures w14:val="none"/>
    </w:rPr>
  </w:style>
  <w:style w:type="character" w:styleId="Refdecomentario">
    <w:name w:val="annotation reference"/>
    <w:basedOn w:val="Fuentedeprrafopredeter"/>
    <w:uiPriority w:val="99"/>
    <w:semiHidden/>
    <w:unhideWhenUsed/>
    <w:rsid w:val="00E364ED"/>
    <w:rPr>
      <w:sz w:val="16"/>
      <w:szCs w:val="16"/>
    </w:rPr>
  </w:style>
  <w:style w:type="paragraph" w:styleId="Textocomentario">
    <w:name w:val="annotation text"/>
    <w:basedOn w:val="Normal"/>
    <w:link w:val="TextocomentarioCar"/>
    <w:uiPriority w:val="99"/>
    <w:semiHidden/>
    <w:unhideWhenUsed/>
    <w:rsid w:val="00E364E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64ED"/>
    <w:rPr>
      <w:sz w:val="20"/>
      <w:szCs w:val="20"/>
    </w:rPr>
  </w:style>
  <w:style w:type="paragraph" w:styleId="Asuntodelcomentario">
    <w:name w:val="annotation subject"/>
    <w:basedOn w:val="Textocomentario"/>
    <w:next w:val="Textocomentario"/>
    <w:link w:val="AsuntodelcomentarioCar"/>
    <w:uiPriority w:val="99"/>
    <w:semiHidden/>
    <w:unhideWhenUsed/>
    <w:rsid w:val="00E364ED"/>
    <w:rPr>
      <w:b/>
      <w:bCs/>
    </w:rPr>
  </w:style>
  <w:style w:type="character" w:customStyle="1" w:styleId="AsuntodelcomentarioCar">
    <w:name w:val="Asunto del comentario Car"/>
    <w:basedOn w:val="TextocomentarioCar"/>
    <w:link w:val="Asuntodelcomentario"/>
    <w:uiPriority w:val="99"/>
    <w:semiHidden/>
    <w:rsid w:val="00E364ED"/>
    <w:rPr>
      <w:b/>
      <w:bCs/>
      <w:sz w:val="20"/>
      <w:szCs w:val="20"/>
    </w:rPr>
  </w:style>
  <w:style w:type="paragraph" w:styleId="Revisin">
    <w:name w:val="Revision"/>
    <w:hidden/>
    <w:uiPriority w:val="99"/>
    <w:semiHidden/>
    <w:rsid w:val="00E364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167946">
      <w:bodyDiv w:val="1"/>
      <w:marLeft w:val="0"/>
      <w:marRight w:val="0"/>
      <w:marTop w:val="0"/>
      <w:marBottom w:val="0"/>
      <w:divBdr>
        <w:top w:val="none" w:sz="0" w:space="0" w:color="auto"/>
        <w:left w:val="none" w:sz="0" w:space="0" w:color="auto"/>
        <w:bottom w:val="none" w:sz="0" w:space="0" w:color="auto"/>
        <w:right w:val="none" w:sz="0" w:space="0" w:color="auto"/>
      </w:divBdr>
    </w:div>
    <w:div w:id="525170394">
      <w:bodyDiv w:val="1"/>
      <w:marLeft w:val="0"/>
      <w:marRight w:val="0"/>
      <w:marTop w:val="0"/>
      <w:marBottom w:val="0"/>
      <w:divBdr>
        <w:top w:val="none" w:sz="0" w:space="0" w:color="auto"/>
        <w:left w:val="none" w:sz="0" w:space="0" w:color="auto"/>
        <w:bottom w:val="none" w:sz="0" w:space="0" w:color="auto"/>
        <w:right w:val="none" w:sz="0" w:space="0" w:color="auto"/>
      </w:divBdr>
    </w:div>
    <w:div w:id="793254134">
      <w:bodyDiv w:val="1"/>
      <w:marLeft w:val="0"/>
      <w:marRight w:val="0"/>
      <w:marTop w:val="0"/>
      <w:marBottom w:val="0"/>
      <w:divBdr>
        <w:top w:val="none" w:sz="0" w:space="0" w:color="auto"/>
        <w:left w:val="none" w:sz="0" w:space="0" w:color="auto"/>
        <w:bottom w:val="none" w:sz="0" w:space="0" w:color="auto"/>
        <w:right w:val="none" w:sz="0" w:space="0" w:color="auto"/>
      </w:divBdr>
    </w:div>
    <w:div w:id="1180587535">
      <w:bodyDiv w:val="1"/>
      <w:marLeft w:val="0"/>
      <w:marRight w:val="0"/>
      <w:marTop w:val="0"/>
      <w:marBottom w:val="0"/>
      <w:divBdr>
        <w:top w:val="none" w:sz="0" w:space="0" w:color="auto"/>
        <w:left w:val="none" w:sz="0" w:space="0" w:color="auto"/>
        <w:bottom w:val="none" w:sz="0" w:space="0" w:color="auto"/>
        <w:right w:val="none" w:sz="0" w:space="0" w:color="auto"/>
      </w:divBdr>
    </w:div>
    <w:div w:id="1249271865">
      <w:bodyDiv w:val="1"/>
      <w:marLeft w:val="0"/>
      <w:marRight w:val="0"/>
      <w:marTop w:val="0"/>
      <w:marBottom w:val="0"/>
      <w:divBdr>
        <w:top w:val="none" w:sz="0" w:space="0" w:color="auto"/>
        <w:left w:val="none" w:sz="0" w:space="0" w:color="auto"/>
        <w:bottom w:val="none" w:sz="0" w:space="0" w:color="auto"/>
        <w:right w:val="none" w:sz="0" w:space="0" w:color="auto"/>
      </w:divBdr>
    </w:div>
    <w:div w:id="1297762328">
      <w:bodyDiv w:val="1"/>
      <w:marLeft w:val="0"/>
      <w:marRight w:val="0"/>
      <w:marTop w:val="0"/>
      <w:marBottom w:val="0"/>
      <w:divBdr>
        <w:top w:val="none" w:sz="0" w:space="0" w:color="auto"/>
        <w:left w:val="none" w:sz="0" w:space="0" w:color="auto"/>
        <w:bottom w:val="none" w:sz="0" w:space="0" w:color="auto"/>
        <w:right w:val="none" w:sz="0" w:space="0" w:color="auto"/>
      </w:divBdr>
    </w:div>
    <w:div w:id="1343437554">
      <w:bodyDiv w:val="1"/>
      <w:marLeft w:val="0"/>
      <w:marRight w:val="0"/>
      <w:marTop w:val="0"/>
      <w:marBottom w:val="0"/>
      <w:divBdr>
        <w:top w:val="none" w:sz="0" w:space="0" w:color="auto"/>
        <w:left w:val="none" w:sz="0" w:space="0" w:color="auto"/>
        <w:bottom w:val="none" w:sz="0" w:space="0" w:color="auto"/>
        <w:right w:val="none" w:sz="0" w:space="0" w:color="auto"/>
      </w:divBdr>
    </w:div>
    <w:div w:id="1385567606">
      <w:bodyDiv w:val="1"/>
      <w:marLeft w:val="0"/>
      <w:marRight w:val="0"/>
      <w:marTop w:val="0"/>
      <w:marBottom w:val="0"/>
      <w:divBdr>
        <w:top w:val="none" w:sz="0" w:space="0" w:color="auto"/>
        <w:left w:val="none" w:sz="0" w:space="0" w:color="auto"/>
        <w:bottom w:val="none" w:sz="0" w:space="0" w:color="auto"/>
        <w:right w:val="none" w:sz="0" w:space="0" w:color="auto"/>
      </w:divBdr>
    </w:div>
    <w:div w:id="177544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04E1F-8887-454E-A975-485A24B3F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1030</Words>
  <Characters>5665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3</cp:revision>
  <dcterms:created xsi:type="dcterms:W3CDTF">2025-03-04T11:51:00Z</dcterms:created>
  <dcterms:modified xsi:type="dcterms:W3CDTF">2025-03-04T12:01:00Z</dcterms:modified>
</cp:coreProperties>
</file>