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C327D" w:rsidRDefault="003314A2" w:rsidP="003314A2">
      <w:pPr>
        <w:spacing w:line="360" w:lineRule="auto"/>
        <w:rPr>
          <w:rFonts w:ascii="Century Gothic" w:hAnsi="Century Gothic"/>
          <w:sz w:val="22"/>
          <w:szCs w:val="22"/>
        </w:rPr>
      </w:pPr>
      <w:r w:rsidRPr="00AC327D">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C327D"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C327D" w14:paraId="077F9E4D" w14:textId="77777777" w:rsidTr="003827E1">
        <w:trPr>
          <w:trHeight w:val="454"/>
        </w:trPr>
        <w:tc>
          <w:tcPr>
            <w:tcW w:w="4537" w:type="dxa"/>
            <w:vAlign w:val="center"/>
          </w:tcPr>
          <w:p w14:paraId="239BC5A7" w14:textId="7E10D35F" w:rsidR="00F67EF8" w:rsidRPr="00AC327D" w:rsidRDefault="00F67EF8" w:rsidP="003B7F1A">
            <w:pPr>
              <w:spacing w:line="360" w:lineRule="auto"/>
              <w:rPr>
                <w:rFonts w:ascii="Century Gothic" w:hAnsi="Century Gothic"/>
                <w:b/>
                <w:bCs/>
                <w:sz w:val="22"/>
                <w:szCs w:val="22"/>
              </w:rPr>
            </w:pPr>
            <w:r w:rsidRPr="00AC327D">
              <w:rPr>
                <w:rFonts w:ascii="Century Gothic" w:hAnsi="Century Gothic"/>
                <w:b/>
                <w:bCs/>
                <w:sz w:val="22"/>
                <w:szCs w:val="22"/>
              </w:rPr>
              <w:t>Fecha de presentación</w:t>
            </w:r>
          </w:p>
        </w:tc>
        <w:tc>
          <w:tcPr>
            <w:tcW w:w="5670" w:type="dxa"/>
          </w:tcPr>
          <w:p w14:paraId="29FA6EF6" w14:textId="7F0D19DF" w:rsidR="00F67EF8" w:rsidRPr="00AC327D" w:rsidRDefault="00705512" w:rsidP="00F67EF8">
            <w:pPr>
              <w:spacing w:line="276" w:lineRule="auto"/>
              <w:jc w:val="both"/>
              <w:rPr>
                <w:rFonts w:ascii="Century Gothic" w:hAnsi="Century Gothic"/>
                <w:sz w:val="22"/>
                <w:szCs w:val="22"/>
              </w:rPr>
            </w:pPr>
            <w:r w:rsidRPr="00AC327D">
              <w:rPr>
                <w:rFonts w:ascii="Century Gothic" w:hAnsi="Century Gothic"/>
                <w:sz w:val="22"/>
                <w:szCs w:val="22"/>
              </w:rPr>
              <w:t>1</w:t>
            </w:r>
            <w:r w:rsidR="0093080C" w:rsidRPr="00AC327D">
              <w:rPr>
                <w:rFonts w:ascii="Century Gothic" w:hAnsi="Century Gothic"/>
                <w:sz w:val="22"/>
                <w:szCs w:val="22"/>
              </w:rPr>
              <w:t>1</w:t>
            </w:r>
            <w:r w:rsidR="00EB10D0" w:rsidRPr="00AC327D">
              <w:rPr>
                <w:rFonts w:ascii="Century Gothic" w:hAnsi="Century Gothic"/>
                <w:sz w:val="22"/>
                <w:szCs w:val="22"/>
              </w:rPr>
              <w:t>/04/2025</w:t>
            </w:r>
          </w:p>
        </w:tc>
      </w:tr>
      <w:tr w:rsidR="00F67EF8" w:rsidRPr="00AC327D" w14:paraId="6959AD48" w14:textId="77777777" w:rsidTr="003827E1">
        <w:trPr>
          <w:trHeight w:val="454"/>
        </w:trPr>
        <w:tc>
          <w:tcPr>
            <w:tcW w:w="4537" w:type="dxa"/>
            <w:vAlign w:val="center"/>
          </w:tcPr>
          <w:p w14:paraId="45E895A9" w14:textId="1E20E681" w:rsidR="00F67EF8" w:rsidRPr="00AC327D" w:rsidRDefault="00F67EF8" w:rsidP="003B7F1A">
            <w:pPr>
              <w:spacing w:line="360" w:lineRule="auto"/>
              <w:rPr>
                <w:rFonts w:ascii="Century Gothic" w:hAnsi="Century Gothic"/>
                <w:b/>
                <w:bCs/>
                <w:sz w:val="22"/>
                <w:szCs w:val="22"/>
              </w:rPr>
            </w:pPr>
            <w:r w:rsidRPr="00AC327D">
              <w:rPr>
                <w:rFonts w:ascii="Century Gothic" w:hAnsi="Century Gothic"/>
                <w:b/>
                <w:bCs/>
                <w:sz w:val="22"/>
                <w:szCs w:val="22"/>
              </w:rPr>
              <w:t>Tipo de abogado</w:t>
            </w:r>
          </w:p>
        </w:tc>
        <w:tc>
          <w:tcPr>
            <w:tcW w:w="5670" w:type="dxa"/>
          </w:tcPr>
          <w:p w14:paraId="06C25C40" w14:textId="5CFD278A" w:rsidR="00F67EF8" w:rsidRPr="00AC327D" w:rsidRDefault="00B775EB" w:rsidP="00F67EF8">
            <w:pPr>
              <w:spacing w:line="276" w:lineRule="auto"/>
              <w:jc w:val="both"/>
              <w:rPr>
                <w:rFonts w:ascii="Century Gothic" w:hAnsi="Century Gothic"/>
                <w:sz w:val="22"/>
                <w:szCs w:val="22"/>
              </w:rPr>
            </w:pPr>
            <w:r w:rsidRPr="00AC327D">
              <w:rPr>
                <w:rFonts w:ascii="Century Gothic" w:hAnsi="Century Gothic"/>
                <w:sz w:val="22"/>
                <w:szCs w:val="22"/>
              </w:rPr>
              <w:t>Externo</w:t>
            </w:r>
          </w:p>
        </w:tc>
      </w:tr>
      <w:tr w:rsidR="00F67EF8" w:rsidRPr="00AC327D" w14:paraId="2F6DA3B0" w14:textId="77777777" w:rsidTr="003827E1">
        <w:trPr>
          <w:trHeight w:val="454"/>
        </w:trPr>
        <w:tc>
          <w:tcPr>
            <w:tcW w:w="4537" w:type="dxa"/>
            <w:vAlign w:val="center"/>
          </w:tcPr>
          <w:p w14:paraId="30599F8A" w14:textId="674A8832" w:rsidR="00F67EF8" w:rsidRPr="00AC327D" w:rsidRDefault="00F67EF8" w:rsidP="003B7F1A">
            <w:pPr>
              <w:spacing w:line="360" w:lineRule="auto"/>
              <w:rPr>
                <w:rFonts w:ascii="Century Gothic" w:hAnsi="Century Gothic"/>
                <w:sz w:val="22"/>
                <w:szCs w:val="22"/>
              </w:rPr>
            </w:pPr>
            <w:r w:rsidRPr="00AC327D">
              <w:rPr>
                <w:rFonts w:ascii="Century Gothic" w:hAnsi="Century Gothic"/>
                <w:b/>
                <w:bCs/>
                <w:sz w:val="22"/>
                <w:szCs w:val="22"/>
              </w:rPr>
              <w:t>Aseguradora vinculada al proceso</w:t>
            </w:r>
          </w:p>
        </w:tc>
        <w:tc>
          <w:tcPr>
            <w:tcW w:w="5670" w:type="dxa"/>
          </w:tcPr>
          <w:p w14:paraId="794A38B0" w14:textId="6F0A4EA0" w:rsidR="00F67EF8" w:rsidRPr="00AC327D" w:rsidRDefault="00B775EB" w:rsidP="00F67EF8">
            <w:pPr>
              <w:spacing w:line="276" w:lineRule="auto"/>
              <w:jc w:val="both"/>
              <w:rPr>
                <w:rFonts w:ascii="Century Gothic" w:hAnsi="Century Gothic"/>
                <w:sz w:val="22"/>
                <w:szCs w:val="22"/>
              </w:rPr>
            </w:pPr>
            <w:r w:rsidRPr="00AC327D">
              <w:rPr>
                <w:rFonts w:ascii="Century Gothic" w:hAnsi="Century Gothic"/>
                <w:sz w:val="22"/>
                <w:szCs w:val="22"/>
              </w:rPr>
              <w:t xml:space="preserve">EQUIDAD SEGUROS </w:t>
            </w:r>
            <w:r w:rsidR="007617DF" w:rsidRPr="00AC327D">
              <w:rPr>
                <w:rFonts w:ascii="Century Gothic" w:hAnsi="Century Gothic"/>
                <w:sz w:val="22"/>
                <w:szCs w:val="22"/>
              </w:rPr>
              <w:t>GENERALES ORGANISMO COOPERATIVO</w:t>
            </w:r>
          </w:p>
        </w:tc>
      </w:tr>
      <w:tr w:rsidR="00F67EF8" w:rsidRPr="00AC327D" w14:paraId="490540BB" w14:textId="77777777" w:rsidTr="003827E1">
        <w:trPr>
          <w:trHeight w:val="454"/>
        </w:trPr>
        <w:tc>
          <w:tcPr>
            <w:tcW w:w="4537" w:type="dxa"/>
            <w:vAlign w:val="center"/>
          </w:tcPr>
          <w:p w14:paraId="1C2D5235" w14:textId="2B4007F3" w:rsidR="00F67EF8" w:rsidRPr="00AC327D" w:rsidRDefault="00992368" w:rsidP="003B7F1A">
            <w:pPr>
              <w:spacing w:line="276" w:lineRule="auto"/>
              <w:rPr>
                <w:rFonts w:ascii="Century Gothic" w:hAnsi="Century Gothic"/>
                <w:b/>
                <w:bCs/>
                <w:sz w:val="22"/>
                <w:szCs w:val="22"/>
              </w:rPr>
            </w:pPr>
            <w:r w:rsidRPr="00AC327D">
              <w:rPr>
                <w:rFonts w:ascii="Century Gothic" w:hAnsi="Century Gothic"/>
                <w:b/>
                <w:bCs/>
                <w:sz w:val="22"/>
                <w:szCs w:val="22"/>
              </w:rPr>
              <w:t>SGC</w:t>
            </w:r>
          </w:p>
        </w:tc>
        <w:tc>
          <w:tcPr>
            <w:tcW w:w="5670" w:type="dxa"/>
          </w:tcPr>
          <w:p w14:paraId="11B788BC" w14:textId="5CA4B237" w:rsidR="00F67EF8" w:rsidRPr="00AC327D" w:rsidRDefault="00EB10D0" w:rsidP="00F67EF8">
            <w:pPr>
              <w:spacing w:line="276" w:lineRule="auto"/>
              <w:jc w:val="both"/>
              <w:rPr>
                <w:rFonts w:ascii="Century Gothic" w:hAnsi="Century Gothic"/>
                <w:sz w:val="22"/>
                <w:szCs w:val="22"/>
              </w:rPr>
            </w:pPr>
            <w:r w:rsidRPr="00AC327D">
              <w:rPr>
                <w:rFonts w:ascii="Century Gothic" w:eastAsia="Times New Roman" w:hAnsi="Century Gothic" w:cs="Calibri"/>
                <w:color w:val="000000"/>
                <w:sz w:val="22"/>
                <w:szCs w:val="22"/>
                <w:lang w:eastAsia="es-CO"/>
              </w:rPr>
              <w:t>10821</w:t>
            </w:r>
            <w:r w:rsidR="004F4655" w:rsidRPr="00AC327D">
              <w:rPr>
                <w:rFonts w:ascii="Century Gothic" w:eastAsia="Times New Roman" w:hAnsi="Century Gothic" w:cs="Calibri"/>
                <w:color w:val="000000"/>
                <w:sz w:val="22"/>
                <w:szCs w:val="22"/>
                <w:lang w:eastAsia="es-CO"/>
              </w:rPr>
              <w:t xml:space="preserve">         </w:t>
            </w:r>
          </w:p>
        </w:tc>
      </w:tr>
      <w:tr w:rsidR="00F67EF8" w:rsidRPr="00AC327D" w14:paraId="1D86DF69" w14:textId="77777777" w:rsidTr="003827E1">
        <w:trPr>
          <w:trHeight w:val="454"/>
        </w:trPr>
        <w:tc>
          <w:tcPr>
            <w:tcW w:w="4537" w:type="dxa"/>
            <w:vAlign w:val="center"/>
          </w:tcPr>
          <w:p w14:paraId="699114C2" w14:textId="0BB9EC2F" w:rsidR="00F67EF8" w:rsidRPr="00AC327D" w:rsidRDefault="00992368" w:rsidP="003B7F1A">
            <w:pPr>
              <w:spacing w:line="276" w:lineRule="auto"/>
              <w:rPr>
                <w:rFonts w:ascii="Century Gothic" w:hAnsi="Century Gothic"/>
                <w:b/>
                <w:bCs/>
                <w:sz w:val="22"/>
                <w:szCs w:val="22"/>
              </w:rPr>
            </w:pPr>
            <w:r w:rsidRPr="00AC327D">
              <w:rPr>
                <w:rFonts w:ascii="Century Gothic" w:hAnsi="Century Gothic"/>
                <w:b/>
                <w:bCs/>
                <w:sz w:val="22"/>
                <w:szCs w:val="22"/>
              </w:rPr>
              <w:t>Despacho/Juzgado/ Tribunal</w:t>
            </w:r>
          </w:p>
        </w:tc>
        <w:tc>
          <w:tcPr>
            <w:tcW w:w="5670" w:type="dxa"/>
          </w:tcPr>
          <w:p w14:paraId="7DD6339C" w14:textId="64BA8631" w:rsidR="00F67EF8" w:rsidRPr="00AC327D" w:rsidRDefault="00EB10D0" w:rsidP="00F67EF8">
            <w:pPr>
              <w:spacing w:line="276" w:lineRule="auto"/>
              <w:jc w:val="both"/>
              <w:rPr>
                <w:rFonts w:ascii="Century Gothic" w:hAnsi="Century Gothic"/>
                <w:sz w:val="22"/>
                <w:szCs w:val="22"/>
              </w:rPr>
            </w:pPr>
            <w:r w:rsidRPr="00AC327D">
              <w:rPr>
                <w:rFonts w:ascii="Century Gothic" w:hAnsi="Century Gothic"/>
                <w:sz w:val="22"/>
                <w:szCs w:val="22"/>
              </w:rPr>
              <w:t>JUZGADO 19 CIVIL DEL CIRCUITO DE BOGOTÁ D.C</w:t>
            </w:r>
          </w:p>
        </w:tc>
      </w:tr>
      <w:tr w:rsidR="00F67EF8" w:rsidRPr="00AC327D" w14:paraId="54742FD8" w14:textId="77777777" w:rsidTr="003827E1">
        <w:trPr>
          <w:trHeight w:val="454"/>
        </w:trPr>
        <w:tc>
          <w:tcPr>
            <w:tcW w:w="4537" w:type="dxa"/>
            <w:vAlign w:val="center"/>
          </w:tcPr>
          <w:p w14:paraId="5A357CCF" w14:textId="3C7FFC83" w:rsidR="00F67EF8" w:rsidRPr="00AC327D" w:rsidRDefault="00992368" w:rsidP="003B7F1A">
            <w:pPr>
              <w:spacing w:line="276" w:lineRule="auto"/>
              <w:rPr>
                <w:rFonts w:ascii="Century Gothic" w:hAnsi="Century Gothic"/>
                <w:b/>
                <w:bCs/>
                <w:sz w:val="22"/>
                <w:szCs w:val="22"/>
              </w:rPr>
            </w:pPr>
            <w:r w:rsidRPr="00AC327D">
              <w:rPr>
                <w:rFonts w:ascii="Century Gothic" w:hAnsi="Century Gothic"/>
                <w:b/>
                <w:bCs/>
                <w:sz w:val="22"/>
                <w:szCs w:val="22"/>
              </w:rPr>
              <w:t xml:space="preserve">Ciudad </w:t>
            </w:r>
          </w:p>
        </w:tc>
        <w:tc>
          <w:tcPr>
            <w:tcW w:w="5670" w:type="dxa"/>
          </w:tcPr>
          <w:p w14:paraId="5101FDD8" w14:textId="45F6CDED" w:rsidR="00F67EF8" w:rsidRPr="00AC327D" w:rsidRDefault="00EB10D0" w:rsidP="00F67EF8">
            <w:pPr>
              <w:spacing w:line="276" w:lineRule="auto"/>
              <w:jc w:val="both"/>
              <w:rPr>
                <w:rFonts w:ascii="Century Gothic" w:hAnsi="Century Gothic"/>
                <w:sz w:val="22"/>
                <w:szCs w:val="22"/>
              </w:rPr>
            </w:pPr>
            <w:r w:rsidRPr="00AC327D">
              <w:rPr>
                <w:rFonts w:ascii="Century Gothic" w:hAnsi="Century Gothic"/>
                <w:sz w:val="22"/>
                <w:szCs w:val="22"/>
              </w:rPr>
              <w:t>BOGOTÁ</w:t>
            </w:r>
          </w:p>
        </w:tc>
      </w:tr>
      <w:tr w:rsidR="00992368" w:rsidRPr="00AC327D" w14:paraId="3983A9CE" w14:textId="77777777" w:rsidTr="003827E1">
        <w:trPr>
          <w:trHeight w:val="454"/>
        </w:trPr>
        <w:tc>
          <w:tcPr>
            <w:tcW w:w="4537" w:type="dxa"/>
            <w:vAlign w:val="center"/>
          </w:tcPr>
          <w:p w14:paraId="7EC7EF81" w14:textId="3CF9A0A9" w:rsidR="00992368" w:rsidRPr="00AC327D" w:rsidRDefault="008E249B" w:rsidP="003B7F1A">
            <w:pPr>
              <w:spacing w:line="276" w:lineRule="auto"/>
              <w:rPr>
                <w:rFonts w:ascii="Century Gothic" w:hAnsi="Century Gothic"/>
                <w:b/>
                <w:bCs/>
                <w:sz w:val="22"/>
                <w:szCs w:val="22"/>
              </w:rPr>
            </w:pPr>
            <w:r w:rsidRPr="00AC327D">
              <w:rPr>
                <w:rFonts w:ascii="Century Gothic" w:hAnsi="Century Gothic"/>
                <w:b/>
                <w:bCs/>
                <w:sz w:val="22"/>
                <w:szCs w:val="22"/>
              </w:rPr>
              <w:t>Radicado completo 23 dígitos</w:t>
            </w:r>
          </w:p>
        </w:tc>
        <w:tc>
          <w:tcPr>
            <w:tcW w:w="5670" w:type="dxa"/>
          </w:tcPr>
          <w:p w14:paraId="573C25D1" w14:textId="48167D25" w:rsidR="00992368" w:rsidRPr="00AC327D" w:rsidRDefault="00EB10D0" w:rsidP="00F67EF8">
            <w:pPr>
              <w:spacing w:line="276" w:lineRule="auto"/>
              <w:jc w:val="both"/>
              <w:rPr>
                <w:rFonts w:ascii="Century Gothic" w:hAnsi="Century Gothic"/>
                <w:sz w:val="22"/>
                <w:szCs w:val="22"/>
              </w:rPr>
            </w:pPr>
            <w:r w:rsidRPr="00AC327D">
              <w:rPr>
                <w:rFonts w:ascii="Century Gothic" w:hAnsi="Century Gothic" w:cs="Arial"/>
                <w:sz w:val="22"/>
                <w:szCs w:val="22"/>
              </w:rPr>
              <w:t>11001310301920240052800</w:t>
            </w:r>
          </w:p>
        </w:tc>
      </w:tr>
      <w:tr w:rsidR="00992368" w:rsidRPr="00AC327D" w14:paraId="4A0D8041" w14:textId="77777777" w:rsidTr="003827E1">
        <w:trPr>
          <w:trHeight w:val="454"/>
        </w:trPr>
        <w:tc>
          <w:tcPr>
            <w:tcW w:w="4537" w:type="dxa"/>
            <w:vAlign w:val="center"/>
          </w:tcPr>
          <w:p w14:paraId="6BA2EEB5" w14:textId="7369F36B" w:rsidR="00992368" w:rsidRPr="00AC327D" w:rsidRDefault="00B2787D" w:rsidP="003B7F1A">
            <w:pPr>
              <w:spacing w:line="276" w:lineRule="auto"/>
              <w:rPr>
                <w:rFonts w:ascii="Century Gothic" w:hAnsi="Century Gothic"/>
                <w:b/>
                <w:bCs/>
                <w:sz w:val="22"/>
                <w:szCs w:val="22"/>
              </w:rPr>
            </w:pPr>
            <w:r w:rsidRPr="00AC327D">
              <w:rPr>
                <w:rFonts w:ascii="Century Gothic" w:hAnsi="Century Gothic"/>
                <w:b/>
                <w:bCs/>
                <w:sz w:val="22"/>
                <w:szCs w:val="22"/>
              </w:rPr>
              <w:t>Fecha de notificación</w:t>
            </w:r>
          </w:p>
        </w:tc>
        <w:tc>
          <w:tcPr>
            <w:tcW w:w="5670" w:type="dxa"/>
          </w:tcPr>
          <w:p w14:paraId="64AC88EB" w14:textId="467CB541" w:rsidR="00992368" w:rsidRPr="00AC327D" w:rsidRDefault="004F4655" w:rsidP="00F67EF8">
            <w:pPr>
              <w:spacing w:line="276" w:lineRule="auto"/>
              <w:jc w:val="both"/>
              <w:rPr>
                <w:rFonts w:ascii="Century Gothic" w:hAnsi="Century Gothic"/>
                <w:sz w:val="22"/>
                <w:szCs w:val="22"/>
              </w:rPr>
            </w:pPr>
            <w:r w:rsidRPr="00AC327D">
              <w:rPr>
                <w:rFonts w:ascii="Century Gothic" w:hAnsi="Century Gothic"/>
                <w:sz w:val="22"/>
                <w:szCs w:val="22"/>
              </w:rPr>
              <w:t>0</w:t>
            </w:r>
            <w:r w:rsidR="00EB10D0" w:rsidRPr="00AC327D">
              <w:rPr>
                <w:rFonts w:ascii="Century Gothic" w:hAnsi="Century Gothic"/>
                <w:sz w:val="22"/>
                <w:szCs w:val="22"/>
              </w:rPr>
              <w:t>5</w:t>
            </w:r>
            <w:r w:rsidR="007617DF" w:rsidRPr="00AC327D">
              <w:rPr>
                <w:rFonts w:ascii="Century Gothic" w:hAnsi="Century Gothic"/>
                <w:sz w:val="22"/>
                <w:szCs w:val="22"/>
              </w:rPr>
              <w:t>/0</w:t>
            </w:r>
            <w:r w:rsidRPr="00AC327D">
              <w:rPr>
                <w:rFonts w:ascii="Century Gothic" w:hAnsi="Century Gothic"/>
                <w:sz w:val="22"/>
                <w:szCs w:val="22"/>
              </w:rPr>
              <w:t>3</w:t>
            </w:r>
            <w:r w:rsidR="007617DF" w:rsidRPr="00AC327D">
              <w:rPr>
                <w:rFonts w:ascii="Century Gothic" w:hAnsi="Century Gothic"/>
                <w:sz w:val="22"/>
                <w:szCs w:val="22"/>
              </w:rPr>
              <w:t>/2025</w:t>
            </w:r>
          </w:p>
        </w:tc>
      </w:tr>
      <w:tr w:rsidR="00992368" w:rsidRPr="00AC327D" w14:paraId="028BDD81" w14:textId="77777777" w:rsidTr="003827E1">
        <w:trPr>
          <w:trHeight w:val="454"/>
        </w:trPr>
        <w:tc>
          <w:tcPr>
            <w:tcW w:w="4537" w:type="dxa"/>
            <w:vAlign w:val="center"/>
          </w:tcPr>
          <w:p w14:paraId="74AA3CB7" w14:textId="0154798B" w:rsidR="00992368" w:rsidRPr="00AC327D" w:rsidRDefault="00B2787D" w:rsidP="003B7F1A">
            <w:pPr>
              <w:spacing w:line="276" w:lineRule="auto"/>
              <w:rPr>
                <w:rFonts w:ascii="Century Gothic" w:hAnsi="Century Gothic"/>
                <w:b/>
                <w:bCs/>
                <w:sz w:val="22"/>
                <w:szCs w:val="22"/>
              </w:rPr>
            </w:pPr>
            <w:r w:rsidRPr="00AC327D">
              <w:rPr>
                <w:rFonts w:ascii="Century Gothic" w:hAnsi="Century Gothic"/>
                <w:b/>
                <w:bCs/>
                <w:sz w:val="22"/>
                <w:szCs w:val="22"/>
              </w:rPr>
              <w:t>Fecha vencimiento del término</w:t>
            </w:r>
          </w:p>
        </w:tc>
        <w:tc>
          <w:tcPr>
            <w:tcW w:w="5670" w:type="dxa"/>
          </w:tcPr>
          <w:p w14:paraId="41E82979" w14:textId="677AB09E" w:rsidR="00992368" w:rsidRPr="00AC327D" w:rsidRDefault="00EB10D0" w:rsidP="00F67EF8">
            <w:pPr>
              <w:spacing w:line="276" w:lineRule="auto"/>
              <w:jc w:val="both"/>
              <w:rPr>
                <w:rFonts w:ascii="Century Gothic" w:hAnsi="Century Gothic"/>
                <w:sz w:val="22"/>
                <w:szCs w:val="22"/>
              </w:rPr>
            </w:pPr>
            <w:r w:rsidRPr="00AC327D">
              <w:rPr>
                <w:rFonts w:ascii="Century Gothic" w:hAnsi="Century Gothic"/>
                <w:sz w:val="22"/>
                <w:szCs w:val="22"/>
              </w:rPr>
              <w:t>04</w:t>
            </w:r>
            <w:r w:rsidR="00B775EB" w:rsidRPr="00AC327D">
              <w:rPr>
                <w:rFonts w:ascii="Century Gothic" w:hAnsi="Century Gothic"/>
                <w:sz w:val="22"/>
                <w:szCs w:val="22"/>
              </w:rPr>
              <w:t>/0</w:t>
            </w:r>
            <w:r w:rsidRPr="00AC327D">
              <w:rPr>
                <w:rFonts w:ascii="Century Gothic" w:hAnsi="Century Gothic"/>
                <w:sz w:val="22"/>
                <w:szCs w:val="22"/>
              </w:rPr>
              <w:t>4</w:t>
            </w:r>
            <w:r w:rsidR="00B775EB" w:rsidRPr="00AC327D">
              <w:rPr>
                <w:rFonts w:ascii="Century Gothic" w:hAnsi="Century Gothic"/>
                <w:sz w:val="22"/>
                <w:szCs w:val="22"/>
              </w:rPr>
              <w:t>/2025</w:t>
            </w:r>
          </w:p>
        </w:tc>
      </w:tr>
    </w:tbl>
    <w:p w14:paraId="619AE562" w14:textId="77777777" w:rsidR="00BA1E5F" w:rsidRPr="00AC327D" w:rsidRDefault="00BA1E5F">
      <w:pPr>
        <w:rPr>
          <w:rFonts w:ascii="Century Gothic" w:hAnsi="Century Gothic"/>
          <w:sz w:val="22"/>
          <w:szCs w:val="22"/>
        </w:rPr>
      </w:pPr>
    </w:p>
    <w:p w14:paraId="64A76143" w14:textId="77777777" w:rsidR="00BA1E5F" w:rsidRPr="00AC327D"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AC327D" w14:paraId="55765E90" w14:textId="77777777" w:rsidTr="0095378E">
        <w:tc>
          <w:tcPr>
            <w:tcW w:w="10207" w:type="dxa"/>
            <w:shd w:val="clear" w:color="auto" w:fill="C5E0B3" w:themeFill="accent6" w:themeFillTint="66"/>
            <w:vAlign w:val="center"/>
          </w:tcPr>
          <w:p w14:paraId="7B465D4D" w14:textId="5CAE6B68" w:rsidR="00B2787D" w:rsidRPr="00AC327D" w:rsidRDefault="00B2787D" w:rsidP="00B2787D">
            <w:pPr>
              <w:spacing w:line="276" w:lineRule="auto"/>
              <w:jc w:val="center"/>
              <w:rPr>
                <w:rFonts w:ascii="Century Gothic" w:hAnsi="Century Gothic"/>
                <w:sz w:val="22"/>
                <w:szCs w:val="22"/>
              </w:rPr>
            </w:pPr>
            <w:r w:rsidRPr="00AC327D">
              <w:rPr>
                <w:rFonts w:ascii="Century Gothic" w:hAnsi="Century Gothic"/>
                <w:b/>
                <w:bCs/>
                <w:sz w:val="22"/>
                <w:szCs w:val="22"/>
              </w:rPr>
              <w:t>Hechos</w:t>
            </w:r>
            <w:r w:rsidR="007C37D7" w:rsidRPr="00AC327D">
              <w:rPr>
                <w:rFonts w:ascii="Century Gothic" w:hAnsi="Century Gothic"/>
                <w:b/>
                <w:bCs/>
                <w:sz w:val="22"/>
                <w:szCs w:val="22"/>
              </w:rPr>
              <w:t xml:space="preserve"> </w:t>
            </w:r>
            <w:r w:rsidR="007C37D7" w:rsidRPr="00AC327D">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AC327D" w14:paraId="59EA92D0" w14:textId="77777777" w:rsidTr="006056E7">
        <w:tc>
          <w:tcPr>
            <w:tcW w:w="10207" w:type="dxa"/>
            <w:vAlign w:val="center"/>
          </w:tcPr>
          <w:p w14:paraId="1E99D346" w14:textId="008265BF" w:rsidR="00E8130C" w:rsidRPr="00AC327D" w:rsidRDefault="00E8130C" w:rsidP="00300BA3">
            <w:pPr>
              <w:spacing w:line="276" w:lineRule="auto"/>
              <w:jc w:val="both"/>
              <w:rPr>
                <w:rFonts w:ascii="Century Gothic" w:hAnsi="Century Gothic"/>
                <w:sz w:val="22"/>
                <w:szCs w:val="22"/>
              </w:rPr>
            </w:pPr>
          </w:p>
          <w:p w14:paraId="207A5088" w14:textId="4A2B62C5" w:rsidR="00E8130C" w:rsidRPr="00AC327D" w:rsidRDefault="00E8130C" w:rsidP="00E8130C">
            <w:pPr>
              <w:spacing w:line="360" w:lineRule="auto"/>
              <w:jc w:val="both"/>
              <w:rPr>
                <w:rFonts w:ascii="Century Gothic" w:hAnsi="Century Gothic"/>
                <w:sz w:val="22"/>
                <w:szCs w:val="22"/>
              </w:rPr>
            </w:pPr>
            <w:r w:rsidRPr="00AC327D">
              <w:rPr>
                <w:rFonts w:ascii="Century Gothic" w:hAnsi="Century Gothic"/>
                <w:sz w:val="22"/>
                <w:szCs w:val="22"/>
              </w:rPr>
              <w:t>La señora Luisa Fernanda Meléndez Ríos, actuando junto con su compañero permanente y sus dos hijos menores, formula demanda ordinaria contra COMPENSAR EPS, solicitando que se declare su responsabilidad administrativa y patrimonial por una supuesta falla en la atención médica y administrativa, tanto en el marco del Plan de Beneficios en Salud (PBS) como del Plan Complementario de Salud (PAC).</w:t>
            </w:r>
          </w:p>
          <w:p w14:paraId="08B234B3" w14:textId="77777777" w:rsidR="00E8130C" w:rsidRPr="00AC327D" w:rsidRDefault="00E8130C" w:rsidP="00E8130C">
            <w:pPr>
              <w:spacing w:line="360" w:lineRule="auto"/>
              <w:jc w:val="both"/>
              <w:rPr>
                <w:rFonts w:ascii="Century Gothic" w:hAnsi="Century Gothic"/>
                <w:sz w:val="22"/>
                <w:szCs w:val="22"/>
              </w:rPr>
            </w:pPr>
          </w:p>
          <w:p w14:paraId="0F702DFD" w14:textId="45312055" w:rsidR="00E8130C" w:rsidRPr="00AC327D" w:rsidRDefault="00E8130C" w:rsidP="00E8130C">
            <w:pPr>
              <w:spacing w:line="360" w:lineRule="auto"/>
              <w:jc w:val="both"/>
              <w:rPr>
                <w:rFonts w:ascii="Century Gothic" w:hAnsi="Century Gothic"/>
                <w:sz w:val="22"/>
                <w:szCs w:val="22"/>
              </w:rPr>
            </w:pPr>
            <w:r w:rsidRPr="00AC327D">
              <w:rPr>
                <w:rFonts w:ascii="Century Gothic" w:hAnsi="Century Gothic"/>
                <w:sz w:val="22"/>
                <w:szCs w:val="22"/>
              </w:rPr>
              <w:t>Según el relato de la demanda, en el año 2018, durante su segundo embarazo, la demandante manifestó a su ginecoobstetra, la doctora Judith Marrugo, su deseo de practicarse una ligadura de trompas (Pomeroy) en el momento del parto. Aunque la médica inicialmente no se opuso, el procedimiento no fue realizado, supuestamente por falta de autorización expresa y por ser un servicio no incluido dentro del Plan Complementario.</w:t>
            </w:r>
          </w:p>
          <w:p w14:paraId="37BF6922" w14:textId="77777777" w:rsidR="00E8130C" w:rsidRPr="00AC327D" w:rsidRDefault="00E8130C" w:rsidP="00E8130C">
            <w:pPr>
              <w:spacing w:line="360" w:lineRule="auto"/>
              <w:jc w:val="both"/>
              <w:rPr>
                <w:rFonts w:ascii="Century Gothic" w:hAnsi="Century Gothic"/>
                <w:sz w:val="22"/>
                <w:szCs w:val="22"/>
              </w:rPr>
            </w:pPr>
          </w:p>
          <w:p w14:paraId="5DA1040F" w14:textId="06454074" w:rsidR="00E8130C" w:rsidRPr="00AC327D" w:rsidRDefault="00E8130C" w:rsidP="00E8130C">
            <w:pPr>
              <w:spacing w:line="360" w:lineRule="auto"/>
              <w:jc w:val="both"/>
              <w:rPr>
                <w:rFonts w:ascii="Century Gothic" w:hAnsi="Century Gothic"/>
                <w:sz w:val="22"/>
                <w:szCs w:val="22"/>
              </w:rPr>
            </w:pPr>
            <w:r w:rsidRPr="00AC327D">
              <w:rPr>
                <w:rFonts w:ascii="Century Gothic" w:hAnsi="Century Gothic"/>
                <w:sz w:val="22"/>
                <w:szCs w:val="22"/>
              </w:rPr>
              <w:t xml:space="preserve">Tras el parto por cesárea, la paciente fue diagnosticada con trombosis del seno transverso izquierdo, situación que, según afirma, la convierte en persona pre-trombótica y de alto riesgo ante un nuevo embarazo. A pesar de ello, en enero de 2019 se confirmó en estado de </w:t>
            </w:r>
            <w:r w:rsidRPr="00AC327D">
              <w:rPr>
                <w:rFonts w:ascii="Century Gothic" w:hAnsi="Century Gothic"/>
                <w:sz w:val="22"/>
                <w:szCs w:val="22"/>
              </w:rPr>
              <w:lastRenderedPageBreak/>
              <w:t>gestación nuevamente, lo que motivó la solicitud de una interrupción voluntaria del embarazo (IVE), bajo causales de salud física y mental. Alega que, en ese proceso, la EPS le impuso múltiples barreras administrativas, demoras, fragmentación en la programación de exámenes, negativas indirectas, objeción de conciencia institucional y falta de atención psicológica.</w:t>
            </w:r>
          </w:p>
          <w:p w14:paraId="0602304C" w14:textId="77777777" w:rsidR="00E8130C" w:rsidRPr="00AC327D" w:rsidRDefault="00E8130C" w:rsidP="00E8130C">
            <w:pPr>
              <w:spacing w:line="360" w:lineRule="auto"/>
              <w:jc w:val="both"/>
              <w:rPr>
                <w:rFonts w:ascii="Century Gothic" w:hAnsi="Century Gothic"/>
                <w:sz w:val="22"/>
                <w:szCs w:val="22"/>
              </w:rPr>
            </w:pPr>
          </w:p>
          <w:p w14:paraId="05259E0A" w14:textId="379C6602" w:rsidR="00E8130C" w:rsidRPr="00AC327D" w:rsidRDefault="00E8130C" w:rsidP="00E8130C">
            <w:pPr>
              <w:spacing w:line="360" w:lineRule="auto"/>
              <w:jc w:val="both"/>
              <w:rPr>
                <w:rFonts w:ascii="Century Gothic" w:hAnsi="Century Gothic"/>
                <w:sz w:val="22"/>
                <w:szCs w:val="22"/>
              </w:rPr>
            </w:pPr>
            <w:r w:rsidRPr="00AC327D">
              <w:rPr>
                <w:rFonts w:ascii="Century Gothic" w:hAnsi="Century Gothic"/>
                <w:sz w:val="22"/>
                <w:szCs w:val="22"/>
              </w:rPr>
              <w:t>Refiere que solo hasta marzo de 2019 recibió un concepto médico externo favorable para el IVE, emitido por el Hospital La Victoria, y que, ante la omisión de la EPS, interpuso acción de tutela que fue resuelta favorablemente el 12 de abril de 2019, ordenando la práctica del procedimiento. Este se llevó a cabo el 16 de abril, con complicaciones físicas y emocionales descritas de forma extensa en la demanda.</w:t>
            </w:r>
          </w:p>
          <w:p w14:paraId="2DE04BF5" w14:textId="77777777" w:rsidR="00E8130C" w:rsidRPr="00AC327D" w:rsidRDefault="00E8130C" w:rsidP="00E8130C">
            <w:pPr>
              <w:spacing w:line="360" w:lineRule="auto"/>
              <w:jc w:val="both"/>
              <w:rPr>
                <w:rFonts w:ascii="Century Gothic" w:hAnsi="Century Gothic"/>
                <w:sz w:val="22"/>
                <w:szCs w:val="22"/>
              </w:rPr>
            </w:pPr>
          </w:p>
          <w:p w14:paraId="0F2C94B1" w14:textId="1D0397B9" w:rsidR="00E8130C" w:rsidRPr="00AC327D" w:rsidRDefault="00E8130C" w:rsidP="00E8130C">
            <w:pPr>
              <w:spacing w:line="360" w:lineRule="auto"/>
              <w:jc w:val="both"/>
              <w:rPr>
                <w:rFonts w:ascii="Century Gothic" w:hAnsi="Century Gothic"/>
                <w:sz w:val="22"/>
                <w:szCs w:val="22"/>
              </w:rPr>
            </w:pPr>
            <w:r w:rsidRPr="00AC327D">
              <w:rPr>
                <w:rFonts w:ascii="Century Gothic" w:hAnsi="Century Gothic"/>
                <w:sz w:val="22"/>
                <w:szCs w:val="22"/>
              </w:rPr>
              <w:t>Adicionalmente, afirma que no se le realizó el procedimiento de Pomeroy tras el IVE, pese a estar ordenado, y que tampoco recibió acompañamiento psicológico por parte de COMPENSAR. Sostiene que ello le ha generado deterioro psicológico, pérdida de su empleo, dificultades económicas y afectaciones en su entorno familiar, situación que actualmente, dice, está siendo atendida con valoración psicológica.</w:t>
            </w:r>
          </w:p>
          <w:p w14:paraId="285181BA" w14:textId="0E4ADE6D" w:rsidR="00E8130C" w:rsidRPr="00AC327D" w:rsidRDefault="00E8130C" w:rsidP="00300BA3">
            <w:pPr>
              <w:spacing w:line="276" w:lineRule="auto"/>
              <w:jc w:val="both"/>
              <w:rPr>
                <w:rFonts w:ascii="Century Gothic" w:hAnsi="Century Gothic"/>
                <w:sz w:val="22"/>
                <w:szCs w:val="22"/>
              </w:rPr>
            </w:pPr>
          </w:p>
        </w:tc>
      </w:tr>
    </w:tbl>
    <w:p w14:paraId="20C76EE3" w14:textId="77777777" w:rsidR="003827E1" w:rsidRPr="00AC327D"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AC327D" w14:paraId="2BD14B8D" w14:textId="77777777" w:rsidTr="0095378E">
        <w:tc>
          <w:tcPr>
            <w:tcW w:w="10207" w:type="dxa"/>
            <w:gridSpan w:val="2"/>
            <w:shd w:val="clear" w:color="auto" w:fill="C5E0B3" w:themeFill="accent6" w:themeFillTint="66"/>
            <w:vAlign w:val="center"/>
          </w:tcPr>
          <w:p w14:paraId="00111EA5" w14:textId="08575358" w:rsidR="007C37D7" w:rsidRPr="00AC327D" w:rsidRDefault="007C37D7" w:rsidP="007C37D7">
            <w:pPr>
              <w:spacing w:line="276" w:lineRule="auto"/>
              <w:jc w:val="center"/>
              <w:rPr>
                <w:rFonts w:ascii="Century Gothic" w:hAnsi="Century Gothic"/>
                <w:sz w:val="22"/>
                <w:szCs w:val="22"/>
              </w:rPr>
            </w:pPr>
            <w:r w:rsidRPr="00AC327D">
              <w:rPr>
                <w:rFonts w:ascii="Century Gothic" w:hAnsi="Century Gothic"/>
                <w:b/>
                <w:bCs/>
                <w:sz w:val="22"/>
                <w:szCs w:val="22"/>
              </w:rPr>
              <w:t xml:space="preserve">Pretensiones </w:t>
            </w:r>
            <w:r w:rsidRPr="00AC327D">
              <w:rPr>
                <w:rFonts w:ascii="Century Gothic" w:hAnsi="Century Gothic"/>
                <w:sz w:val="22"/>
                <w:szCs w:val="22"/>
              </w:rPr>
              <w:t>(haga un relato o enliste las pretensiones de la demanda/llamamiento en garantía)</w:t>
            </w:r>
          </w:p>
        </w:tc>
      </w:tr>
      <w:tr w:rsidR="007C37D7" w:rsidRPr="00AC327D" w14:paraId="2B7256CB" w14:textId="77777777" w:rsidTr="006056E7">
        <w:tc>
          <w:tcPr>
            <w:tcW w:w="10207" w:type="dxa"/>
            <w:gridSpan w:val="2"/>
            <w:vAlign w:val="center"/>
          </w:tcPr>
          <w:p w14:paraId="11B57CBF" w14:textId="77777777" w:rsidR="007C37D7" w:rsidRPr="00AC327D" w:rsidRDefault="007C37D7" w:rsidP="007C37D7">
            <w:pPr>
              <w:spacing w:line="276" w:lineRule="auto"/>
              <w:jc w:val="center"/>
              <w:rPr>
                <w:rFonts w:ascii="Century Gothic" w:hAnsi="Century Gothic"/>
                <w:sz w:val="22"/>
                <w:szCs w:val="22"/>
              </w:rPr>
            </w:pPr>
          </w:p>
          <w:p w14:paraId="21393280" w14:textId="77777777" w:rsidR="001C4D5F" w:rsidRPr="00AC327D" w:rsidRDefault="001C4D5F" w:rsidP="001C4D5F">
            <w:pPr>
              <w:spacing w:line="360" w:lineRule="auto"/>
              <w:jc w:val="both"/>
              <w:rPr>
                <w:rFonts w:ascii="Century Gothic" w:hAnsi="Century Gothic"/>
                <w:b/>
                <w:bCs/>
                <w:sz w:val="22"/>
                <w:szCs w:val="22"/>
              </w:rPr>
            </w:pPr>
            <w:r w:rsidRPr="00AC327D">
              <w:rPr>
                <w:rFonts w:ascii="Century Gothic" w:hAnsi="Century Gothic"/>
                <w:b/>
                <w:bCs/>
                <w:sz w:val="22"/>
                <w:szCs w:val="22"/>
              </w:rPr>
              <w:t>Pretensiones de la demanda</w:t>
            </w:r>
          </w:p>
          <w:p w14:paraId="2A531126" w14:textId="77777777" w:rsidR="001C4D5F" w:rsidRPr="00AC327D" w:rsidRDefault="001C4D5F" w:rsidP="001C4D5F">
            <w:pPr>
              <w:pStyle w:val="Prrafodelista"/>
              <w:numPr>
                <w:ilvl w:val="0"/>
                <w:numId w:val="17"/>
              </w:numPr>
              <w:spacing w:after="160" w:line="360" w:lineRule="auto"/>
              <w:jc w:val="both"/>
              <w:rPr>
                <w:rFonts w:ascii="Century Gothic" w:hAnsi="Century Gothic"/>
                <w:sz w:val="22"/>
                <w:szCs w:val="22"/>
              </w:rPr>
            </w:pPr>
            <w:r w:rsidRPr="00AC327D">
              <w:rPr>
                <w:rFonts w:ascii="Century Gothic" w:hAnsi="Century Gothic"/>
                <w:b/>
                <w:bCs/>
                <w:sz w:val="22"/>
                <w:szCs w:val="22"/>
              </w:rPr>
              <w:t>Declaratoria de responsabilidad:</w:t>
            </w:r>
          </w:p>
          <w:p w14:paraId="4FC59E91" w14:textId="77777777" w:rsidR="001C4D5F" w:rsidRPr="00AC327D" w:rsidRDefault="001C4D5F" w:rsidP="001C4D5F">
            <w:pPr>
              <w:spacing w:line="360" w:lineRule="auto"/>
              <w:jc w:val="both"/>
              <w:rPr>
                <w:rFonts w:ascii="Century Gothic" w:hAnsi="Century Gothic"/>
                <w:sz w:val="22"/>
                <w:szCs w:val="22"/>
              </w:rPr>
            </w:pPr>
            <w:r w:rsidRPr="00AC327D">
              <w:rPr>
                <w:rFonts w:ascii="Century Gothic" w:hAnsi="Century Gothic"/>
                <w:sz w:val="22"/>
                <w:szCs w:val="22"/>
              </w:rPr>
              <w:t>La parte actora solicita que se declare la responsabilidad administrativa y patrimonial de COMPENSAR EPS, por una presunta falla en la atención médica, que habría causado afectaciones a la salud de la demandante, perjuicios morales a ella y a su núcleo familiar. Tal responsabilidad se fundamenta en el incumplimiento del contrato del Plan Complementario de Salud, suscrito el 17 de julio de 2016, y en el supuesto incumplimiento del fallo de tutela No. 2019-00313.</w:t>
            </w:r>
          </w:p>
          <w:p w14:paraId="6B61109E" w14:textId="77777777" w:rsidR="001C4D5F" w:rsidRPr="00AC327D" w:rsidRDefault="001C4D5F" w:rsidP="001C4D5F">
            <w:pPr>
              <w:pStyle w:val="Prrafodelista"/>
              <w:numPr>
                <w:ilvl w:val="0"/>
                <w:numId w:val="17"/>
              </w:numPr>
              <w:spacing w:after="160" w:line="360" w:lineRule="auto"/>
              <w:jc w:val="both"/>
              <w:rPr>
                <w:rFonts w:ascii="Century Gothic" w:hAnsi="Century Gothic"/>
                <w:b/>
                <w:bCs/>
                <w:sz w:val="22"/>
                <w:szCs w:val="22"/>
              </w:rPr>
            </w:pPr>
            <w:r w:rsidRPr="00AC327D">
              <w:rPr>
                <w:rFonts w:ascii="Century Gothic" w:hAnsi="Century Gothic"/>
                <w:b/>
                <w:bCs/>
                <w:sz w:val="22"/>
                <w:szCs w:val="22"/>
              </w:rPr>
              <w:t>Condena al pago de perjuicios extrapatrimoniales:</w:t>
            </w:r>
          </w:p>
          <w:p w14:paraId="05C7657A" w14:textId="77777777" w:rsidR="001C4D5F" w:rsidRPr="00AC327D" w:rsidRDefault="001C4D5F" w:rsidP="001C4D5F">
            <w:pPr>
              <w:spacing w:line="360" w:lineRule="auto"/>
              <w:jc w:val="both"/>
              <w:rPr>
                <w:rFonts w:ascii="Century Gothic" w:hAnsi="Century Gothic"/>
                <w:sz w:val="22"/>
                <w:szCs w:val="22"/>
              </w:rPr>
            </w:pPr>
            <w:r w:rsidRPr="00AC327D">
              <w:rPr>
                <w:rFonts w:ascii="Century Gothic" w:hAnsi="Century Gothic"/>
                <w:sz w:val="22"/>
                <w:szCs w:val="22"/>
              </w:rPr>
              <w:t>Se solicita que se condene a COMPENSAR EPS al pago total de $812.000.000 por concepto de perjuicios inmateriales, discriminados así:</w:t>
            </w:r>
          </w:p>
          <w:p w14:paraId="4D8CB856" w14:textId="4407FE90" w:rsidR="001C4D5F" w:rsidRPr="00AC327D" w:rsidRDefault="0093080C" w:rsidP="001C4D5F">
            <w:pPr>
              <w:pStyle w:val="Prrafodelista"/>
              <w:numPr>
                <w:ilvl w:val="0"/>
                <w:numId w:val="18"/>
              </w:numPr>
              <w:spacing w:after="160" w:line="360" w:lineRule="auto"/>
              <w:jc w:val="both"/>
              <w:rPr>
                <w:rFonts w:ascii="Century Gothic" w:hAnsi="Century Gothic"/>
                <w:sz w:val="22"/>
                <w:szCs w:val="22"/>
              </w:rPr>
            </w:pPr>
            <w:r w:rsidRPr="00AC327D">
              <w:rPr>
                <w:rFonts w:ascii="Century Gothic" w:hAnsi="Century Gothic"/>
                <w:b/>
                <w:bCs/>
                <w:sz w:val="22"/>
                <w:szCs w:val="22"/>
              </w:rPr>
              <w:lastRenderedPageBreak/>
              <w:t>Daño</w:t>
            </w:r>
            <w:r w:rsidR="001C4D5F" w:rsidRPr="00AC327D">
              <w:rPr>
                <w:rFonts w:ascii="Century Gothic" w:hAnsi="Century Gothic"/>
                <w:b/>
                <w:bCs/>
                <w:sz w:val="22"/>
                <w:szCs w:val="22"/>
              </w:rPr>
              <w:t xml:space="preserve"> a la salud:</w:t>
            </w:r>
            <w:r w:rsidR="001C4D5F" w:rsidRPr="00AC327D">
              <w:rPr>
                <w:rFonts w:ascii="Century Gothic" w:hAnsi="Century Gothic"/>
                <w:sz w:val="22"/>
                <w:szCs w:val="22"/>
              </w:rPr>
              <w:t xml:space="preserve"> $464.000.000 reclamados por la señora Luisa Fernanda Meléndez Ríos, como afectación derivada del embarazo no deseado, el procedimiento de interrupción voluntaria del embarazo (IVE), y sus consecuencias emocionales y funcionales.</w:t>
            </w:r>
          </w:p>
          <w:p w14:paraId="2A888BDE" w14:textId="77777777" w:rsidR="001C4D5F" w:rsidRPr="00AC327D" w:rsidRDefault="001C4D5F" w:rsidP="001C4D5F">
            <w:pPr>
              <w:pStyle w:val="Prrafodelista"/>
              <w:numPr>
                <w:ilvl w:val="0"/>
                <w:numId w:val="18"/>
              </w:numPr>
              <w:spacing w:after="160" w:line="360" w:lineRule="auto"/>
              <w:jc w:val="both"/>
              <w:rPr>
                <w:rFonts w:ascii="Century Gothic" w:hAnsi="Century Gothic"/>
                <w:sz w:val="22"/>
                <w:szCs w:val="22"/>
              </w:rPr>
            </w:pPr>
            <w:r w:rsidRPr="00AC327D">
              <w:rPr>
                <w:rFonts w:ascii="Century Gothic" w:hAnsi="Century Gothic"/>
                <w:b/>
                <w:bCs/>
                <w:sz w:val="22"/>
                <w:szCs w:val="22"/>
              </w:rPr>
              <w:t>Perjuicios morales:</w:t>
            </w:r>
            <w:r w:rsidRPr="00AC327D">
              <w:rPr>
                <w:rFonts w:ascii="Century Gothic" w:hAnsi="Century Gothic"/>
                <w:sz w:val="22"/>
                <w:szCs w:val="22"/>
              </w:rPr>
              <w:t xml:space="preserve"> $348.000.000 solicitados a favor de la demandante y su núcleo familiar, con base en el salario mínimo legal vigente del año 2023, distribuidos así:</w:t>
            </w:r>
          </w:p>
          <w:p w14:paraId="536A8835" w14:textId="77777777" w:rsidR="001C4D5F" w:rsidRPr="00AC327D" w:rsidRDefault="001C4D5F" w:rsidP="001C4D5F">
            <w:pPr>
              <w:pStyle w:val="Prrafodelista"/>
              <w:numPr>
                <w:ilvl w:val="0"/>
                <w:numId w:val="19"/>
              </w:numPr>
              <w:spacing w:after="160" w:line="360" w:lineRule="auto"/>
              <w:jc w:val="both"/>
              <w:rPr>
                <w:rFonts w:ascii="Century Gothic" w:hAnsi="Century Gothic"/>
                <w:sz w:val="22"/>
                <w:szCs w:val="22"/>
              </w:rPr>
            </w:pPr>
            <w:r w:rsidRPr="00AC327D">
              <w:rPr>
                <w:rFonts w:ascii="Century Gothic" w:hAnsi="Century Gothic"/>
                <w:sz w:val="22"/>
                <w:szCs w:val="22"/>
              </w:rPr>
              <w:t>Luisa Fernanda Meléndez Ríos: 100 SMLMV ($116.000.000)</w:t>
            </w:r>
          </w:p>
          <w:p w14:paraId="38F83AD0" w14:textId="77777777" w:rsidR="001C4D5F" w:rsidRPr="00AC327D" w:rsidRDefault="001C4D5F" w:rsidP="001C4D5F">
            <w:pPr>
              <w:pStyle w:val="Prrafodelista"/>
              <w:numPr>
                <w:ilvl w:val="0"/>
                <w:numId w:val="19"/>
              </w:numPr>
              <w:spacing w:after="160" w:line="360" w:lineRule="auto"/>
              <w:jc w:val="both"/>
              <w:rPr>
                <w:rFonts w:ascii="Century Gothic" w:hAnsi="Century Gothic"/>
                <w:sz w:val="22"/>
                <w:szCs w:val="22"/>
              </w:rPr>
            </w:pPr>
            <w:r w:rsidRPr="00AC327D">
              <w:rPr>
                <w:rFonts w:ascii="Century Gothic" w:hAnsi="Century Gothic"/>
                <w:sz w:val="22"/>
                <w:szCs w:val="22"/>
              </w:rPr>
              <w:t>Daniel Eduardo Cuenca Melo (compañero permanente): 100 SMLMV ($116.000.000)</w:t>
            </w:r>
          </w:p>
          <w:p w14:paraId="25F50412" w14:textId="77777777" w:rsidR="001C4D5F" w:rsidRPr="00AC327D" w:rsidRDefault="001C4D5F" w:rsidP="001C4D5F">
            <w:pPr>
              <w:pStyle w:val="Prrafodelista"/>
              <w:numPr>
                <w:ilvl w:val="0"/>
                <w:numId w:val="19"/>
              </w:numPr>
              <w:spacing w:after="160" w:line="360" w:lineRule="auto"/>
              <w:jc w:val="both"/>
              <w:rPr>
                <w:rFonts w:ascii="Century Gothic" w:hAnsi="Century Gothic"/>
                <w:sz w:val="22"/>
                <w:szCs w:val="22"/>
              </w:rPr>
            </w:pPr>
            <w:r w:rsidRPr="00AC327D">
              <w:rPr>
                <w:rFonts w:ascii="Century Gothic" w:hAnsi="Century Gothic"/>
                <w:sz w:val="22"/>
                <w:szCs w:val="22"/>
              </w:rPr>
              <w:t>Juanita Cuenca Meléndez (hija): 50 SMLMV ($58.000.000)</w:t>
            </w:r>
          </w:p>
          <w:p w14:paraId="43A9FD75" w14:textId="77777777" w:rsidR="001C4D5F" w:rsidRPr="00AC327D" w:rsidRDefault="001C4D5F" w:rsidP="001C4D5F">
            <w:pPr>
              <w:pStyle w:val="Prrafodelista"/>
              <w:numPr>
                <w:ilvl w:val="0"/>
                <w:numId w:val="19"/>
              </w:numPr>
              <w:spacing w:after="160" w:line="360" w:lineRule="auto"/>
              <w:jc w:val="both"/>
              <w:rPr>
                <w:rFonts w:ascii="Century Gothic" w:hAnsi="Century Gothic"/>
                <w:sz w:val="22"/>
                <w:szCs w:val="22"/>
              </w:rPr>
            </w:pPr>
            <w:r w:rsidRPr="00AC327D">
              <w:rPr>
                <w:rFonts w:ascii="Century Gothic" w:hAnsi="Century Gothic"/>
                <w:sz w:val="22"/>
                <w:szCs w:val="22"/>
              </w:rPr>
              <w:t>Jerónimo Cuenca Meléndez (hijo): 50 SMLMV ($58.000.000)</w:t>
            </w:r>
          </w:p>
          <w:p w14:paraId="77C06868" w14:textId="77777777" w:rsidR="00FD53B3" w:rsidRPr="00AC327D" w:rsidRDefault="00FD53B3" w:rsidP="00E8130C">
            <w:pPr>
              <w:spacing w:line="276" w:lineRule="auto"/>
              <w:jc w:val="both"/>
              <w:rPr>
                <w:rFonts w:ascii="Century Gothic" w:hAnsi="Century Gothic"/>
                <w:sz w:val="22"/>
                <w:szCs w:val="22"/>
              </w:rPr>
            </w:pPr>
          </w:p>
        </w:tc>
      </w:tr>
      <w:tr w:rsidR="00992368" w:rsidRPr="00AC327D" w14:paraId="50D1C7A7" w14:textId="77777777" w:rsidTr="003827E1">
        <w:trPr>
          <w:trHeight w:val="510"/>
        </w:trPr>
        <w:tc>
          <w:tcPr>
            <w:tcW w:w="4537" w:type="dxa"/>
            <w:vAlign w:val="center"/>
          </w:tcPr>
          <w:p w14:paraId="013247F4" w14:textId="68D4118C" w:rsidR="00992368" w:rsidRPr="00AC327D" w:rsidRDefault="001E1616" w:rsidP="003B7F1A">
            <w:pPr>
              <w:spacing w:line="276" w:lineRule="auto"/>
              <w:rPr>
                <w:rFonts w:ascii="Century Gothic" w:hAnsi="Century Gothic"/>
                <w:b/>
                <w:bCs/>
                <w:sz w:val="22"/>
                <w:szCs w:val="22"/>
              </w:rPr>
            </w:pPr>
            <w:r w:rsidRPr="00AC327D">
              <w:rPr>
                <w:rFonts w:ascii="Century Gothic" w:hAnsi="Century Gothic"/>
                <w:b/>
                <w:bCs/>
                <w:sz w:val="22"/>
                <w:szCs w:val="22"/>
              </w:rPr>
              <w:lastRenderedPageBreak/>
              <w:t xml:space="preserve">Valor total de las pretensiones </w:t>
            </w:r>
          </w:p>
        </w:tc>
        <w:tc>
          <w:tcPr>
            <w:tcW w:w="5670" w:type="dxa"/>
            <w:vAlign w:val="center"/>
          </w:tcPr>
          <w:p w14:paraId="00FEFA37" w14:textId="1E4A0F16" w:rsidR="00992368" w:rsidRPr="00AC327D" w:rsidRDefault="009E5DAE" w:rsidP="003827E1">
            <w:pPr>
              <w:spacing w:line="276" w:lineRule="auto"/>
              <w:rPr>
                <w:rFonts w:ascii="Century Gothic" w:hAnsi="Century Gothic"/>
                <w:sz w:val="22"/>
                <w:szCs w:val="22"/>
              </w:rPr>
            </w:pPr>
            <w:r w:rsidRPr="00AC327D">
              <w:rPr>
                <w:rFonts w:ascii="Century Gothic" w:hAnsi="Century Gothic"/>
                <w:sz w:val="22"/>
                <w:szCs w:val="22"/>
                <w:lang w:val="es-CO"/>
              </w:rPr>
              <w:t>$</w:t>
            </w:r>
            <w:r w:rsidR="009D51D0" w:rsidRPr="00AC327D">
              <w:rPr>
                <w:rFonts w:ascii="Century Gothic" w:hAnsi="Century Gothic"/>
                <w:sz w:val="22"/>
                <w:szCs w:val="22"/>
                <w:lang w:val="es-CO"/>
              </w:rPr>
              <w:t>812.000.000</w:t>
            </w:r>
          </w:p>
        </w:tc>
      </w:tr>
      <w:tr w:rsidR="00992368" w:rsidRPr="00AC327D" w14:paraId="668F9413" w14:textId="77777777" w:rsidTr="003827E1">
        <w:trPr>
          <w:trHeight w:val="510"/>
        </w:trPr>
        <w:tc>
          <w:tcPr>
            <w:tcW w:w="4537" w:type="dxa"/>
            <w:vAlign w:val="center"/>
          </w:tcPr>
          <w:p w14:paraId="34E17619" w14:textId="7EF66606" w:rsidR="00992368" w:rsidRPr="00AC327D" w:rsidRDefault="00FD53B3" w:rsidP="003B7F1A">
            <w:pPr>
              <w:spacing w:line="276" w:lineRule="auto"/>
              <w:rPr>
                <w:rFonts w:ascii="Century Gothic" w:hAnsi="Century Gothic"/>
                <w:b/>
                <w:bCs/>
                <w:sz w:val="22"/>
                <w:szCs w:val="22"/>
              </w:rPr>
            </w:pPr>
            <w:r w:rsidRPr="00AC327D">
              <w:rPr>
                <w:rFonts w:ascii="Century Gothic" w:hAnsi="Century Gothic"/>
                <w:b/>
                <w:bCs/>
                <w:sz w:val="22"/>
                <w:szCs w:val="22"/>
              </w:rPr>
              <w:t>Valor total de las pretensiones objetivadas</w:t>
            </w:r>
          </w:p>
        </w:tc>
        <w:tc>
          <w:tcPr>
            <w:tcW w:w="5670" w:type="dxa"/>
            <w:vAlign w:val="center"/>
          </w:tcPr>
          <w:p w14:paraId="487C6084" w14:textId="012533BD" w:rsidR="00992368" w:rsidRPr="00AC327D" w:rsidRDefault="00F8712E" w:rsidP="003436B9">
            <w:pPr>
              <w:spacing w:line="276" w:lineRule="auto"/>
              <w:rPr>
                <w:rFonts w:ascii="Century Gothic" w:hAnsi="Century Gothic"/>
                <w:sz w:val="22"/>
                <w:szCs w:val="22"/>
              </w:rPr>
            </w:pPr>
            <w:r w:rsidRPr="00AC327D">
              <w:rPr>
                <w:rFonts w:ascii="Century Gothic" w:hAnsi="Century Gothic"/>
                <w:sz w:val="22"/>
                <w:szCs w:val="22"/>
                <w:lang w:val="es-CO"/>
              </w:rPr>
              <w:t>$</w:t>
            </w:r>
            <w:r w:rsidR="00E931A8" w:rsidRPr="00AC327D">
              <w:rPr>
                <w:rFonts w:ascii="Century Gothic" w:hAnsi="Century Gothic"/>
                <w:sz w:val="22"/>
                <w:szCs w:val="22"/>
                <w:lang w:val="es-CO"/>
              </w:rPr>
              <w:t>142.350.000</w:t>
            </w:r>
          </w:p>
        </w:tc>
      </w:tr>
    </w:tbl>
    <w:p w14:paraId="146E9C6D" w14:textId="77777777" w:rsidR="0095378E" w:rsidRPr="00AC327D"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C327D" w14:paraId="77F9F71B" w14:textId="77777777" w:rsidTr="0095378E">
        <w:trPr>
          <w:trHeight w:val="285"/>
        </w:trPr>
        <w:tc>
          <w:tcPr>
            <w:tcW w:w="10191" w:type="dxa"/>
            <w:shd w:val="clear" w:color="auto" w:fill="C5E0B3" w:themeFill="accent6" w:themeFillTint="66"/>
            <w:vAlign w:val="center"/>
          </w:tcPr>
          <w:p w14:paraId="10E33877" w14:textId="0E982702" w:rsidR="00E802BC" w:rsidRPr="00AC327D" w:rsidRDefault="00E802BC" w:rsidP="00E802BC">
            <w:pPr>
              <w:spacing w:line="276" w:lineRule="auto"/>
              <w:jc w:val="center"/>
              <w:rPr>
                <w:rFonts w:ascii="Century Gothic" w:hAnsi="Century Gothic"/>
                <w:sz w:val="22"/>
                <w:szCs w:val="22"/>
              </w:rPr>
            </w:pPr>
            <w:r w:rsidRPr="00AC327D">
              <w:rPr>
                <w:rFonts w:ascii="Century Gothic" w:hAnsi="Century Gothic"/>
                <w:b/>
                <w:bCs/>
                <w:sz w:val="22"/>
                <w:szCs w:val="22"/>
              </w:rPr>
              <w:t>Liquidación de las pretensiones objetivadas</w:t>
            </w:r>
          </w:p>
        </w:tc>
      </w:tr>
      <w:tr w:rsidR="003436B9" w:rsidRPr="00AC327D" w14:paraId="33786C43" w14:textId="77777777" w:rsidTr="0095378E">
        <w:trPr>
          <w:trHeight w:val="6406"/>
        </w:trPr>
        <w:tc>
          <w:tcPr>
            <w:tcW w:w="10191" w:type="dxa"/>
            <w:vAlign w:val="center"/>
          </w:tcPr>
          <w:p w14:paraId="7060097A" w14:textId="27A2CB71" w:rsidR="00273983" w:rsidRPr="00AC327D" w:rsidRDefault="00273983" w:rsidP="00273983">
            <w:pPr>
              <w:spacing w:line="360" w:lineRule="auto"/>
              <w:jc w:val="both"/>
              <w:rPr>
                <w:rFonts w:ascii="Century Gothic" w:hAnsi="Century Gothic" w:cs="Arial"/>
                <w:color w:val="000000" w:themeColor="text1"/>
                <w:sz w:val="22"/>
                <w:szCs w:val="22"/>
              </w:rPr>
            </w:pPr>
            <w:r w:rsidRPr="00AC327D">
              <w:rPr>
                <w:rFonts w:ascii="Century Gothic" w:hAnsi="Century Gothic" w:cs="Arial"/>
                <w:color w:val="000000" w:themeColor="text1"/>
                <w:sz w:val="22"/>
                <w:szCs w:val="22"/>
              </w:rPr>
              <w:t xml:space="preserve">Como liquidación objetiva de perjuicios se llegó al total de </w:t>
            </w:r>
            <w:r w:rsidRPr="00AC327D">
              <w:rPr>
                <w:rFonts w:ascii="Century Gothic" w:hAnsi="Century Gothic" w:cs="Arial"/>
                <w:b/>
                <w:bCs/>
                <w:color w:val="000000" w:themeColor="text1"/>
                <w:sz w:val="22"/>
                <w:szCs w:val="22"/>
              </w:rPr>
              <w:t>$</w:t>
            </w:r>
            <w:r w:rsidRPr="00AC327D">
              <w:rPr>
                <w:rFonts w:ascii="Century Gothic" w:hAnsi="Century Gothic" w:cs="Arial"/>
                <w:bCs/>
                <w:color w:val="000000" w:themeColor="text1"/>
                <w:sz w:val="22"/>
                <w:szCs w:val="22"/>
              </w:rPr>
              <w:t>.</w:t>
            </w:r>
            <w:r w:rsidR="00A37612" w:rsidRPr="00AC327D">
              <w:rPr>
                <w:rFonts w:ascii="Century Gothic" w:hAnsi="Century Gothic" w:cs="Arial"/>
                <w:bCs/>
                <w:color w:val="000000" w:themeColor="text1"/>
                <w:sz w:val="22"/>
                <w:szCs w:val="22"/>
              </w:rPr>
              <w:t xml:space="preserve">84.300.000. </w:t>
            </w:r>
            <w:r w:rsidRPr="00AC327D">
              <w:rPr>
                <w:rFonts w:ascii="Century Gothic" w:hAnsi="Century Gothic" w:cs="Arial"/>
                <w:color w:val="000000" w:themeColor="text1"/>
                <w:sz w:val="22"/>
                <w:szCs w:val="22"/>
              </w:rPr>
              <w:t>A este valor se llegó de la siguiente manera:</w:t>
            </w:r>
          </w:p>
          <w:p w14:paraId="47D8E8AB" w14:textId="77777777" w:rsidR="00273983" w:rsidRPr="00AC327D" w:rsidRDefault="00273983" w:rsidP="0097023C">
            <w:pPr>
              <w:spacing w:line="360" w:lineRule="auto"/>
              <w:jc w:val="both"/>
              <w:rPr>
                <w:rFonts w:ascii="Century Gothic" w:hAnsi="Century Gothic" w:cs="Arial"/>
                <w:b/>
                <w:bCs/>
                <w:sz w:val="22"/>
                <w:szCs w:val="22"/>
              </w:rPr>
            </w:pPr>
          </w:p>
          <w:p w14:paraId="59AEF80F" w14:textId="1491BEB5" w:rsidR="00FE46DC" w:rsidRPr="007124F1" w:rsidRDefault="00727C19" w:rsidP="007124F1">
            <w:pPr>
              <w:pStyle w:val="Prrafodelista"/>
              <w:numPr>
                <w:ilvl w:val="0"/>
                <w:numId w:val="25"/>
              </w:numPr>
              <w:spacing w:line="360" w:lineRule="auto"/>
              <w:jc w:val="both"/>
              <w:rPr>
                <w:rFonts w:ascii="Century Gothic" w:hAnsi="Century Gothic"/>
                <w:sz w:val="22"/>
                <w:szCs w:val="22"/>
              </w:rPr>
            </w:pPr>
            <w:r w:rsidRPr="007124F1">
              <w:rPr>
                <w:rFonts w:ascii="Century Gothic" w:hAnsi="Century Gothic"/>
                <w:b/>
                <w:bCs/>
                <w:sz w:val="22"/>
                <w:szCs w:val="22"/>
              </w:rPr>
              <w:t>Daño moral</w:t>
            </w:r>
            <w:r w:rsidR="003B5A31" w:rsidRPr="007124F1">
              <w:rPr>
                <w:rFonts w:ascii="Century Gothic" w:hAnsi="Century Gothic"/>
                <w:b/>
                <w:bCs/>
                <w:sz w:val="22"/>
                <w:szCs w:val="22"/>
              </w:rPr>
              <w:t xml:space="preserve">: </w:t>
            </w:r>
            <w:r w:rsidR="003B5A31" w:rsidRPr="007124F1">
              <w:rPr>
                <w:rFonts w:ascii="Century Gothic" w:hAnsi="Century Gothic"/>
                <w:sz w:val="22"/>
                <w:szCs w:val="22"/>
              </w:rPr>
              <w:t xml:space="preserve">Se reconoce la suma </w:t>
            </w:r>
            <w:r w:rsidR="007124F1" w:rsidRPr="007124F1">
              <w:rPr>
                <w:rFonts w:ascii="Century Gothic" w:hAnsi="Century Gothic"/>
                <w:sz w:val="22"/>
                <w:szCs w:val="22"/>
              </w:rPr>
              <w:t xml:space="preserve">de </w:t>
            </w:r>
            <w:r w:rsidR="007124F1" w:rsidRPr="007124F1">
              <w:rPr>
                <w:rFonts w:ascii="Century Gothic" w:hAnsi="Century Gothic"/>
                <w:b/>
                <w:bCs/>
                <w:sz w:val="22"/>
                <w:szCs w:val="22"/>
              </w:rPr>
              <w:t>$</w:t>
            </w:r>
            <w:r w:rsidR="00FE46DC" w:rsidRPr="007124F1">
              <w:rPr>
                <w:rFonts w:ascii="Century Gothic" w:hAnsi="Century Gothic"/>
                <w:b/>
                <w:bCs/>
                <w:sz w:val="22"/>
                <w:szCs w:val="22"/>
              </w:rPr>
              <w:t>180.000.000</w:t>
            </w:r>
            <w:r w:rsidR="003B5A31" w:rsidRPr="007124F1">
              <w:rPr>
                <w:rFonts w:ascii="Century Gothic" w:hAnsi="Century Gothic"/>
                <w:b/>
                <w:bCs/>
                <w:sz w:val="22"/>
                <w:szCs w:val="22"/>
              </w:rPr>
              <w:t xml:space="preserve">. </w:t>
            </w:r>
            <w:r w:rsidR="00FE46DC" w:rsidRPr="007124F1">
              <w:rPr>
                <w:rFonts w:ascii="Century Gothic" w:hAnsi="Century Gothic"/>
                <w:sz w:val="22"/>
                <w:szCs w:val="22"/>
              </w:rPr>
              <w:t>Si bien en la Sentencia SC-072 de 2025, la Sala de Casación Civil de la Corte Suprema de Justicia estableció un límite máximo orientador de 100 SMLMV como indemnización por daño moral para la víctima directa, también enfatizó que su cuantificación debe atender al arbitrio judicial ponderado, con base en la gravedad del hecho generador, la entidad del daño acreditado, y los parámetros jurisprudenciales consolidados.</w:t>
            </w:r>
            <w:r w:rsidR="003B5A31" w:rsidRPr="007124F1">
              <w:rPr>
                <w:rFonts w:ascii="Century Gothic" w:hAnsi="Century Gothic"/>
                <w:sz w:val="22"/>
                <w:szCs w:val="22"/>
              </w:rPr>
              <w:t xml:space="preserve"> </w:t>
            </w:r>
            <w:r w:rsidR="00FE46DC" w:rsidRPr="007124F1">
              <w:rPr>
                <w:rFonts w:ascii="Century Gothic" w:hAnsi="Century Gothic"/>
                <w:sz w:val="22"/>
                <w:szCs w:val="22"/>
              </w:rPr>
              <w:t>A manera de parámetro, en la Sentencia SC562-2020 del 27 de febrero de 2020, la Corte Suprema reconoció un total de $150.000.000 por daño moral a favor de una menor y su núcleo familiar, en un caso de gravedad superior, en el que se acreditaron secuelas severas y permanentes (ceguera total, retardo mental) derivadas de negligencia médica durante un embarazo no atendido en condiciones adecuadas</w:t>
            </w:r>
            <w:r w:rsidR="003B5A31" w:rsidRPr="007124F1">
              <w:rPr>
                <w:rFonts w:ascii="Century Gothic" w:hAnsi="Century Gothic"/>
                <w:sz w:val="22"/>
                <w:szCs w:val="22"/>
              </w:rPr>
              <w:t xml:space="preserve">, lo que evidencia </w:t>
            </w:r>
            <w:r w:rsidR="00FE46DC" w:rsidRPr="007124F1">
              <w:rPr>
                <w:rFonts w:ascii="Century Gothic" w:hAnsi="Century Gothic"/>
                <w:sz w:val="22"/>
                <w:szCs w:val="22"/>
              </w:rPr>
              <w:t>que la suma solicitada en este proceso resulta desproporcionada y carente de sustento probatorio</w:t>
            </w:r>
            <w:r w:rsidR="003B5A31" w:rsidRPr="007124F1">
              <w:rPr>
                <w:rFonts w:ascii="Century Gothic" w:hAnsi="Century Gothic"/>
                <w:sz w:val="22"/>
                <w:szCs w:val="22"/>
              </w:rPr>
              <w:t xml:space="preserve">. </w:t>
            </w:r>
            <w:r w:rsidR="00FE46DC" w:rsidRPr="007124F1">
              <w:rPr>
                <w:rFonts w:ascii="Century Gothic" w:hAnsi="Century Gothic"/>
                <w:sz w:val="22"/>
                <w:szCs w:val="22"/>
              </w:rPr>
              <w:t xml:space="preserve">En ese sentido, atendiendo a los criterios jurisprudenciales, la afectación alegada por </w:t>
            </w:r>
            <w:r w:rsidR="00FE46DC" w:rsidRPr="007124F1">
              <w:rPr>
                <w:rFonts w:ascii="Century Gothic" w:hAnsi="Century Gothic"/>
                <w:sz w:val="22"/>
                <w:szCs w:val="22"/>
              </w:rPr>
              <w:lastRenderedPageBreak/>
              <w:t>la parte actora no supera el umbral de aflicción ordinaria, propia de circunstancias personales difíciles, pero no susceptible de ser reparada económicamente en los montos solicitados. En consecuencia, se estima que, de llegarse a reconocer algún perjuicio moral, este no debería superar los siguientes valores, conforme a precedentes comparables y los límites fijados por la jurisprudencia:</w:t>
            </w:r>
          </w:p>
          <w:p w14:paraId="1491DF0D" w14:textId="77777777" w:rsidR="00FE46DC" w:rsidRPr="00AC327D" w:rsidRDefault="00FE46DC" w:rsidP="00FE46DC">
            <w:pPr>
              <w:spacing w:line="360" w:lineRule="auto"/>
              <w:jc w:val="both"/>
              <w:rPr>
                <w:rFonts w:ascii="Century Gothic" w:hAnsi="Century Gothic"/>
                <w:sz w:val="22"/>
                <w:szCs w:val="22"/>
              </w:rPr>
            </w:pPr>
          </w:p>
          <w:p w14:paraId="286F4CB7" w14:textId="77777777" w:rsidR="00FE46DC" w:rsidRPr="00AC327D" w:rsidRDefault="00FE46DC" w:rsidP="00FE46DC">
            <w:pPr>
              <w:pStyle w:val="Prrafodelista"/>
              <w:numPr>
                <w:ilvl w:val="0"/>
                <w:numId w:val="23"/>
              </w:numPr>
              <w:spacing w:line="360" w:lineRule="auto"/>
              <w:jc w:val="both"/>
              <w:rPr>
                <w:rFonts w:ascii="Century Gothic" w:hAnsi="Century Gothic"/>
                <w:sz w:val="22"/>
                <w:szCs w:val="22"/>
              </w:rPr>
            </w:pPr>
            <w:r w:rsidRPr="00AC327D">
              <w:rPr>
                <w:rFonts w:ascii="Century Gothic" w:hAnsi="Century Gothic"/>
                <w:sz w:val="22"/>
                <w:szCs w:val="22"/>
              </w:rPr>
              <w:t>Luisa Fernanda Meléndez Ríos (víctima directa): $60.000.000</w:t>
            </w:r>
          </w:p>
          <w:p w14:paraId="50DEC638" w14:textId="77777777" w:rsidR="00FE46DC" w:rsidRPr="00AC327D" w:rsidRDefault="00FE46DC" w:rsidP="00FE46DC">
            <w:pPr>
              <w:pStyle w:val="Prrafodelista"/>
              <w:numPr>
                <w:ilvl w:val="0"/>
                <w:numId w:val="23"/>
              </w:numPr>
              <w:spacing w:line="360" w:lineRule="auto"/>
              <w:jc w:val="both"/>
              <w:rPr>
                <w:rFonts w:ascii="Century Gothic" w:hAnsi="Century Gothic"/>
                <w:sz w:val="22"/>
                <w:szCs w:val="22"/>
              </w:rPr>
            </w:pPr>
            <w:r w:rsidRPr="00AC327D">
              <w:rPr>
                <w:rFonts w:ascii="Century Gothic" w:hAnsi="Century Gothic"/>
                <w:sz w:val="22"/>
                <w:szCs w:val="22"/>
              </w:rPr>
              <w:t>Daniel Eduardo Cuenca Melo (compañero permanente): $60.000.000</w:t>
            </w:r>
          </w:p>
          <w:p w14:paraId="0D6745F6" w14:textId="77777777" w:rsidR="00FE46DC" w:rsidRPr="00AC327D" w:rsidRDefault="00FE46DC" w:rsidP="00FE46DC">
            <w:pPr>
              <w:pStyle w:val="Prrafodelista"/>
              <w:numPr>
                <w:ilvl w:val="0"/>
                <w:numId w:val="23"/>
              </w:numPr>
              <w:spacing w:line="360" w:lineRule="auto"/>
              <w:jc w:val="both"/>
              <w:rPr>
                <w:rFonts w:ascii="Century Gothic" w:hAnsi="Century Gothic"/>
                <w:sz w:val="22"/>
                <w:szCs w:val="22"/>
              </w:rPr>
            </w:pPr>
            <w:r w:rsidRPr="00AC327D">
              <w:rPr>
                <w:rFonts w:ascii="Century Gothic" w:hAnsi="Century Gothic"/>
                <w:sz w:val="22"/>
                <w:szCs w:val="22"/>
              </w:rPr>
              <w:t>Juanita Cuenca Meléndez (hija): $30.000.000</w:t>
            </w:r>
          </w:p>
          <w:p w14:paraId="4DF3AC42" w14:textId="77777777" w:rsidR="00FE46DC" w:rsidRPr="00AC327D" w:rsidRDefault="00FE46DC" w:rsidP="00FE46DC">
            <w:pPr>
              <w:pStyle w:val="Prrafodelista"/>
              <w:numPr>
                <w:ilvl w:val="0"/>
                <w:numId w:val="23"/>
              </w:numPr>
              <w:spacing w:line="360" w:lineRule="auto"/>
              <w:jc w:val="both"/>
              <w:rPr>
                <w:rFonts w:ascii="Century Gothic" w:hAnsi="Century Gothic"/>
                <w:sz w:val="22"/>
                <w:szCs w:val="22"/>
              </w:rPr>
            </w:pPr>
            <w:r w:rsidRPr="00AC327D">
              <w:rPr>
                <w:rFonts w:ascii="Century Gothic" w:hAnsi="Century Gothic"/>
                <w:sz w:val="22"/>
                <w:szCs w:val="22"/>
              </w:rPr>
              <w:t>Jerónimo Cuenca Meléndez (hijo): $30.000.000</w:t>
            </w:r>
          </w:p>
          <w:p w14:paraId="5B57965B" w14:textId="410D5313" w:rsidR="00727C19" w:rsidRPr="00AC327D" w:rsidRDefault="00727C19" w:rsidP="00727C19">
            <w:pPr>
              <w:rPr>
                <w:rFonts w:ascii="Century Gothic" w:hAnsi="Century Gothic"/>
                <w:sz w:val="22"/>
                <w:szCs w:val="22"/>
              </w:rPr>
            </w:pPr>
            <w:r w:rsidRPr="00AC327D">
              <w:rPr>
                <w:rFonts w:ascii="Century Gothic" w:hAnsi="Century Gothic"/>
                <w:sz w:val="22"/>
                <w:szCs w:val="22"/>
              </w:rPr>
              <w:br/>
            </w:r>
          </w:p>
          <w:p w14:paraId="6EA1911B" w14:textId="1EDE4A38" w:rsidR="00C85723" w:rsidRPr="007124F1" w:rsidRDefault="00154644" w:rsidP="007124F1">
            <w:pPr>
              <w:pStyle w:val="Prrafodelista"/>
              <w:numPr>
                <w:ilvl w:val="0"/>
                <w:numId w:val="25"/>
              </w:numPr>
              <w:spacing w:line="360" w:lineRule="auto"/>
              <w:jc w:val="both"/>
              <w:rPr>
                <w:rFonts w:ascii="Century Gothic" w:hAnsi="Century Gothic"/>
                <w:sz w:val="22"/>
                <w:szCs w:val="22"/>
              </w:rPr>
            </w:pPr>
            <w:r w:rsidRPr="007124F1">
              <w:rPr>
                <w:rFonts w:ascii="Century Gothic" w:hAnsi="Century Gothic"/>
                <w:b/>
                <w:bCs/>
                <w:sz w:val="22"/>
                <w:szCs w:val="22"/>
              </w:rPr>
              <w:t>DAÑO A LA SALUD:</w:t>
            </w:r>
            <w:r w:rsidRPr="007124F1">
              <w:rPr>
                <w:rFonts w:ascii="Century Gothic" w:hAnsi="Century Gothic"/>
                <w:sz w:val="22"/>
                <w:szCs w:val="22"/>
              </w:rPr>
              <w:t xml:space="preserve"> </w:t>
            </w:r>
            <w:r w:rsidR="00C85723" w:rsidRPr="007124F1">
              <w:rPr>
                <w:rFonts w:ascii="Arial" w:hAnsi="Arial" w:cs="Arial"/>
                <w:sz w:val="22"/>
                <w:szCs w:val="22"/>
              </w:rPr>
              <w:t>​</w:t>
            </w:r>
            <w:r w:rsidR="003B5A31" w:rsidRPr="007124F1">
              <w:rPr>
                <w:rFonts w:ascii="Century Gothic" w:hAnsi="Century Gothic" w:cs="Arial"/>
                <w:sz w:val="22"/>
                <w:szCs w:val="22"/>
              </w:rPr>
              <w:t>No es jurídicamente viable considerar suma alguna por concepto de esta tipología de perjuicio, toda vez que el mismo en la jurisdicción ordinaria especialidad civil no constituye un daño resarcible. Lo anterior, tal y como lo ha reconocido la Corte Suprema de Justicia en sentencia SC10297-2014 con Rad: 11001-31-03-003-2003-00660-01 del 05 de agosto de 2014. En el mismo sentido, aún en el evento en que el juez adecúe esta pretensión en virtud del principio "</w:t>
            </w:r>
            <w:proofErr w:type="spellStart"/>
            <w:r w:rsidR="003B5A31" w:rsidRPr="007124F1">
              <w:rPr>
                <w:rFonts w:ascii="Century Gothic" w:hAnsi="Century Gothic" w:cs="Arial"/>
                <w:sz w:val="22"/>
                <w:szCs w:val="22"/>
              </w:rPr>
              <w:t>iura</w:t>
            </w:r>
            <w:proofErr w:type="spellEnd"/>
            <w:r w:rsidR="003B5A31" w:rsidRPr="007124F1">
              <w:rPr>
                <w:rFonts w:ascii="Century Gothic" w:hAnsi="Century Gothic" w:cs="Arial"/>
                <w:sz w:val="22"/>
                <w:szCs w:val="22"/>
              </w:rPr>
              <w:t xml:space="preserve"> </w:t>
            </w:r>
            <w:proofErr w:type="spellStart"/>
            <w:r w:rsidR="003B5A31" w:rsidRPr="007124F1">
              <w:rPr>
                <w:rFonts w:ascii="Century Gothic" w:hAnsi="Century Gothic" w:cs="Arial"/>
                <w:sz w:val="22"/>
                <w:szCs w:val="22"/>
              </w:rPr>
              <w:t>novit</w:t>
            </w:r>
            <w:proofErr w:type="spellEnd"/>
            <w:r w:rsidR="003B5A31" w:rsidRPr="007124F1">
              <w:rPr>
                <w:rFonts w:ascii="Century Gothic" w:hAnsi="Century Gothic" w:cs="Arial"/>
                <w:sz w:val="22"/>
                <w:szCs w:val="22"/>
              </w:rPr>
              <w:t xml:space="preserve"> curia" a la tipología de daño a la vida de relación, debe advertirse que en el proceso no obra prueba que acredite que las lesiones impidieron el disfrute de las actividades diarias con ocasión a la atención médica prestada a la señor</w:t>
            </w:r>
            <w:r w:rsidR="00AC327D">
              <w:rPr>
                <w:rFonts w:ascii="Century Gothic" w:hAnsi="Century Gothic" w:cs="Arial"/>
                <w:sz w:val="22"/>
                <w:szCs w:val="22"/>
              </w:rPr>
              <w:t>a</w:t>
            </w:r>
            <w:r w:rsidR="003B5A31" w:rsidRPr="007124F1">
              <w:rPr>
                <w:rFonts w:ascii="Century Gothic" w:hAnsi="Century Gothic" w:cs="Arial"/>
                <w:sz w:val="22"/>
                <w:szCs w:val="22"/>
              </w:rPr>
              <w:t xml:space="preserve"> Luisa Fernanda Meléndez Ríos. </w:t>
            </w:r>
          </w:p>
          <w:p w14:paraId="71E30437" w14:textId="77777777" w:rsidR="00154644" w:rsidRPr="00AC327D" w:rsidRDefault="00154644" w:rsidP="0097023C">
            <w:pPr>
              <w:spacing w:line="360" w:lineRule="auto"/>
              <w:jc w:val="both"/>
              <w:rPr>
                <w:rFonts w:ascii="Century Gothic" w:hAnsi="Century Gothic"/>
                <w:sz w:val="22"/>
                <w:szCs w:val="22"/>
              </w:rPr>
            </w:pPr>
          </w:p>
          <w:p w14:paraId="31FF8AB1" w14:textId="387727D6" w:rsidR="00A37612" w:rsidRPr="007124F1" w:rsidRDefault="00A37612" w:rsidP="007124F1">
            <w:pPr>
              <w:pStyle w:val="Prrafodelista"/>
              <w:numPr>
                <w:ilvl w:val="0"/>
                <w:numId w:val="25"/>
              </w:numPr>
              <w:spacing w:line="360" w:lineRule="auto"/>
              <w:jc w:val="both"/>
              <w:rPr>
                <w:rFonts w:ascii="Century Gothic" w:hAnsi="Century Gothic"/>
                <w:sz w:val="22"/>
                <w:szCs w:val="22"/>
              </w:rPr>
            </w:pPr>
            <w:r w:rsidRPr="007124F1">
              <w:rPr>
                <w:rFonts w:ascii="Century Gothic" w:hAnsi="Century Gothic"/>
                <w:b/>
                <w:bCs/>
                <w:sz w:val="22"/>
                <w:szCs w:val="22"/>
              </w:rPr>
              <w:t>DEDUCIBLE:</w:t>
            </w:r>
            <w:r w:rsidRPr="007124F1">
              <w:rPr>
                <w:rFonts w:ascii="Century Gothic" w:hAnsi="Century Gothic"/>
                <w:sz w:val="22"/>
                <w:szCs w:val="22"/>
              </w:rPr>
              <w:t xml:space="preserve"> Teniendo presente que la liquidación objetiva de los perjuicios, bajo criterios orientadores de jurisprudencia y proporcionalidad, asciende a $180.000.000, debe resaltarse que la póliza No. AA198548 establece un deducible del 12.5% del valor de la pérdida o mínimo $95.700.000, según lo pactado en sus condiciones generales. En este caso, al aplicar ambos criterios, resulta más favorable para la aseguradora considerar el mínimo pactado, es decir, $95.700.000. Así, la liquidación objetiva con deducible aplicado equivale a $84.300.000, lo cual corresponde al límite máximo de eventual traslado económico bajo la hipótesis de que prosperaran las pretensiones. </w:t>
            </w:r>
          </w:p>
        </w:tc>
      </w:tr>
    </w:tbl>
    <w:p w14:paraId="7273C5A1" w14:textId="77777777" w:rsidR="0095378E" w:rsidRPr="00AC327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C327D" w14:paraId="05674BEA" w14:textId="77777777" w:rsidTr="3D1942E6">
        <w:trPr>
          <w:trHeight w:val="321"/>
        </w:trPr>
        <w:tc>
          <w:tcPr>
            <w:tcW w:w="10207" w:type="dxa"/>
            <w:shd w:val="clear" w:color="auto" w:fill="C5E0B3" w:themeFill="accent6" w:themeFillTint="66"/>
            <w:vAlign w:val="center"/>
          </w:tcPr>
          <w:p w14:paraId="2BB97918" w14:textId="52E94393" w:rsidR="003B7F1A" w:rsidRPr="00AC327D" w:rsidRDefault="003B7F1A" w:rsidP="003B7F1A">
            <w:pPr>
              <w:spacing w:line="276" w:lineRule="auto"/>
              <w:jc w:val="center"/>
              <w:rPr>
                <w:rFonts w:ascii="Century Gothic" w:hAnsi="Century Gothic"/>
                <w:sz w:val="22"/>
                <w:szCs w:val="22"/>
              </w:rPr>
            </w:pPr>
            <w:r w:rsidRPr="00AC327D">
              <w:rPr>
                <w:rFonts w:ascii="Century Gothic" w:hAnsi="Century Gothic"/>
                <w:b/>
                <w:bCs/>
                <w:sz w:val="22"/>
                <w:szCs w:val="22"/>
              </w:rPr>
              <w:t>Excepciones</w:t>
            </w:r>
          </w:p>
        </w:tc>
      </w:tr>
      <w:tr w:rsidR="003B7F1A" w:rsidRPr="00AC327D" w14:paraId="4AAD7549" w14:textId="77777777" w:rsidTr="3D1942E6">
        <w:trPr>
          <w:trHeight w:val="3906"/>
        </w:trPr>
        <w:tc>
          <w:tcPr>
            <w:tcW w:w="10207" w:type="dxa"/>
            <w:vAlign w:val="center"/>
          </w:tcPr>
          <w:p w14:paraId="27CA92BC" w14:textId="77777777" w:rsidR="0064228A" w:rsidRPr="00AC327D" w:rsidRDefault="0064228A" w:rsidP="0064228A">
            <w:pPr>
              <w:rPr>
                <w:rFonts w:ascii="Century Gothic" w:hAnsi="Century Gothic"/>
                <w:b/>
                <w:bCs/>
                <w:sz w:val="22"/>
                <w:szCs w:val="22"/>
              </w:rPr>
            </w:pPr>
            <w:r w:rsidRPr="00AC327D">
              <w:rPr>
                <w:rFonts w:ascii="Century Gothic" w:hAnsi="Century Gothic"/>
                <w:b/>
                <w:bCs/>
                <w:sz w:val="22"/>
                <w:szCs w:val="22"/>
              </w:rPr>
              <w:lastRenderedPageBreak/>
              <w:t>EXCEPCIONES FRENTE LA DEMANDA</w:t>
            </w:r>
          </w:p>
          <w:p w14:paraId="216C10E3"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EXCEPCIONES PLANTEADAS POR QUIEN FORMULÓ EL LLAMAMIENTO EN GARANTÍA A MI REPRESENTADA.</w:t>
            </w:r>
          </w:p>
          <w:p w14:paraId="49D09F18"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INEXISTENCIA DE RESPONSABILIDAD DE LA CAJA DE COMPENSACIÓN FAMILIAR COMPENSAR COMO CONSECUENCIA DEL CUMPLIMIENTO DE LAS OBLIGACIONES LEGALES QUE LE CORRESPONDEN COMO ENTIDAD PROMOTORA DE SALUD.</w:t>
            </w:r>
          </w:p>
          <w:p w14:paraId="63743242"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 xml:space="preserve">INEXISTENTE RELACIÓN DE CAUSALIDAD ENTRE EL DAÑO O PERJUICIO ALEGADO POR LA PARTE ACTORA Y LA ACTUACIÓN DE LA CAJA DE COMPENSACIÓN FAMILIAR COMPENSAR- ENTIDAD PROMOTORA DE SALUD. </w:t>
            </w:r>
          </w:p>
          <w:p w14:paraId="7BB9064F"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 xml:space="preserve">IMPROCEDENCIA DEL RECONOCIMIENTO DEL DAÑO MORAL Y SU TASACION EXHOBITANTE. </w:t>
            </w:r>
          </w:p>
          <w:p w14:paraId="0433F9F7"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IMPROCEDENCIA DEL RECONOCIMIENTO DEL DAÑO A LA SALUD.</w:t>
            </w:r>
          </w:p>
          <w:p w14:paraId="5909368C" w14:textId="77777777" w:rsidR="0064228A" w:rsidRPr="00AC327D" w:rsidRDefault="0064228A" w:rsidP="0064228A">
            <w:pPr>
              <w:pStyle w:val="Prrafodelista"/>
              <w:numPr>
                <w:ilvl w:val="0"/>
                <w:numId w:val="21"/>
              </w:numPr>
              <w:spacing w:after="160" w:line="259" w:lineRule="auto"/>
              <w:rPr>
                <w:rFonts w:ascii="Century Gothic" w:hAnsi="Century Gothic"/>
                <w:sz w:val="22"/>
                <w:szCs w:val="22"/>
              </w:rPr>
            </w:pPr>
            <w:r w:rsidRPr="00AC327D">
              <w:rPr>
                <w:rFonts w:ascii="Century Gothic" w:hAnsi="Century Gothic"/>
                <w:sz w:val="22"/>
                <w:szCs w:val="22"/>
              </w:rPr>
              <w:t>GENÉRICA O INNOMINADA.</w:t>
            </w:r>
          </w:p>
          <w:p w14:paraId="517E6D14" w14:textId="77777777" w:rsidR="0064228A" w:rsidRPr="00AC327D" w:rsidRDefault="0064228A" w:rsidP="0064228A">
            <w:pPr>
              <w:pStyle w:val="Ttulo4"/>
              <w:keepNext/>
              <w:keepLines/>
              <w:widowControl w:val="0"/>
              <w:autoSpaceDE w:val="0"/>
              <w:autoSpaceDN w:val="0"/>
              <w:spacing w:before="0" w:beforeAutospacing="0" w:after="40" w:afterAutospacing="0"/>
              <w:ind w:left="360"/>
              <w:rPr>
                <w:rFonts w:ascii="Century Gothic" w:hAnsi="Century Gothic" w:cs="Arial"/>
                <w:b w:val="0"/>
                <w:bCs w:val="0"/>
                <w:i/>
                <w:iCs/>
                <w:color w:val="000000" w:themeColor="text1"/>
                <w:sz w:val="22"/>
                <w:szCs w:val="22"/>
              </w:rPr>
            </w:pPr>
          </w:p>
          <w:p w14:paraId="7A2B7865" w14:textId="77777777" w:rsidR="0064228A" w:rsidRPr="00AC327D" w:rsidRDefault="0064228A" w:rsidP="0064228A">
            <w:pPr>
              <w:pStyle w:val="Ttulo4"/>
              <w:keepNext/>
              <w:keepLines/>
              <w:widowControl w:val="0"/>
              <w:autoSpaceDE w:val="0"/>
              <w:autoSpaceDN w:val="0"/>
              <w:spacing w:before="0" w:beforeAutospacing="0" w:after="40" w:afterAutospacing="0"/>
              <w:ind w:left="360"/>
              <w:rPr>
                <w:rFonts w:ascii="Century Gothic" w:hAnsi="Century Gothic" w:cs="Arial"/>
                <w:color w:val="000000" w:themeColor="text1"/>
                <w:sz w:val="22"/>
                <w:szCs w:val="22"/>
              </w:rPr>
            </w:pPr>
            <w:r w:rsidRPr="00AC327D">
              <w:rPr>
                <w:rFonts w:ascii="Century Gothic" w:hAnsi="Century Gothic" w:cs="Arial"/>
                <w:color w:val="000000" w:themeColor="text1"/>
                <w:sz w:val="22"/>
                <w:szCs w:val="22"/>
              </w:rPr>
              <w:t>EXCEPCIONES FRENTE AL LLAMAMIENTO EN GARANTÍA.</w:t>
            </w:r>
          </w:p>
          <w:p w14:paraId="70B6BC9D" w14:textId="77777777" w:rsidR="0064228A" w:rsidRPr="00AC327D" w:rsidRDefault="0064228A" w:rsidP="0064228A">
            <w:pPr>
              <w:pStyle w:val="Ttulo4"/>
              <w:keepNext/>
              <w:keepLines/>
              <w:widowControl w:val="0"/>
              <w:autoSpaceDE w:val="0"/>
              <w:autoSpaceDN w:val="0"/>
              <w:spacing w:before="0" w:beforeAutospacing="0" w:after="40" w:afterAutospacing="0"/>
              <w:ind w:left="360"/>
              <w:rPr>
                <w:rFonts w:ascii="Century Gothic" w:hAnsi="Century Gothic" w:cs="Arial"/>
                <w:b w:val="0"/>
                <w:bCs w:val="0"/>
                <w:i/>
                <w:iCs/>
                <w:color w:val="000000" w:themeColor="text1"/>
                <w:sz w:val="22"/>
                <w:szCs w:val="22"/>
              </w:rPr>
            </w:pPr>
          </w:p>
          <w:p w14:paraId="2D6ED20A"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NO EXISTE OBLIGACIÓN INDEMNIZATORIA A CARGO DE LA EQUIDAD SEGUROS GENERALES O.C., TODA VEZ QUE NO SE HA REALIZADO EL RIESGO ASEGURADO EN LA PÓLIZA AA198548</w:t>
            </w:r>
          </w:p>
          <w:p w14:paraId="0F7C9EFB"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 xml:space="preserve">FALTA DE COBERTURA MATERIAL AL ESTAR ANTE UN RIESGO EXPRESAMENTE EXCLUIDO DE AMPARO. </w:t>
            </w:r>
          </w:p>
          <w:p w14:paraId="3AEBB264"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EXCLUSIONES DE LA POLIZA AA198548.</w:t>
            </w:r>
          </w:p>
          <w:p w14:paraId="7F276A6F"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EN TODO CASO EXISTE UN CARÁCTER MERAMENTE INDEMNIZATORIO DE LOS CONTRATOS DE SEGURO.</w:t>
            </w:r>
          </w:p>
          <w:p w14:paraId="262B28CD"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EN CUALQUIER CASO, DE NINGUNA FORMA SE PODRÁ EXCEDER EL LÍMITE DEL VALOR ASEGURADO EN LA PÓLIZA No. AA198548.</w:t>
            </w:r>
          </w:p>
          <w:p w14:paraId="60C8F957"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EN CUALQUIER CASO, SE DEBERÁ TENER EN CUENTA EL DEDUCIBLE PACTADO EN LA PÓLIZA 10% DEL VALOR DE LA PÉRDIDA MÍNIMO $95.700.000.</w:t>
            </w:r>
          </w:p>
          <w:p w14:paraId="191279A4"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 xml:space="preserve">PRESCRIPCIÓN DE LA ACCIÓN DERIVADA DEL CONTRATO DE SEGURO. </w:t>
            </w:r>
          </w:p>
          <w:p w14:paraId="74D145CB"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EN TODO CASO SE DEBE OBSERVAR LA SUJECIÓN A LAS CONDICIONES PARTICULARES Y GENERALES DEL CONTRATO DE SEGURO, EL CLAUSULADO Y LOS AMPAROS.</w:t>
            </w:r>
          </w:p>
          <w:p w14:paraId="1B6F65F3" w14:textId="77777777" w:rsidR="0064228A" w:rsidRPr="00AC327D" w:rsidRDefault="0064228A" w:rsidP="0064228A">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DISPONIBILIDAD DEL VALOR ASEGURADO</w:t>
            </w:r>
          </w:p>
          <w:p w14:paraId="52CE2D52" w14:textId="47508BBA" w:rsidR="003631BB" w:rsidRPr="00AC327D" w:rsidRDefault="0064228A" w:rsidP="004F4655">
            <w:pPr>
              <w:pStyle w:val="Prrafodelista"/>
              <w:numPr>
                <w:ilvl w:val="0"/>
                <w:numId w:val="20"/>
              </w:numPr>
              <w:spacing w:after="160" w:line="259" w:lineRule="auto"/>
              <w:jc w:val="both"/>
              <w:rPr>
                <w:rFonts w:ascii="Century Gothic" w:hAnsi="Century Gothic"/>
                <w:sz w:val="22"/>
                <w:szCs w:val="22"/>
              </w:rPr>
            </w:pPr>
            <w:r w:rsidRPr="00AC327D">
              <w:rPr>
                <w:rFonts w:ascii="Century Gothic" w:hAnsi="Century Gothic"/>
                <w:sz w:val="22"/>
                <w:szCs w:val="22"/>
              </w:rPr>
              <w:t>GENÉRICA O INNOMINADA Y OTRAS</w:t>
            </w:r>
          </w:p>
        </w:tc>
      </w:tr>
    </w:tbl>
    <w:p w14:paraId="0AA122B4" w14:textId="77777777" w:rsidR="00F67EF8" w:rsidRPr="00AC327D"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C327D" w14:paraId="4B531C7D" w14:textId="77777777" w:rsidTr="3D1942E6">
        <w:trPr>
          <w:trHeight w:val="454"/>
        </w:trPr>
        <w:tc>
          <w:tcPr>
            <w:tcW w:w="3266" w:type="dxa"/>
            <w:vAlign w:val="center"/>
            <w:hideMark/>
          </w:tcPr>
          <w:p w14:paraId="3F99B56F" w14:textId="1315CCDB" w:rsidR="00EE687D" w:rsidRPr="00AC327D" w:rsidRDefault="006F0CAA" w:rsidP="00EB6A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125FEEA" w:rsidR="00EE687D" w:rsidRPr="00AC327D" w:rsidRDefault="00000000" w:rsidP="00EB6AB4">
            <w:pPr>
              <w:jc w:val="both"/>
              <w:rPr>
                <w:rFonts w:ascii="Century Gothic" w:hAnsi="Century Gothic" w:cs="Segoe UI"/>
                <w:sz w:val="22"/>
                <w:szCs w:val="22"/>
                <w:lang w:eastAsia="es-CO"/>
              </w:rPr>
            </w:pPr>
            <w:sdt>
              <w:sdtPr>
                <w:rPr>
                  <w:rFonts w:ascii="Century Gothic" w:hAnsi="Century Gothic"/>
                  <w:sz w:val="22"/>
                  <w:szCs w:val="22"/>
                </w:rPr>
                <w:alias w:val="NUMUERO SINIESTRO"/>
                <w:tag w:val="NUMERO SINIESTRO"/>
                <w:id w:val="1952504439"/>
                <w:placeholder>
                  <w:docPart w:val="15282991EE3442FA929AA71379FF3E22"/>
                </w:placeholder>
                <w:text/>
              </w:sdtPr>
              <w:sdtContent>
                <w:r w:rsidR="0064228A" w:rsidRPr="00AC327D">
                  <w:rPr>
                    <w:rFonts w:ascii="Century Gothic" w:hAnsi="Century Gothic"/>
                    <w:sz w:val="22"/>
                    <w:szCs w:val="22"/>
                  </w:rPr>
                  <w:t>10290466</w:t>
                </w:r>
              </w:sdtContent>
            </w:sdt>
          </w:p>
        </w:tc>
      </w:tr>
      <w:tr w:rsidR="006F0CAA" w:rsidRPr="00AC327D" w14:paraId="7A21B905" w14:textId="77777777" w:rsidTr="3D1942E6">
        <w:trPr>
          <w:trHeight w:val="454"/>
        </w:trPr>
        <w:tc>
          <w:tcPr>
            <w:tcW w:w="3266" w:type="dxa"/>
            <w:vAlign w:val="center"/>
          </w:tcPr>
          <w:p w14:paraId="533380A9" w14:textId="7103E52D" w:rsidR="006F0CAA" w:rsidRPr="00AC327D" w:rsidRDefault="006F0CAA" w:rsidP="3D1942E6">
            <w:pPr>
              <w:jc w:val="both"/>
              <w:textAlignment w:val="baseline"/>
              <w:rPr>
                <w:rFonts w:ascii="Century Gothic" w:hAnsi="Century Gothic"/>
                <w:b/>
                <w:bCs/>
                <w:color w:val="000000"/>
                <w:sz w:val="22"/>
                <w:szCs w:val="22"/>
                <w:shd w:val="clear" w:color="auto" w:fill="FFFFFF"/>
                <w:lang w:val="es-ES" w:eastAsia="es-CO"/>
              </w:rPr>
            </w:pPr>
            <w:r w:rsidRPr="00AC327D">
              <w:rPr>
                <w:rFonts w:ascii="Century Gothic" w:hAnsi="Century Gothic"/>
                <w:b/>
                <w:bCs/>
                <w:color w:val="000000"/>
                <w:sz w:val="22"/>
                <w:szCs w:val="22"/>
                <w:shd w:val="clear" w:color="auto" w:fill="FFFFFF"/>
                <w:lang w:val="es-ES" w:eastAsia="es-CO"/>
              </w:rPr>
              <w:t xml:space="preserve">Caso </w:t>
            </w:r>
            <w:proofErr w:type="spellStart"/>
            <w:r w:rsidRPr="00AC327D">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83A71D3" w:rsidR="006F0CAA" w:rsidRPr="00020CAA" w:rsidRDefault="00020CAA" w:rsidP="00EB6AB4">
            <w:pPr>
              <w:jc w:val="both"/>
              <w:rPr>
                <w:rFonts w:ascii="Century Gothic" w:hAnsi="Century Gothic" w:cs="Segoe UI"/>
                <w:sz w:val="22"/>
                <w:szCs w:val="22"/>
                <w:lang w:val="es-CO" w:eastAsia="es-CO"/>
              </w:rPr>
            </w:pPr>
            <w:r w:rsidRPr="00020CAA">
              <w:rPr>
                <w:rFonts w:ascii="Century Gothic" w:hAnsi="Century Gothic" w:cs="Segoe UI"/>
                <w:sz w:val="22"/>
                <w:szCs w:val="22"/>
                <w:lang w:val="es-CO" w:eastAsia="es-CO"/>
              </w:rPr>
              <w:t>187928</w:t>
            </w:r>
          </w:p>
        </w:tc>
      </w:tr>
      <w:tr w:rsidR="00EE687D" w:rsidRPr="00AC327D" w14:paraId="00877764" w14:textId="77777777" w:rsidTr="3D1942E6">
        <w:trPr>
          <w:trHeight w:val="454"/>
        </w:trPr>
        <w:tc>
          <w:tcPr>
            <w:tcW w:w="3266" w:type="dxa"/>
            <w:vAlign w:val="center"/>
            <w:hideMark/>
          </w:tcPr>
          <w:p w14:paraId="749E810E" w14:textId="77777777" w:rsidR="00EE687D" w:rsidRPr="00AC327D" w:rsidRDefault="00EE687D" w:rsidP="00EB6A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Póliza</w:t>
            </w:r>
          </w:p>
        </w:tc>
        <w:tc>
          <w:tcPr>
            <w:tcW w:w="6941" w:type="dxa"/>
            <w:vAlign w:val="center"/>
          </w:tcPr>
          <w:p w14:paraId="7FC9EC9E" w14:textId="79F1DFBD" w:rsidR="00EE687D" w:rsidRPr="00AC327D" w:rsidRDefault="00B47D52" w:rsidP="003631BB">
            <w:pPr>
              <w:rPr>
                <w:rFonts w:ascii="Century Gothic" w:hAnsi="Century Gothic"/>
                <w:sz w:val="22"/>
                <w:szCs w:val="22"/>
                <w:lang w:val="es-CO"/>
              </w:rPr>
            </w:pPr>
            <w:r w:rsidRPr="00AC327D">
              <w:rPr>
                <w:rFonts w:ascii="Century Gothic" w:hAnsi="Century Gothic" w:cs="Century Gothic"/>
                <w:color w:val="000000"/>
                <w:sz w:val="22"/>
                <w:szCs w:val="22"/>
              </w:rPr>
              <w:t xml:space="preserve"> </w:t>
            </w:r>
            <w:r w:rsidR="00F91C73" w:rsidRPr="00AC327D">
              <w:rPr>
                <w:rFonts w:ascii="Century Gothic" w:hAnsi="Century Gothic"/>
                <w:sz w:val="22"/>
                <w:szCs w:val="22"/>
              </w:rPr>
              <w:t>AA198548</w:t>
            </w:r>
          </w:p>
        </w:tc>
      </w:tr>
      <w:tr w:rsidR="00EE687D" w:rsidRPr="00AC327D" w14:paraId="3260B646" w14:textId="77777777" w:rsidTr="3D1942E6">
        <w:trPr>
          <w:trHeight w:val="454"/>
        </w:trPr>
        <w:tc>
          <w:tcPr>
            <w:tcW w:w="3266" w:type="dxa"/>
            <w:vAlign w:val="center"/>
            <w:hideMark/>
          </w:tcPr>
          <w:p w14:paraId="67FBF2E5" w14:textId="77777777" w:rsidR="00EE687D" w:rsidRPr="00AC327D" w:rsidRDefault="00EE687D" w:rsidP="00EB6A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56B3C235" w:rsidR="00EE687D" w:rsidRPr="00AC327D" w:rsidRDefault="00B04CAC" w:rsidP="00B47D52">
            <w:pPr>
              <w:autoSpaceDE w:val="0"/>
              <w:autoSpaceDN w:val="0"/>
              <w:adjustRightInd w:val="0"/>
              <w:rPr>
                <w:rFonts w:ascii="Century Gothic" w:hAnsi="Century Gothic" w:cs="Times New Roman"/>
                <w:sz w:val="22"/>
                <w:szCs w:val="22"/>
                <w:lang w:val="es-CO"/>
              </w:rPr>
            </w:pPr>
            <w:r w:rsidRPr="00AC327D">
              <w:rPr>
                <w:rFonts w:ascii="Century Gothic" w:hAnsi="Century Gothic" w:cs="Segoe UI"/>
                <w:sz w:val="22"/>
                <w:szCs w:val="22"/>
                <w:bdr w:val="none" w:sz="0" w:space="0" w:color="auto" w:frame="1"/>
              </w:rPr>
              <w:br/>
            </w:r>
            <w:r w:rsidR="000825DC" w:rsidRPr="00AC327D">
              <w:rPr>
                <w:rFonts w:ascii="Century Gothic" w:hAnsi="Century Gothic" w:cs="Times New Roman"/>
                <w:sz w:val="22"/>
                <w:szCs w:val="22"/>
                <w:lang w:val="es-CO"/>
              </w:rPr>
              <w:t>AB044907</w:t>
            </w:r>
          </w:p>
        </w:tc>
      </w:tr>
      <w:tr w:rsidR="00EE687D" w:rsidRPr="00AC327D" w14:paraId="0BC7C6A3" w14:textId="77777777" w:rsidTr="3D1942E6">
        <w:trPr>
          <w:trHeight w:val="454"/>
        </w:trPr>
        <w:tc>
          <w:tcPr>
            <w:tcW w:w="3266" w:type="dxa"/>
            <w:vAlign w:val="center"/>
            <w:hideMark/>
          </w:tcPr>
          <w:p w14:paraId="433D63BC" w14:textId="77777777" w:rsidR="00EE687D" w:rsidRPr="00AC327D" w:rsidRDefault="00EE687D" w:rsidP="00EB6A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AC327D" w:rsidRDefault="003631BB" w:rsidP="00EB6AB4">
            <w:pPr>
              <w:jc w:val="both"/>
              <w:rPr>
                <w:rFonts w:ascii="Century Gothic" w:hAnsi="Century Gothic" w:cs="Segoe UI"/>
                <w:sz w:val="22"/>
                <w:szCs w:val="22"/>
                <w:lang w:eastAsia="es-CO"/>
              </w:rPr>
            </w:pPr>
            <w:r w:rsidRPr="00AC327D">
              <w:rPr>
                <w:rFonts w:ascii="Century Gothic" w:hAnsi="Century Gothic" w:cs="Segoe UI"/>
                <w:sz w:val="22"/>
                <w:szCs w:val="22"/>
                <w:lang w:eastAsia="es-CO"/>
              </w:rPr>
              <w:t>1</w:t>
            </w:r>
          </w:p>
        </w:tc>
      </w:tr>
      <w:tr w:rsidR="00B90E05" w:rsidRPr="00AC327D" w14:paraId="3ACEF28A" w14:textId="77777777" w:rsidTr="3D1942E6">
        <w:trPr>
          <w:trHeight w:val="454"/>
        </w:trPr>
        <w:tc>
          <w:tcPr>
            <w:tcW w:w="3266" w:type="dxa"/>
            <w:vAlign w:val="center"/>
          </w:tcPr>
          <w:p w14:paraId="0881BFDC" w14:textId="40C44F4A" w:rsidR="00B90E05" w:rsidRPr="00AC327D" w:rsidRDefault="00B90E05" w:rsidP="00EB6A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lastRenderedPageBreak/>
              <w:t>Sucursal</w:t>
            </w:r>
          </w:p>
        </w:tc>
        <w:tc>
          <w:tcPr>
            <w:tcW w:w="6941" w:type="dxa"/>
            <w:vAlign w:val="center"/>
          </w:tcPr>
          <w:p w14:paraId="74AA0D59" w14:textId="4CDAD1BE" w:rsidR="00B90E05" w:rsidRPr="00AC327D" w:rsidRDefault="004C69BD" w:rsidP="00EB6AB4">
            <w:pPr>
              <w:jc w:val="both"/>
              <w:rPr>
                <w:rFonts w:ascii="Century Gothic" w:hAnsi="Century Gothic" w:cs="Segoe UI"/>
                <w:sz w:val="22"/>
                <w:szCs w:val="22"/>
                <w:lang w:val="es-CO" w:eastAsia="es-CO"/>
              </w:rPr>
            </w:pPr>
            <w:r w:rsidRPr="00AC327D">
              <w:rPr>
                <w:rFonts w:ascii="Century Gothic" w:hAnsi="Century Gothic" w:cs="Segoe UI"/>
                <w:sz w:val="22"/>
                <w:szCs w:val="22"/>
                <w:lang w:val="es-CO" w:eastAsia="es-CO"/>
              </w:rPr>
              <w:t>BOGOTÁ</w:t>
            </w:r>
          </w:p>
        </w:tc>
      </w:tr>
      <w:tr w:rsidR="00EE687D" w:rsidRPr="00AC327D" w14:paraId="4BCD09C7" w14:textId="77777777" w:rsidTr="3D1942E6">
        <w:trPr>
          <w:trHeight w:val="454"/>
        </w:trPr>
        <w:tc>
          <w:tcPr>
            <w:tcW w:w="3266" w:type="dxa"/>
            <w:vAlign w:val="center"/>
            <w:hideMark/>
          </w:tcPr>
          <w:p w14:paraId="0A1C1E81" w14:textId="17519C67" w:rsidR="00EE687D" w:rsidRPr="00AC327D" w:rsidRDefault="001C44B4" w:rsidP="00EB6A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AC327D" w:rsidRDefault="002E1D2C" w:rsidP="00EB6AB4">
            <w:pPr>
              <w:jc w:val="both"/>
              <w:rPr>
                <w:rFonts w:ascii="Century Gothic" w:hAnsi="Century Gothic" w:cs="Segoe UI"/>
                <w:sz w:val="22"/>
                <w:szCs w:val="22"/>
                <w:lang w:eastAsia="es-CO"/>
              </w:rPr>
            </w:pPr>
            <w:r w:rsidRPr="00AC327D">
              <w:rPr>
                <w:rFonts w:ascii="Century Gothic" w:hAnsi="Century Gothic" w:cs="Segoe UI"/>
                <w:sz w:val="22"/>
                <w:szCs w:val="22"/>
                <w:lang w:eastAsia="es-CO"/>
              </w:rPr>
              <w:t>N/A</w:t>
            </w:r>
          </w:p>
        </w:tc>
      </w:tr>
      <w:tr w:rsidR="001C44B4" w:rsidRPr="00AC327D" w14:paraId="0BA9ECEE" w14:textId="77777777" w:rsidTr="3D1942E6">
        <w:trPr>
          <w:trHeight w:val="454"/>
        </w:trPr>
        <w:tc>
          <w:tcPr>
            <w:tcW w:w="3266" w:type="dxa"/>
            <w:vAlign w:val="center"/>
          </w:tcPr>
          <w:p w14:paraId="7B70AF59" w14:textId="749D67BE" w:rsidR="001C44B4" w:rsidRPr="00AC327D" w:rsidRDefault="001C44B4" w:rsidP="001C44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2C2428B" w:rsidR="001C44B4" w:rsidRPr="00AC327D" w:rsidRDefault="00F91C73" w:rsidP="003631BB">
            <w:pPr>
              <w:rPr>
                <w:rFonts w:ascii="Century Gothic" w:hAnsi="Century Gothic" w:cs="Segoe UI"/>
                <w:sz w:val="22"/>
                <w:szCs w:val="22"/>
                <w:lang w:val="es-CO" w:eastAsia="es-CO"/>
              </w:rPr>
            </w:pPr>
            <w:r w:rsidRPr="00AC327D">
              <w:rPr>
                <w:rFonts w:ascii="Century Gothic" w:hAnsi="Century Gothic" w:cs="Segoe UI"/>
                <w:sz w:val="22"/>
                <w:szCs w:val="22"/>
                <w:lang w:val="es-CO" w:eastAsia="es-CO"/>
              </w:rPr>
              <w:t>1</w:t>
            </w:r>
            <w:r w:rsidR="00FE46DC" w:rsidRPr="00AC327D">
              <w:rPr>
                <w:rFonts w:ascii="Century Gothic" w:hAnsi="Century Gothic" w:cs="Segoe UI"/>
                <w:sz w:val="22"/>
                <w:szCs w:val="22"/>
                <w:lang w:val="es-CO" w:eastAsia="es-CO"/>
              </w:rPr>
              <w:t>5</w:t>
            </w:r>
            <w:r w:rsidRPr="00AC327D">
              <w:rPr>
                <w:rFonts w:ascii="Century Gothic" w:hAnsi="Century Gothic" w:cs="Segoe UI"/>
                <w:sz w:val="22"/>
                <w:szCs w:val="22"/>
                <w:lang w:val="es-CO" w:eastAsia="es-CO"/>
              </w:rPr>
              <w:t xml:space="preserve"> DE ABRIL DE 20</w:t>
            </w:r>
            <w:r w:rsidR="00FE46DC" w:rsidRPr="00AC327D">
              <w:rPr>
                <w:rFonts w:ascii="Century Gothic" w:hAnsi="Century Gothic" w:cs="Segoe UI"/>
                <w:sz w:val="22"/>
                <w:szCs w:val="22"/>
                <w:lang w:val="es-CO" w:eastAsia="es-CO"/>
              </w:rPr>
              <w:t>1</w:t>
            </w:r>
            <w:r w:rsidRPr="00AC327D">
              <w:rPr>
                <w:rFonts w:ascii="Century Gothic" w:hAnsi="Century Gothic" w:cs="Segoe UI"/>
                <w:sz w:val="22"/>
                <w:szCs w:val="22"/>
                <w:lang w:val="es-CO" w:eastAsia="es-CO"/>
              </w:rPr>
              <w:t>9</w:t>
            </w:r>
          </w:p>
        </w:tc>
      </w:tr>
      <w:tr w:rsidR="001C44B4" w:rsidRPr="00AC327D" w14:paraId="05412033" w14:textId="77777777" w:rsidTr="3D1942E6">
        <w:trPr>
          <w:trHeight w:val="454"/>
        </w:trPr>
        <w:tc>
          <w:tcPr>
            <w:tcW w:w="3266" w:type="dxa"/>
            <w:vAlign w:val="center"/>
          </w:tcPr>
          <w:p w14:paraId="43E688BB" w14:textId="54B02C3E" w:rsidR="001C44B4" w:rsidRPr="00AC327D" w:rsidRDefault="001C44B4" w:rsidP="001C44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B7B6F3B" w:rsidR="001C44B4" w:rsidRPr="00020CAA" w:rsidRDefault="00020CAA" w:rsidP="00B04CAC">
            <w:pPr>
              <w:pStyle w:val="NormalWeb"/>
              <w:rPr>
                <w:rFonts w:ascii="Century Gothic" w:hAnsi="Century Gothic" w:cs="Segoe UI"/>
                <w:color w:val="242424"/>
                <w:sz w:val="22"/>
                <w:szCs w:val="22"/>
              </w:rPr>
            </w:pPr>
            <w:r>
              <w:rPr>
                <w:rFonts w:ascii="Century Gothic" w:hAnsi="Century Gothic" w:cs="Segoe UI"/>
                <w:color w:val="242424"/>
                <w:sz w:val="22"/>
                <w:szCs w:val="22"/>
                <w:bdr w:val="none" w:sz="0" w:space="0" w:color="auto" w:frame="1"/>
              </w:rPr>
              <w:t>11/27/2023</w:t>
            </w:r>
          </w:p>
        </w:tc>
      </w:tr>
      <w:tr w:rsidR="001C44B4" w:rsidRPr="00AC327D" w14:paraId="6DB6B020" w14:textId="77777777" w:rsidTr="3D1942E6">
        <w:trPr>
          <w:trHeight w:val="454"/>
        </w:trPr>
        <w:tc>
          <w:tcPr>
            <w:tcW w:w="3266" w:type="dxa"/>
            <w:vAlign w:val="center"/>
          </w:tcPr>
          <w:p w14:paraId="13FCE7D8" w14:textId="6EA7D194" w:rsidR="001C44B4" w:rsidRPr="00AC327D" w:rsidRDefault="001C44B4" w:rsidP="001C44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8A65DF4" w:rsidR="001C44B4" w:rsidRPr="00020CAA" w:rsidRDefault="00020CAA" w:rsidP="003631BB">
            <w:pPr>
              <w:rPr>
                <w:rFonts w:ascii="Century Gothic" w:hAnsi="Century Gothic" w:cs="Segoe UI"/>
                <w:sz w:val="22"/>
                <w:szCs w:val="22"/>
                <w:lang w:val="es-CO" w:eastAsia="es-CO"/>
              </w:rPr>
            </w:pPr>
            <w:r w:rsidRPr="00020CAA">
              <w:rPr>
                <w:rFonts w:ascii="Century Gothic" w:hAnsi="Century Gothic" w:cs="Segoe UI"/>
                <w:sz w:val="22"/>
                <w:szCs w:val="22"/>
                <w:lang w:val="es-CO" w:eastAsia="es-CO"/>
              </w:rPr>
              <w:t>12/19/2023</w:t>
            </w:r>
          </w:p>
        </w:tc>
      </w:tr>
      <w:tr w:rsidR="001C44B4" w:rsidRPr="00AC327D" w14:paraId="2F1DA9E6" w14:textId="77777777" w:rsidTr="3D1942E6">
        <w:trPr>
          <w:trHeight w:val="454"/>
        </w:trPr>
        <w:tc>
          <w:tcPr>
            <w:tcW w:w="3266" w:type="dxa"/>
            <w:vAlign w:val="center"/>
          </w:tcPr>
          <w:p w14:paraId="3ECF2237" w14:textId="5FB6285C" w:rsidR="001C44B4" w:rsidRPr="00AC327D" w:rsidRDefault="008B685D" w:rsidP="001C44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t>Tomador</w:t>
            </w:r>
          </w:p>
        </w:tc>
        <w:tc>
          <w:tcPr>
            <w:tcW w:w="6941" w:type="dxa"/>
            <w:vAlign w:val="center"/>
          </w:tcPr>
          <w:p w14:paraId="2B607964" w14:textId="0676AE25" w:rsidR="001C44B4" w:rsidRPr="00AC327D" w:rsidRDefault="000825DC" w:rsidP="000825DC">
            <w:pPr>
              <w:autoSpaceDE w:val="0"/>
              <w:autoSpaceDN w:val="0"/>
              <w:adjustRightInd w:val="0"/>
              <w:rPr>
                <w:rFonts w:ascii="Century Gothic" w:hAnsi="Century Gothic" w:cs="Segoe UI"/>
                <w:sz w:val="22"/>
                <w:szCs w:val="22"/>
                <w:lang w:val="es-CO" w:eastAsia="es-CO"/>
              </w:rPr>
            </w:pPr>
            <w:r w:rsidRPr="00AC327D">
              <w:rPr>
                <w:rFonts w:ascii="Century Gothic" w:hAnsi="Century Gothic"/>
                <w:sz w:val="22"/>
                <w:szCs w:val="22"/>
              </w:rPr>
              <w:t>CAJA DE COMPENSACIÓN FAMILIAR COMPENSAR – COMPENSAR EPS</w:t>
            </w:r>
          </w:p>
        </w:tc>
      </w:tr>
      <w:tr w:rsidR="001C44B4" w:rsidRPr="00AC327D" w14:paraId="1165CBE1" w14:textId="77777777" w:rsidTr="3D1942E6">
        <w:trPr>
          <w:trHeight w:val="454"/>
        </w:trPr>
        <w:tc>
          <w:tcPr>
            <w:tcW w:w="3266" w:type="dxa"/>
            <w:vAlign w:val="center"/>
          </w:tcPr>
          <w:p w14:paraId="640F2169" w14:textId="4903327C" w:rsidR="001C44B4" w:rsidRPr="00AC327D" w:rsidRDefault="008B685D" w:rsidP="001C44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91DAE19" w:rsidR="001C44B4" w:rsidRPr="00AC327D" w:rsidRDefault="000825DC" w:rsidP="000825DC">
            <w:pPr>
              <w:autoSpaceDE w:val="0"/>
              <w:autoSpaceDN w:val="0"/>
              <w:adjustRightInd w:val="0"/>
              <w:rPr>
                <w:rFonts w:ascii="Century Gothic" w:hAnsi="Century Gothic"/>
                <w:sz w:val="22"/>
                <w:szCs w:val="22"/>
                <w:lang w:val="es-CO"/>
              </w:rPr>
            </w:pPr>
            <w:r w:rsidRPr="00AC327D">
              <w:rPr>
                <w:rFonts w:ascii="Century Gothic" w:hAnsi="Century Gothic"/>
                <w:sz w:val="22"/>
                <w:szCs w:val="22"/>
              </w:rPr>
              <w:t>CAJA DE COMPENSACIÓN FAMILIAR COMPENSAR – COMPENSAR EPS</w:t>
            </w:r>
          </w:p>
        </w:tc>
      </w:tr>
      <w:tr w:rsidR="001C44B4" w:rsidRPr="00AC327D" w14:paraId="513C2A8D" w14:textId="77777777" w:rsidTr="3D1942E6">
        <w:trPr>
          <w:trHeight w:val="454"/>
        </w:trPr>
        <w:tc>
          <w:tcPr>
            <w:tcW w:w="3266" w:type="dxa"/>
            <w:vAlign w:val="center"/>
            <w:hideMark/>
          </w:tcPr>
          <w:p w14:paraId="5E1FDA28" w14:textId="16DB1B8E" w:rsidR="001C44B4" w:rsidRPr="00AC327D" w:rsidRDefault="008B685D" w:rsidP="001C44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Ramo</w:t>
            </w:r>
          </w:p>
        </w:tc>
        <w:tc>
          <w:tcPr>
            <w:tcW w:w="6941" w:type="dxa"/>
            <w:vAlign w:val="center"/>
          </w:tcPr>
          <w:p w14:paraId="0701202E" w14:textId="282361CB" w:rsidR="001C44B4" w:rsidRPr="00020CAA" w:rsidRDefault="00020CAA" w:rsidP="00020CAA">
            <w:pPr>
              <w:pStyle w:val="NormalWeb"/>
              <w:rPr>
                <w:rFonts w:ascii="Aptos" w:hAnsi="Aptos" w:cs="Segoe UI"/>
                <w:color w:val="242424"/>
              </w:rPr>
            </w:pPr>
            <w:r>
              <w:rPr>
                <w:rFonts w:ascii="Century Gothic" w:hAnsi="Century Gothic" w:cs="Segoe UI"/>
                <w:color w:val="242424"/>
                <w:sz w:val="22"/>
                <w:szCs w:val="22"/>
                <w:bdr w:val="none" w:sz="0" w:space="0" w:color="auto" w:frame="1"/>
              </w:rPr>
              <w:t>1008 - R.C. PROFESIONAL CLINICAS</w:t>
            </w:r>
          </w:p>
        </w:tc>
      </w:tr>
      <w:tr w:rsidR="001C44B4" w:rsidRPr="00AC327D" w14:paraId="2F8ECFA3" w14:textId="77777777" w:rsidTr="3D1942E6">
        <w:trPr>
          <w:trHeight w:val="454"/>
        </w:trPr>
        <w:tc>
          <w:tcPr>
            <w:tcW w:w="3266" w:type="dxa"/>
            <w:vAlign w:val="center"/>
            <w:hideMark/>
          </w:tcPr>
          <w:p w14:paraId="0C3932A6" w14:textId="2792643B" w:rsidR="001C44B4" w:rsidRPr="00AC327D" w:rsidRDefault="008B685D" w:rsidP="001C44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269C8E7" w:rsidR="00F24A2E" w:rsidRPr="00020CAA" w:rsidRDefault="00020CAA" w:rsidP="00020CAA">
            <w:pPr>
              <w:autoSpaceDE w:val="0"/>
              <w:autoSpaceDN w:val="0"/>
              <w:adjustRightInd w:val="0"/>
              <w:rPr>
                <w:rFonts w:ascii="Century Gothic" w:hAnsi="Century Gothic" w:cs="Times New Roman"/>
                <w:sz w:val="22"/>
                <w:szCs w:val="22"/>
                <w:lang w:val="es-CO"/>
              </w:rPr>
            </w:pPr>
            <w:r>
              <w:rPr>
                <w:rFonts w:ascii="Century Gothic" w:hAnsi="Century Gothic" w:cs="Segoe UI"/>
                <w:color w:val="242424"/>
                <w:sz w:val="22"/>
                <w:szCs w:val="22"/>
                <w:bdr w:val="none" w:sz="0" w:space="0" w:color="auto" w:frame="1"/>
              </w:rPr>
              <w:t>R.C. PROFESIONAL MEDICA</w:t>
            </w:r>
          </w:p>
        </w:tc>
      </w:tr>
      <w:tr w:rsidR="001C44B4" w:rsidRPr="00AC327D" w14:paraId="59B4A554" w14:textId="77777777" w:rsidTr="3D1942E6">
        <w:trPr>
          <w:trHeight w:val="454"/>
        </w:trPr>
        <w:tc>
          <w:tcPr>
            <w:tcW w:w="3266" w:type="dxa"/>
            <w:vAlign w:val="center"/>
            <w:hideMark/>
          </w:tcPr>
          <w:p w14:paraId="0412A958" w14:textId="77777777" w:rsidR="001C44B4" w:rsidRPr="00AC327D" w:rsidRDefault="001C44B4" w:rsidP="001C44B4">
            <w:pPr>
              <w:jc w:val="both"/>
              <w:textAlignment w:val="baseline"/>
              <w:rPr>
                <w:rFonts w:ascii="Century Gothic" w:hAnsi="Century Gothic" w:cs="Segoe UI"/>
                <w:i/>
                <w:iCs/>
                <w:sz w:val="22"/>
                <w:szCs w:val="22"/>
                <w:lang w:eastAsia="es-CO"/>
              </w:rPr>
            </w:pPr>
            <w:r w:rsidRPr="00AC327D">
              <w:rPr>
                <w:rFonts w:ascii="Century Gothic" w:hAnsi="Century Gothic"/>
                <w:b/>
                <w:bCs/>
                <w:i/>
                <w:iCs/>
                <w:color w:val="000000"/>
                <w:sz w:val="22"/>
                <w:szCs w:val="22"/>
                <w:shd w:val="clear" w:color="auto" w:fill="FFFFFF"/>
                <w:lang w:eastAsia="es-CO"/>
              </w:rPr>
              <w:t>Valor asegurado</w:t>
            </w:r>
          </w:p>
        </w:tc>
        <w:tc>
          <w:tcPr>
            <w:tcW w:w="6941" w:type="dxa"/>
            <w:vAlign w:val="center"/>
          </w:tcPr>
          <w:p w14:paraId="5AF73B8E" w14:textId="20F0EC51" w:rsidR="001C44B4" w:rsidRPr="00020CAA" w:rsidRDefault="00020CAA" w:rsidP="00020CAA">
            <w:pPr>
              <w:pStyle w:val="NormalWeb"/>
              <w:rPr>
                <w:rFonts w:ascii="Aptos" w:hAnsi="Aptos" w:cs="Segoe UI"/>
                <w:color w:val="242424"/>
              </w:rPr>
            </w:pPr>
            <w:r>
              <w:rPr>
                <w:rFonts w:ascii="Century Gothic" w:hAnsi="Century Gothic" w:cs="Segoe UI"/>
                <w:color w:val="242424"/>
                <w:sz w:val="22"/>
                <w:szCs w:val="22"/>
                <w:bdr w:val="none" w:sz="0" w:space="0" w:color="auto" w:frame="1"/>
              </w:rPr>
              <w:t>$2.000.000.000</w:t>
            </w:r>
          </w:p>
        </w:tc>
      </w:tr>
      <w:tr w:rsidR="001129B6" w:rsidRPr="00AC327D" w14:paraId="2F24D88E" w14:textId="77777777" w:rsidTr="3D1942E6">
        <w:trPr>
          <w:trHeight w:val="454"/>
        </w:trPr>
        <w:tc>
          <w:tcPr>
            <w:tcW w:w="3266" w:type="dxa"/>
            <w:vAlign w:val="center"/>
          </w:tcPr>
          <w:p w14:paraId="0E72F2CD" w14:textId="1A6BE851" w:rsidR="001129B6" w:rsidRPr="00AC327D" w:rsidRDefault="001129B6" w:rsidP="001C44B4">
            <w:pPr>
              <w:jc w:val="both"/>
              <w:textAlignment w:val="baseline"/>
              <w:rPr>
                <w:rFonts w:ascii="Century Gothic" w:hAnsi="Century Gothic"/>
                <w:b/>
                <w:bCs/>
                <w:color w:val="000000"/>
                <w:sz w:val="22"/>
                <w:szCs w:val="22"/>
                <w:shd w:val="clear" w:color="auto" w:fill="FFFFFF"/>
                <w:lang w:eastAsia="es-CO"/>
              </w:rPr>
            </w:pPr>
            <w:r w:rsidRPr="00AC327D">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7AFA935" w:rsidR="001129B6" w:rsidRPr="00AC327D" w:rsidRDefault="00A37612" w:rsidP="001C44B4">
            <w:pPr>
              <w:jc w:val="both"/>
              <w:rPr>
                <w:rFonts w:ascii="Century Gothic" w:hAnsi="Century Gothic" w:cs="Segoe UI"/>
                <w:sz w:val="22"/>
                <w:szCs w:val="22"/>
                <w:lang w:eastAsia="es-CO"/>
              </w:rPr>
            </w:pPr>
            <w:r w:rsidRPr="00AC327D">
              <w:rPr>
                <w:rFonts w:ascii="Century Gothic" w:hAnsi="Century Gothic" w:cs="Segoe UI"/>
                <w:sz w:val="22"/>
                <w:szCs w:val="22"/>
                <w:lang w:eastAsia="es-CO"/>
              </w:rPr>
              <w:t>15 DE ENERO DE 2024</w:t>
            </w:r>
          </w:p>
        </w:tc>
      </w:tr>
      <w:tr w:rsidR="001C44B4" w:rsidRPr="00AC327D" w14:paraId="658B9E4D" w14:textId="77777777" w:rsidTr="3D1942E6">
        <w:trPr>
          <w:trHeight w:val="454"/>
        </w:trPr>
        <w:tc>
          <w:tcPr>
            <w:tcW w:w="3266" w:type="dxa"/>
            <w:vAlign w:val="center"/>
            <w:hideMark/>
          </w:tcPr>
          <w:p w14:paraId="02377331" w14:textId="79A3F98F" w:rsidR="001C44B4" w:rsidRPr="00AC327D" w:rsidRDefault="002633C0" w:rsidP="001C44B4">
            <w:pPr>
              <w:jc w:val="both"/>
              <w:textAlignment w:val="baseline"/>
              <w:rPr>
                <w:rFonts w:ascii="Century Gothic" w:hAnsi="Century Gothic" w:cs="Segoe UI"/>
                <w:sz w:val="22"/>
                <w:szCs w:val="22"/>
                <w:lang w:eastAsia="es-CO"/>
              </w:rPr>
            </w:pPr>
            <w:r w:rsidRPr="00AC327D">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3121AE12" w:rsidR="001C44B4" w:rsidRPr="00AC327D" w:rsidRDefault="002633C0" w:rsidP="001C44B4">
            <w:pPr>
              <w:jc w:val="both"/>
              <w:rPr>
                <w:rFonts w:ascii="Century Gothic" w:hAnsi="Century Gothic" w:cs="Segoe UI"/>
                <w:sz w:val="22"/>
                <w:szCs w:val="22"/>
                <w:lang w:eastAsia="es-CO"/>
              </w:rPr>
            </w:pPr>
            <w:r w:rsidRPr="00AC327D">
              <w:rPr>
                <w:rFonts w:ascii="Century Gothic" w:hAnsi="Century Gothic" w:cs="Segoe UI"/>
                <w:sz w:val="22"/>
                <w:szCs w:val="22"/>
                <w:lang w:eastAsia="es-CO"/>
              </w:rPr>
              <w:t xml:space="preserve"> </w:t>
            </w:r>
            <w:r w:rsidR="009C0068" w:rsidRPr="00AC327D">
              <w:rPr>
                <w:rFonts w:ascii="Century Gothic" w:hAnsi="Century Gothic" w:cs="Segoe UI"/>
                <w:sz w:val="22"/>
                <w:szCs w:val="22"/>
                <w:lang w:eastAsia="es-CO"/>
              </w:rPr>
              <w:t>SE DESCONOCE</w:t>
            </w:r>
          </w:p>
        </w:tc>
      </w:tr>
    </w:tbl>
    <w:p w14:paraId="397A1D68" w14:textId="77777777" w:rsidR="003B44CB" w:rsidRPr="00AC327D" w:rsidRDefault="003B44CB" w:rsidP="003314A2">
      <w:pPr>
        <w:spacing w:line="360" w:lineRule="auto"/>
        <w:rPr>
          <w:rFonts w:ascii="Century Gothic" w:hAnsi="Century Gothic"/>
          <w:sz w:val="22"/>
          <w:szCs w:val="22"/>
        </w:rPr>
      </w:pPr>
    </w:p>
    <w:p w14:paraId="61F56879" w14:textId="77777777" w:rsidR="0095378E" w:rsidRPr="00AC327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C327D" w14:paraId="49B1F103" w14:textId="77777777" w:rsidTr="00BA1E5F">
        <w:tc>
          <w:tcPr>
            <w:tcW w:w="3687" w:type="dxa"/>
          </w:tcPr>
          <w:p w14:paraId="673B76C6" w14:textId="23992614" w:rsidR="002633C0" w:rsidRPr="00AC327D" w:rsidRDefault="00BA1E5F" w:rsidP="003314A2">
            <w:pPr>
              <w:spacing w:line="360" w:lineRule="auto"/>
              <w:rPr>
                <w:rFonts w:ascii="Century Gothic" w:hAnsi="Century Gothic"/>
                <w:sz w:val="22"/>
                <w:szCs w:val="22"/>
              </w:rPr>
            </w:pPr>
            <w:r w:rsidRPr="00AC327D">
              <w:rPr>
                <w:rFonts w:ascii="Century Gothic" w:hAnsi="Century Gothic"/>
                <w:b/>
                <w:bCs/>
                <w:sz w:val="22"/>
                <w:szCs w:val="22"/>
              </w:rPr>
              <w:t>Calificación de la contingencia</w:t>
            </w:r>
          </w:p>
        </w:tc>
        <w:tc>
          <w:tcPr>
            <w:tcW w:w="6520" w:type="dxa"/>
          </w:tcPr>
          <w:p w14:paraId="6F4874B3" w14:textId="6B74ACD6" w:rsidR="002633C0" w:rsidRPr="00AC327D" w:rsidRDefault="005F5B9B" w:rsidP="003314A2">
            <w:pPr>
              <w:spacing w:line="360" w:lineRule="auto"/>
              <w:rPr>
                <w:rFonts w:ascii="Century Gothic" w:hAnsi="Century Gothic"/>
                <w:sz w:val="22"/>
                <w:szCs w:val="22"/>
              </w:rPr>
            </w:pPr>
            <w:r w:rsidRPr="00AC327D">
              <w:rPr>
                <w:rFonts w:ascii="Century Gothic" w:hAnsi="Century Gothic"/>
                <w:sz w:val="22"/>
                <w:szCs w:val="22"/>
              </w:rPr>
              <w:t>REMOTA.</w:t>
            </w:r>
          </w:p>
        </w:tc>
      </w:tr>
      <w:tr w:rsidR="002633C0" w:rsidRPr="00AC327D" w14:paraId="47B026EC" w14:textId="77777777" w:rsidTr="00BA1E5F">
        <w:tc>
          <w:tcPr>
            <w:tcW w:w="3687" w:type="dxa"/>
          </w:tcPr>
          <w:p w14:paraId="4A77CED7" w14:textId="00C97735" w:rsidR="002633C0" w:rsidRPr="00AC327D" w:rsidRDefault="00BA1E5F" w:rsidP="003314A2">
            <w:pPr>
              <w:spacing w:line="360" w:lineRule="auto"/>
              <w:rPr>
                <w:rFonts w:ascii="Century Gothic" w:hAnsi="Century Gothic"/>
                <w:b/>
                <w:bCs/>
                <w:sz w:val="22"/>
                <w:szCs w:val="22"/>
              </w:rPr>
            </w:pPr>
            <w:r w:rsidRPr="00AC327D">
              <w:rPr>
                <w:rFonts w:ascii="Century Gothic" w:hAnsi="Century Gothic"/>
                <w:b/>
                <w:bCs/>
                <w:sz w:val="22"/>
                <w:szCs w:val="22"/>
              </w:rPr>
              <w:t xml:space="preserve">Reserva sugerida: </w:t>
            </w:r>
          </w:p>
        </w:tc>
        <w:tc>
          <w:tcPr>
            <w:tcW w:w="6520" w:type="dxa"/>
          </w:tcPr>
          <w:p w14:paraId="7146E445" w14:textId="2814D99E" w:rsidR="002633C0" w:rsidRPr="00AC327D" w:rsidRDefault="00F64946" w:rsidP="003314A2">
            <w:pPr>
              <w:spacing w:line="360" w:lineRule="auto"/>
              <w:rPr>
                <w:rFonts w:ascii="Century Gothic" w:hAnsi="Century Gothic"/>
                <w:sz w:val="22"/>
                <w:szCs w:val="22"/>
              </w:rPr>
            </w:pPr>
            <w:r w:rsidRPr="00AC327D">
              <w:rPr>
                <w:rFonts w:ascii="Century Gothic" w:hAnsi="Century Gothic"/>
                <w:sz w:val="22"/>
                <w:szCs w:val="22"/>
              </w:rPr>
              <w:t>$</w:t>
            </w:r>
            <w:r w:rsidR="00A37612" w:rsidRPr="00AC327D">
              <w:rPr>
                <w:rFonts w:ascii="Century Gothic" w:hAnsi="Century Gothic"/>
                <w:sz w:val="22"/>
                <w:szCs w:val="22"/>
              </w:rPr>
              <w:t>42.150.000</w:t>
            </w:r>
          </w:p>
        </w:tc>
      </w:tr>
      <w:tr w:rsidR="00BA1E5F" w:rsidRPr="00AC327D" w14:paraId="22F780E0" w14:textId="77777777" w:rsidTr="008B59F4">
        <w:tc>
          <w:tcPr>
            <w:tcW w:w="10207" w:type="dxa"/>
            <w:gridSpan w:val="2"/>
            <w:shd w:val="clear" w:color="auto" w:fill="C5E0B3" w:themeFill="accent6" w:themeFillTint="66"/>
            <w:vAlign w:val="center"/>
          </w:tcPr>
          <w:p w14:paraId="2E984764" w14:textId="51214522" w:rsidR="00BA1E5F" w:rsidRPr="00AC327D" w:rsidRDefault="00BA1E5F" w:rsidP="00BA1E5F">
            <w:pPr>
              <w:spacing w:line="360" w:lineRule="auto"/>
              <w:jc w:val="center"/>
              <w:rPr>
                <w:rFonts w:ascii="Century Gothic" w:hAnsi="Century Gothic"/>
                <w:sz w:val="22"/>
                <w:szCs w:val="22"/>
              </w:rPr>
            </w:pPr>
            <w:r w:rsidRPr="00AC327D">
              <w:rPr>
                <w:rFonts w:ascii="Century Gothic" w:hAnsi="Century Gothic"/>
                <w:b/>
                <w:bCs/>
                <w:sz w:val="22"/>
                <w:szCs w:val="22"/>
              </w:rPr>
              <w:t>Concepto del apoderado</w:t>
            </w:r>
          </w:p>
        </w:tc>
      </w:tr>
      <w:tr w:rsidR="00BA1E5F" w:rsidRPr="00AC327D" w14:paraId="6A3F4D91" w14:textId="77777777" w:rsidTr="008B59F4">
        <w:trPr>
          <w:trHeight w:val="1361"/>
        </w:trPr>
        <w:tc>
          <w:tcPr>
            <w:tcW w:w="10207" w:type="dxa"/>
            <w:gridSpan w:val="2"/>
            <w:vAlign w:val="center"/>
          </w:tcPr>
          <w:p w14:paraId="589D2D0F" w14:textId="77777777" w:rsidR="003631BB" w:rsidRPr="00AC327D" w:rsidRDefault="003631BB" w:rsidP="002E1D2C">
            <w:pPr>
              <w:spacing w:line="360" w:lineRule="auto"/>
              <w:jc w:val="both"/>
              <w:rPr>
                <w:rFonts w:ascii="Century Gothic" w:hAnsi="Century Gothic"/>
                <w:sz w:val="22"/>
                <w:szCs w:val="22"/>
                <w:lang w:val="es-CO"/>
              </w:rPr>
            </w:pPr>
          </w:p>
          <w:p w14:paraId="33C9C35C" w14:textId="4D007F58" w:rsidR="00087EEE" w:rsidRPr="00AC327D" w:rsidRDefault="00087EEE" w:rsidP="00D64042">
            <w:pPr>
              <w:jc w:val="both"/>
              <w:rPr>
                <w:rFonts w:ascii="Century Gothic" w:hAnsi="Century Gothic"/>
                <w:sz w:val="22"/>
                <w:szCs w:val="22"/>
              </w:rPr>
            </w:pPr>
            <w:r w:rsidRPr="00AC327D">
              <w:rPr>
                <w:rFonts w:ascii="Century Gothic" w:hAnsi="Century Gothic"/>
                <w:sz w:val="22"/>
                <w:szCs w:val="22"/>
              </w:rPr>
              <w:t>La contingencia se califica como REMOTA en tanto, si bien la póliza presta cobertura material y temporal</w:t>
            </w:r>
            <w:r w:rsidR="003B5A31" w:rsidRPr="00AC327D">
              <w:rPr>
                <w:rFonts w:ascii="Century Gothic" w:hAnsi="Century Gothic"/>
                <w:sz w:val="22"/>
                <w:szCs w:val="22"/>
              </w:rPr>
              <w:t xml:space="preserve">, la responsabilidad del asegurado no se encuentra acreditada. </w:t>
            </w:r>
          </w:p>
          <w:p w14:paraId="6568D549" w14:textId="0863B228" w:rsidR="005753D5" w:rsidRPr="00AC327D" w:rsidRDefault="005753D5" w:rsidP="00D64042">
            <w:pPr>
              <w:jc w:val="both"/>
              <w:rPr>
                <w:rFonts w:ascii="Century Gothic" w:hAnsi="Century Gothic"/>
                <w:sz w:val="22"/>
                <w:szCs w:val="22"/>
              </w:rPr>
            </w:pPr>
          </w:p>
          <w:p w14:paraId="6BBE0969" w14:textId="4F56459D" w:rsidR="005753D5" w:rsidRPr="00AC327D" w:rsidRDefault="00F02D36" w:rsidP="00D64042">
            <w:pPr>
              <w:jc w:val="both"/>
              <w:rPr>
                <w:rFonts w:ascii="Century Gothic" w:hAnsi="Century Gothic"/>
                <w:sz w:val="22"/>
                <w:szCs w:val="22"/>
              </w:rPr>
            </w:pPr>
            <w:r w:rsidRPr="00AC327D">
              <w:rPr>
                <w:rFonts w:ascii="Century Gothic" w:hAnsi="Century Gothic"/>
                <w:sz w:val="22"/>
                <w:szCs w:val="22"/>
              </w:rPr>
              <w:t>Lo primero que debe indicarse es que</w:t>
            </w:r>
            <w:r w:rsidR="00500730" w:rsidRPr="00AC327D">
              <w:rPr>
                <w:rFonts w:ascii="Century Gothic" w:hAnsi="Century Gothic"/>
                <w:sz w:val="22"/>
                <w:szCs w:val="22"/>
              </w:rPr>
              <w:t xml:space="preserve"> Póliza de Responsabilidad Civil Profesional Clínicas y Hospitales No. AA198548, cuyo asegurado es la CAJA DE COMPENSACIÓN FAMILIAR COMPENSAR – COMPENSAR EPS</w:t>
            </w:r>
            <w:r w:rsidRPr="00AC327D">
              <w:rPr>
                <w:rFonts w:ascii="Century Gothic" w:hAnsi="Century Gothic"/>
                <w:sz w:val="22"/>
                <w:szCs w:val="22"/>
              </w:rPr>
              <w:t>, presta cobertura material y temporal de conformidad con los hechos y pretensiones de la demanda</w:t>
            </w:r>
            <w:r w:rsidR="00500730" w:rsidRPr="00AC327D">
              <w:rPr>
                <w:rFonts w:ascii="Century Gothic" w:hAnsi="Century Gothic"/>
                <w:sz w:val="22"/>
                <w:szCs w:val="22"/>
              </w:rPr>
              <w:t xml:space="preserve">. </w:t>
            </w:r>
            <w:r w:rsidRPr="00AC327D">
              <w:rPr>
                <w:rFonts w:ascii="Century Gothic" w:hAnsi="Century Gothic"/>
                <w:sz w:val="22"/>
                <w:szCs w:val="22"/>
              </w:rPr>
              <w:t xml:space="preserve">Frente a la cobertura temporal, debe considerarse que la </w:t>
            </w:r>
            <w:r w:rsidR="00500730" w:rsidRPr="00AC327D">
              <w:rPr>
                <w:rFonts w:ascii="Century Gothic" w:hAnsi="Century Gothic"/>
                <w:sz w:val="22"/>
                <w:szCs w:val="22"/>
              </w:rPr>
              <w:t>póliza opera bajo la modalidad claims made, es decir, otorga cobertura a las reclamaciones que se formulen durante su vigencia, por hechos ocurridos a partir de la fecha de retroactividad pactada, que corresponde al 30 de noviembre de 2006. En el presente caso, el hecho que da origen a la reclamación</w:t>
            </w:r>
            <w:r w:rsidR="00273983" w:rsidRPr="00AC327D">
              <w:rPr>
                <w:rFonts w:ascii="Century Gothic" w:hAnsi="Century Gothic"/>
                <w:sz w:val="22"/>
                <w:szCs w:val="22"/>
              </w:rPr>
              <w:t xml:space="preserve">, </w:t>
            </w:r>
            <w:r w:rsidR="00500730" w:rsidRPr="00AC327D">
              <w:rPr>
                <w:rFonts w:ascii="Century Gothic" w:hAnsi="Century Gothic"/>
                <w:sz w:val="22"/>
                <w:szCs w:val="22"/>
              </w:rPr>
              <w:t>la práctica del procedimiento de interrupción voluntaria del embarazo (IVE)</w:t>
            </w:r>
            <w:r w:rsidR="00273983" w:rsidRPr="00AC327D">
              <w:rPr>
                <w:rFonts w:ascii="Century Gothic" w:hAnsi="Century Gothic"/>
                <w:sz w:val="22"/>
                <w:szCs w:val="22"/>
              </w:rPr>
              <w:t>,</w:t>
            </w:r>
            <w:r w:rsidR="00500730" w:rsidRPr="00AC327D">
              <w:rPr>
                <w:rFonts w:ascii="Century Gothic" w:hAnsi="Century Gothic"/>
                <w:sz w:val="22"/>
                <w:szCs w:val="22"/>
              </w:rPr>
              <w:t xml:space="preserve"> fue realizado el </w:t>
            </w:r>
            <w:r w:rsidR="00500730" w:rsidRPr="007124F1">
              <w:rPr>
                <w:rFonts w:ascii="Century Gothic" w:hAnsi="Century Gothic"/>
                <w:sz w:val="22"/>
                <w:szCs w:val="22"/>
                <w:u w:val="single"/>
              </w:rPr>
              <w:t>16 de abril de 2019</w:t>
            </w:r>
            <w:r w:rsidR="00500730" w:rsidRPr="00AC327D">
              <w:rPr>
                <w:rFonts w:ascii="Century Gothic" w:hAnsi="Century Gothic"/>
                <w:sz w:val="22"/>
                <w:szCs w:val="22"/>
              </w:rPr>
              <w:t xml:space="preserve">, es decir, dentro del período de retroactividad cubierto por la póliza. </w:t>
            </w:r>
            <w:r w:rsidRPr="00AC327D">
              <w:rPr>
                <w:rFonts w:ascii="Century Gothic" w:hAnsi="Century Gothic"/>
                <w:sz w:val="22"/>
                <w:szCs w:val="22"/>
              </w:rPr>
              <w:t xml:space="preserve">Así mismo, la reclamación fue efectuada el 15 de diciembre de 2023, esto es, dentro de la vigencia de la póliza comprendida entre el 31 de diciembre de 2022 y el 31 de diciembre de 2023. Aunado a lo anterior, </w:t>
            </w:r>
            <w:r w:rsidR="00500730" w:rsidRPr="00AC327D">
              <w:rPr>
                <w:rFonts w:ascii="Century Gothic" w:hAnsi="Century Gothic"/>
                <w:sz w:val="22"/>
                <w:szCs w:val="22"/>
              </w:rPr>
              <w:t>presta cobertura material, en tanto se orienta a amparar la responsabilidad civil profesional médica, que es precisamente la pretensión que se endilga al asegurado en esta causa.</w:t>
            </w:r>
            <w:r w:rsidR="00AC327D" w:rsidRPr="00AC327D">
              <w:rPr>
                <w:rFonts w:ascii="Century Gothic" w:hAnsi="Century Gothic"/>
                <w:sz w:val="22"/>
                <w:szCs w:val="22"/>
              </w:rPr>
              <w:t xml:space="preserve"> Sin perjuicio de lo anterior, debe advertirse que los hechos base de la reclamación se encuentran expresamente </w:t>
            </w:r>
            <w:r w:rsidR="00AC327D" w:rsidRPr="00AC327D">
              <w:rPr>
                <w:rFonts w:ascii="Century Gothic" w:hAnsi="Century Gothic"/>
                <w:sz w:val="22"/>
                <w:szCs w:val="22"/>
              </w:rPr>
              <w:lastRenderedPageBreak/>
              <w:t xml:space="preserve">excluidos de cobertura, tanto por tratarse de un procedimiento destinado a interrumpir un embarazo, como por derivarse de un fallo de tutela que no impuso condena ni declaró responsabilidad civil; no obstante, dependerá del criterio del juez inaplicar éstas por no encontrarse a partir de la primera página de la póliza como lo exigen los artículos 184 del Estatuto Orgánico del Sistema Financiero y 44 de la Ley 45 del 90. </w:t>
            </w:r>
          </w:p>
          <w:p w14:paraId="4A13F42A" w14:textId="7A8ABFA7" w:rsidR="00500730" w:rsidRPr="00AC327D" w:rsidRDefault="00500730" w:rsidP="00D64042">
            <w:pPr>
              <w:jc w:val="both"/>
              <w:rPr>
                <w:rFonts w:ascii="Century Gothic" w:hAnsi="Century Gothic"/>
                <w:sz w:val="22"/>
                <w:szCs w:val="22"/>
              </w:rPr>
            </w:pPr>
          </w:p>
          <w:p w14:paraId="3A7FA135" w14:textId="3F50100D" w:rsidR="00727C19" w:rsidRPr="00AC327D" w:rsidRDefault="00727C19" w:rsidP="00727C19">
            <w:pPr>
              <w:jc w:val="both"/>
              <w:rPr>
                <w:rFonts w:ascii="Century Gothic" w:hAnsi="Century Gothic"/>
                <w:sz w:val="22"/>
                <w:szCs w:val="22"/>
              </w:rPr>
            </w:pPr>
            <w:r w:rsidRPr="00AC327D">
              <w:rPr>
                <w:rFonts w:ascii="Century Gothic" w:hAnsi="Century Gothic"/>
                <w:sz w:val="22"/>
                <w:szCs w:val="22"/>
              </w:rPr>
              <w:t xml:space="preserve">Por otro lado, </w:t>
            </w:r>
            <w:r w:rsidR="00F02D36" w:rsidRPr="00AC327D">
              <w:rPr>
                <w:rFonts w:ascii="Century Gothic" w:hAnsi="Century Gothic"/>
                <w:sz w:val="22"/>
                <w:szCs w:val="22"/>
              </w:rPr>
              <w:t>frente a la responsabilidad del asegurado</w:t>
            </w:r>
            <w:r w:rsidRPr="00AC327D">
              <w:rPr>
                <w:rFonts w:ascii="Century Gothic" w:hAnsi="Century Gothic"/>
                <w:sz w:val="22"/>
                <w:szCs w:val="22"/>
              </w:rPr>
              <w:t xml:space="preserve">, </w:t>
            </w:r>
            <w:r w:rsidR="00F02D36" w:rsidRPr="00AC327D">
              <w:rPr>
                <w:rFonts w:ascii="Century Gothic" w:hAnsi="Century Gothic"/>
                <w:sz w:val="22"/>
                <w:szCs w:val="22"/>
              </w:rPr>
              <w:t xml:space="preserve">debe advertirse que conforme a las pruebas que obran en el plenario </w:t>
            </w:r>
            <w:r w:rsidRPr="00AC327D">
              <w:rPr>
                <w:rFonts w:ascii="Century Gothic" w:hAnsi="Century Gothic"/>
                <w:sz w:val="22"/>
                <w:szCs w:val="22"/>
              </w:rPr>
              <w:t xml:space="preserve">no se acredita conducta médica culposa atribuible a COMPENSAR EPS, y, además, las pruebas allegadas por la parte actora no permiten estructurar el daño alegado. En efecto, no se aportaron incapacidades médicas prolongadas, constancias de tratamiento especializado, ni historia clínica que dé cuenta de una afectación funcional o emocional sostenida posterior al procedimiento. La única mención de afectación es un diagnóstico de trastorno mixto de ansiedad y depresión consignado en una nota médica aislada de marzo de 2019, sin que existan seguimientos, soportes terapéuticos ni evolución clínica que permitan deducir la existencia de un daño a la salud indemnizable o un perjuicio moral de entidad relevante. Aunque en su escrito de </w:t>
            </w:r>
            <w:r w:rsidR="00AC327D" w:rsidRPr="00AC327D">
              <w:rPr>
                <w:rFonts w:ascii="Century Gothic" w:hAnsi="Century Gothic"/>
                <w:sz w:val="22"/>
                <w:szCs w:val="22"/>
              </w:rPr>
              <w:t xml:space="preserve">descorre a las </w:t>
            </w:r>
            <w:r w:rsidRPr="00AC327D">
              <w:rPr>
                <w:rFonts w:ascii="Century Gothic" w:hAnsi="Century Gothic"/>
                <w:sz w:val="22"/>
                <w:szCs w:val="22"/>
              </w:rPr>
              <w:t xml:space="preserve">excepciones </w:t>
            </w:r>
            <w:r w:rsidR="00AC327D" w:rsidRPr="00AC327D">
              <w:rPr>
                <w:rFonts w:ascii="Century Gothic" w:hAnsi="Century Gothic"/>
                <w:sz w:val="22"/>
                <w:szCs w:val="22"/>
              </w:rPr>
              <w:t xml:space="preserve">propuestas por la compañía aseguradora </w:t>
            </w:r>
            <w:r w:rsidRPr="00AC327D">
              <w:rPr>
                <w:rFonts w:ascii="Century Gothic" w:hAnsi="Century Gothic"/>
                <w:sz w:val="22"/>
                <w:szCs w:val="22"/>
              </w:rPr>
              <w:t>la parte actora insiste en que se acreditó el daño alegado, lo cierto es que los documentos aportados no alcanzan el estándar probatorio exigido por la jurisprudencia para estructurar una afectación indemnizable. No se aportaron peritajes médicos o psicológicos, ni elementos clínicos que respalden la magnitud, duración o intensidad del supuesto daño moral o del alegado trastorno a la salud. Por tanto, tales manifestaciones se sostienen más en afirmaciones subjetivas que en prueba técnica o científica. Por todo lo anterior, se concluye que no se configura el riesgo asegurado ni el surgimiento de obligación alguna en cabeza de la aseguradora, motivo por el cual la contingencia se califica como remota.</w:t>
            </w:r>
          </w:p>
          <w:p w14:paraId="4643A9B1" w14:textId="77777777" w:rsidR="00FE46DC" w:rsidRPr="00AC327D" w:rsidRDefault="00FE46DC" w:rsidP="00727C19">
            <w:pPr>
              <w:jc w:val="both"/>
              <w:rPr>
                <w:rFonts w:ascii="Century Gothic" w:hAnsi="Century Gothic"/>
                <w:sz w:val="22"/>
                <w:szCs w:val="22"/>
              </w:rPr>
            </w:pPr>
          </w:p>
          <w:p w14:paraId="3A806213" w14:textId="1419F5AF" w:rsidR="00BA1E5F" w:rsidRPr="00AC327D" w:rsidRDefault="00F64946" w:rsidP="007124F1">
            <w:pPr>
              <w:spacing w:line="360" w:lineRule="auto"/>
              <w:rPr>
                <w:rFonts w:ascii="Century Gothic" w:hAnsi="Century Gothic"/>
                <w:b/>
                <w:bCs/>
                <w:sz w:val="22"/>
                <w:szCs w:val="22"/>
              </w:rPr>
            </w:pPr>
            <w:r w:rsidRPr="00AC327D">
              <w:rPr>
                <w:rFonts w:ascii="Century Gothic" w:hAnsi="Century Gothic" w:cs="Arial"/>
                <w:bCs/>
                <w:sz w:val="22"/>
                <w:szCs w:val="22"/>
              </w:rPr>
              <w:t>Lo esgrimido sin perjuicio del carácter contingente del proceso</w:t>
            </w:r>
            <w:r w:rsidR="00AC327D" w:rsidRPr="00AC327D">
              <w:rPr>
                <w:rFonts w:ascii="Century Gothic" w:hAnsi="Century Gothic"/>
                <w:b/>
                <w:bCs/>
                <w:sz w:val="22"/>
                <w:szCs w:val="22"/>
                <w:lang w:val="es-ES"/>
              </w:rPr>
              <w:t xml:space="preserve">. </w:t>
            </w:r>
          </w:p>
        </w:tc>
      </w:tr>
    </w:tbl>
    <w:p w14:paraId="66CA6B89" w14:textId="77777777" w:rsidR="002633C0" w:rsidRPr="00AC327D" w:rsidRDefault="002633C0" w:rsidP="003314A2">
      <w:pPr>
        <w:spacing w:line="360" w:lineRule="auto"/>
        <w:rPr>
          <w:rFonts w:ascii="Century Gothic" w:hAnsi="Century Gothic"/>
          <w:sz w:val="22"/>
          <w:szCs w:val="22"/>
        </w:rPr>
      </w:pPr>
    </w:p>
    <w:sectPr w:rsidR="002633C0" w:rsidRPr="00AC327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3DF5" w14:textId="77777777" w:rsidR="007C0E51" w:rsidRDefault="007C0E51" w:rsidP="00E7033F">
      <w:r>
        <w:separator/>
      </w:r>
    </w:p>
  </w:endnote>
  <w:endnote w:type="continuationSeparator" w:id="0">
    <w:p w14:paraId="49366F7D" w14:textId="77777777" w:rsidR="007C0E51" w:rsidRDefault="007C0E5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DBC8" w14:textId="77777777" w:rsidR="007C0E51" w:rsidRDefault="007C0E51" w:rsidP="00E7033F">
      <w:r>
        <w:separator/>
      </w:r>
    </w:p>
  </w:footnote>
  <w:footnote w:type="continuationSeparator" w:id="0">
    <w:p w14:paraId="41778091" w14:textId="77777777" w:rsidR="007C0E51" w:rsidRDefault="007C0E5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C8391F"/>
    <w:multiLevelType w:val="hybridMultilevel"/>
    <w:tmpl w:val="22904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54CC5"/>
    <w:multiLevelType w:val="hybridMultilevel"/>
    <w:tmpl w:val="F55685D4"/>
    <w:lvl w:ilvl="0" w:tplc="42AAD8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5A3FF9"/>
    <w:multiLevelType w:val="hybridMultilevel"/>
    <w:tmpl w:val="0D3E7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F6B98"/>
    <w:multiLevelType w:val="multilevel"/>
    <w:tmpl w:val="ED7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C7A5B"/>
    <w:multiLevelType w:val="hybridMultilevel"/>
    <w:tmpl w:val="88D25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BC2E54"/>
    <w:multiLevelType w:val="hybridMultilevel"/>
    <w:tmpl w:val="1D2C7D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265688"/>
    <w:multiLevelType w:val="hybridMultilevel"/>
    <w:tmpl w:val="C5362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C05F87"/>
    <w:multiLevelType w:val="hybridMultilevel"/>
    <w:tmpl w:val="04904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C8227E"/>
    <w:multiLevelType w:val="hybridMultilevel"/>
    <w:tmpl w:val="11D21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017486">
    <w:abstractNumId w:val="9"/>
  </w:num>
  <w:num w:numId="2" w16cid:durableId="1888252409">
    <w:abstractNumId w:val="10"/>
  </w:num>
  <w:num w:numId="3" w16cid:durableId="276186169">
    <w:abstractNumId w:val="14"/>
  </w:num>
  <w:num w:numId="4" w16cid:durableId="1206792777">
    <w:abstractNumId w:val="20"/>
  </w:num>
  <w:num w:numId="5" w16cid:durableId="1631130638">
    <w:abstractNumId w:val="7"/>
  </w:num>
  <w:num w:numId="6" w16cid:durableId="291133234">
    <w:abstractNumId w:val="16"/>
  </w:num>
  <w:num w:numId="7" w16cid:durableId="431708201">
    <w:abstractNumId w:val="24"/>
  </w:num>
  <w:num w:numId="8" w16cid:durableId="1386873801">
    <w:abstractNumId w:val="19"/>
  </w:num>
  <w:num w:numId="9" w16cid:durableId="300968160">
    <w:abstractNumId w:val="3"/>
  </w:num>
  <w:num w:numId="10" w16cid:durableId="2133403302">
    <w:abstractNumId w:val="4"/>
  </w:num>
  <w:num w:numId="11" w16cid:durableId="2146466124">
    <w:abstractNumId w:val="21"/>
  </w:num>
  <w:num w:numId="12" w16cid:durableId="1039554129">
    <w:abstractNumId w:val="15"/>
  </w:num>
  <w:num w:numId="13" w16cid:durableId="180169129">
    <w:abstractNumId w:val="23"/>
  </w:num>
  <w:num w:numId="14" w16cid:durableId="155846583">
    <w:abstractNumId w:val="17"/>
  </w:num>
  <w:num w:numId="15" w16cid:durableId="631247503">
    <w:abstractNumId w:val="2"/>
  </w:num>
  <w:num w:numId="16" w16cid:durableId="255749862">
    <w:abstractNumId w:val="0"/>
  </w:num>
  <w:num w:numId="17" w16cid:durableId="1392121778">
    <w:abstractNumId w:val="5"/>
  </w:num>
  <w:num w:numId="18" w16cid:durableId="1551108608">
    <w:abstractNumId w:val="6"/>
  </w:num>
  <w:num w:numId="19" w16cid:durableId="511649831">
    <w:abstractNumId w:val="12"/>
  </w:num>
  <w:num w:numId="20" w16cid:durableId="569114979">
    <w:abstractNumId w:val="11"/>
  </w:num>
  <w:num w:numId="21" w16cid:durableId="1645505993">
    <w:abstractNumId w:val="18"/>
  </w:num>
  <w:num w:numId="22" w16cid:durableId="1548879343">
    <w:abstractNumId w:val="8"/>
  </w:num>
  <w:num w:numId="23" w16cid:durableId="2127117059">
    <w:abstractNumId w:val="13"/>
  </w:num>
  <w:num w:numId="24" w16cid:durableId="421462282">
    <w:abstractNumId w:val="22"/>
  </w:num>
  <w:num w:numId="25" w16cid:durableId="16096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CAA"/>
    <w:rsid w:val="000554F9"/>
    <w:rsid w:val="00060489"/>
    <w:rsid w:val="00072BFC"/>
    <w:rsid w:val="00074C47"/>
    <w:rsid w:val="00080AA0"/>
    <w:rsid w:val="000825DC"/>
    <w:rsid w:val="00087EEE"/>
    <w:rsid w:val="000904CD"/>
    <w:rsid w:val="000949A4"/>
    <w:rsid w:val="000D23FC"/>
    <w:rsid w:val="000E5AE6"/>
    <w:rsid w:val="000F5CF0"/>
    <w:rsid w:val="001129B6"/>
    <w:rsid w:val="00154644"/>
    <w:rsid w:val="00181E11"/>
    <w:rsid w:val="001C44B4"/>
    <w:rsid w:val="001C4D5F"/>
    <w:rsid w:val="001D1D70"/>
    <w:rsid w:val="001D506B"/>
    <w:rsid w:val="001E096B"/>
    <w:rsid w:val="001E1616"/>
    <w:rsid w:val="001E5C79"/>
    <w:rsid w:val="00212BAA"/>
    <w:rsid w:val="00235ECA"/>
    <w:rsid w:val="00263011"/>
    <w:rsid w:val="002633C0"/>
    <w:rsid w:val="00273983"/>
    <w:rsid w:val="0028219A"/>
    <w:rsid w:val="002A0E98"/>
    <w:rsid w:val="002D02D3"/>
    <w:rsid w:val="002E1D2C"/>
    <w:rsid w:val="00300BA3"/>
    <w:rsid w:val="00311097"/>
    <w:rsid w:val="00314CAF"/>
    <w:rsid w:val="00324E27"/>
    <w:rsid w:val="003314A2"/>
    <w:rsid w:val="003436B9"/>
    <w:rsid w:val="003631BB"/>
    <w:rsid w:val="0036516B"/>
    <w:rsid w:val="003827E1"/>
    <w:rsid w:val="003B44CB"/>
    <w:rsid w:val="003B5A31"/>
    <w:rsid w:val="003B7F1A"/>
    <w:rsid w:val="00402A0A"/>
    <w:rsid w:val="00403BFC"/>
    <w:rsid w:val="00437455"/>
    <w:rsid w:val="00493936"/>
    <w:rsid w:val="004B1072"/>
    <w:rsid w:val="004C69BD"/>
    <w:rsid w:val="004C7D4E"/>
    <w:rsid w:val="004F0549"/>
    <w:rsid w:val="004F4655"/>
    <w:rsid w:val="00500730"/>
    <w:rsid w:val="00504FFB"/>
    <w:rsid w:val="005603FB"/>
    <w:rsid w:val="005753D5"/>
    <w:rsid w:val="005923F9"/>
    <w:rsid w:val="005F5B9B"/>
    <w:rsid w:val="005F61D3"/>
    <w:rsid w:val="006056E7"/>
    <w:rsid w:val="0064228A"/>
    <w:rsid w:val="00656A54"/>
    <w:rsid w:val="00694306"/>
    <w:rsid w:val="006A1563"/>
    <w:rsid w:val="006A2278"/>
    <w:rsid w:val="006B6B50"/>
    <w:rsid w:val="006F0CAA"/>
    <w:rsid w:val="00705512"/>
    <w:rsid w:val="007124F1"/>
    <w:rsid w:val="00712B83"/>
    <w:rsid w:val="00722627"/>
    <w:rsid w:val="00727C19"/>
    <w:rsid w:val="00750B5E"/>
    <w:rsid w:val="007617DF"/>
    <w:rsid w:val="00761B63"/>
    <w:rsid w:val="00765B0F"/>
    <w:rsid w:val="007C0E51"/>
    <w:rsid w:val="007C37D7"/>
    <w:rsid w:val="00844594"/>
    <w:rsid w:val="008B59F4"/>
    <w:rsid w:val="008B61E5"/>
    <w:rsid w:val="008B685D"/>
    <w:rsid w:val="008E249B"/>
    <w:rsid w:val="008F6B57"/>
    <w:rsid w:val="00922F57"/>
    <w:rsid w:val="0093080C"/>
    <w:rsid w:val="00936DC6"/>
    <w:rsid w:val="00952E67"/>
    <w:rsid w:val="0095378E"/>
    <w:rsid w:val="0097023C"/>
    <w:rsid w:val="009820E4"/>
    <w:rsid w:val="00987619"/>
    <w:rsid w:val="00992368"/>
    <w:rsid w:val="00996B7A"/>
    <w:rsid w:val="009A06ED"/>
    <w:rsid w:val="009C0068"/>
    <w:rsid w:val="009D51D0"/>
    <w:rsid w:val="009D5250"/>
    <w:rsid w:val="009E3025"/>
    <w:rsid w:val="009E5DAE"/>
    <w:rsid w:val="00A37612"/>
    <w:rsid w:val="00A822AC"/>
    <w:rsid w:val="00AC327D"/>
    <w:rsid w:val="00AD751A"/>
    <w:rsid w:val="00B04CAC"/>
    <w:rsid w:val="00B2787D"/>
    <w:rsid w:val="00B47D52"/>
    <w:rsid w:val="00B775EB"/>
    <w:rsid w:val="00B90E05"/>
    <w:rsid w:val="00B9755C"/>
    <w:rsid w:val="00BA0472"/>
    <w:rsid w:val="00BA1E5F"/>
    <w:rsid w:val="00BA60AF"/>
    <w:rsid w:val="00BD1C61"/>
    <w:rsid w:val="00C76210"/>
    <w:rsid w:val="00C85723"/>
    <w:rsid w:val="00CD249A"/>
    <w:rsid w:val="00CD260B"/>
    <w:rsid w:val="00CE1BB7"/>
    <w:rsid w:val="00D0794C"/>
    <w:rsid w:val="00D33414"/>
    <w:rsid w:val="00D35F0D"/>
    <w:rsid w:val="00D64042"/>
    <w:rsid w:val="00D82942"/>
    <w:rsid w:val="00D95BC4"/>
    <w:rsid w:val="00DC04D4"/>
    <w:rsid w:val="00DD2167"/>
    <w:rsid w:val="00DD6A64"/>
    <w:rsid w:val="00DE5BEB"/>
    <w:rsid w:val="00DF25DE"/>
    <w:rsid w:val="00E22022"/>
    <w:rsid w:val="00E26A9D"/>
    <w:rsid w:val="00E7033F"/>
    <w:rsid w:val="00E7413F"/>
    <w:rsid w:val="00E802BC"/>
    <w:rsid w:val="00E8130C"/>
    <w:rsid w:val="00E931A8"/>
    <w:rsid w:val="00EB10D0"/>
    <w:rsid w:val="00EB5FFB"/>
    <w:rsid w:val="00ED569D"/>
    <w:rsid w:val="00EE687D"/>
    <w:rsid w:val="00F02D36"/>
    <w:rsid w:val="00F24A2E"/>
    <w:rsid w:val="00F44523"/>
    <w:rsid w:val="00F62D63"/>
    <w:rsid w:val="00F64946"/>
    <w:rsid w:val="00F67EF8"/>
    <w:rsid w:val="00F856C2"/>
    <w:rsid w:val="00F8712E"/>
    <w:rsid w:val="00F90650"/>
    <w:rsid w:val="00F919EA"/>
    <w:rsid w:val="00F91C73"/>
    <w:rsid w:val="00FC01A7"/>
    <w:rsid w:val="00FC0C7C"/>
    <w:rsid w:val="00FD0E9C"/>
    <w:rsid w:val="00FD0FD5"/>
    <w:rsid w:val="00FD53B3"/>
    <w:rsid w:val="00FE46DC"/>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27C19"/>
  </w:style>
  <w:style w:type="paragraph" w:styleId="Ttulo4">
    <w:name w:val="heading 4"/>
    <w:basedOn w:val="Normal"/>
    <w:link w:val="Ttulo4Car"/>
    <w:uiPriority w:val="9"/>
    <w:qFormat/>
    <w:rsid w:val="0064228A"/>
    <w:pPr>
      <w:spacing w:before="100" w:beforeAutospacing="1" w:after="100" w:afterAutospacing="1"/>
      <w:outlineLvl w:val="3"/>
    </w:pPr>
    <w:rPr>
      <w:rFonts w:ascii="Times New Roman" w:eastAsia="Times New Roman" w:hAnsi="Times New Roman" w:cs="Times New Roman"/>
      <w:b/>
      <w:bCs/>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154644"/>
    <w:rPr>
      <w:b/>
      <w:bCs/>
    </w:rPr>
  </w:style>
  <w:style w:type="character" w:customStyle="1" w:styleId="Ttulo4Car">
    <w:name w:val="Título 4 Car"/>
    <w:basedOn w:val="Fuentedeprrafopredeter"/>
    <w:link w:val="Ttulo4"/>
    <w:uiPriority w:val="9"/>
    <w:rsid w:val="0064228A"/>
    <w:rPr>
      <w:rFonts w:ascii="Times New Roman" w:eastAsia="Times New Roman" w:hAnsi="Times New Roman" w:cs="Times New Roman"/>
      <w:b/>
      <w:bCs/>
      <w:lang w:val="es-CO" w:eastAsia="es-CO"/>
    </w:rPr>
  </w:style>
  <w:style w:type="character" w:customStyle="1" w:styleId="relative">
    <w:name w:val="relative"/>
    <w:basedOn w:val="Fuentedeprrafopredeter"/>
    <w:rsid w:val="00C85723"/>
  </w:style>
  <w:style w:type="paragraph" w:styleId="Revisin">
    <w:name w:val="Revision"/>
    <w:hidden/>
    <w:uiPriority w:val="99"/>
    <w:semiHidden/>
    <w:rsid w:val="003B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21">
      <w:bodyDiv w:val="1"/>
      <w:marLeft w:val="0"/>
      <w:marRight w:val="0"/>
      <w:marTop w:val="0"/>
      <w:marBottom w:val="0"/>
      <w:divBdr>
        <w:top w:val="none" w:sz="0" w:space="0" w:color="auto"/>
        <w:left w:val="none" w:sz="0" w:space="0" w:color="auto"/>
        <w:bottom w:val="none" w:sz="0" w:space="0" w:color="auto"/>
        <w:right w:val="none" w:sz="0" w:space="0" w:color="auto"/>
      </w:divBdr>
    </w:div>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18928281">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580335772">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997221766">
      <w:bodyDiv w:val="1"/>
      <w:marLeft w:val="0"/>
      <w:marRight w:val="0"/>
      <w:marTop w:val="0"/>
      <w:marBottom w:val="0"/>
      <w:divBdr>
        <w:top w:val="none" w:sz="0" w:space="0" w:color="auto"/>
        <w:left w:val="none" w:sz="0" w:space="0" w:color="auto"/>
        <w:bottom w:val="none" w:sz="0" w:space="0" w:color="auto"/>
        <w:right w:val="none" w:sz="0" w:space="0" w:color="auto"/>
      </w:divBdr>
    </w:div>
    <w:div w:id="998273119">
      <w:bodyDiv w:val="1"/>
      <w:marLeft w:val="0"/>
      <w:marRight w:val="0"/>
      <w:marTop w:val="0"/>
      <w:marBottom w:val="0"/>
      <w:divBdr>
        <w:top w:val="none" w:sz="0" w:space="0" w:color="auto"/>
        <w:left w:val="none" w:sz="0" w:space="0" w:color="auto"/>
        <w:bottom w:val="none" w:sz="0" w:space="0" w:color="auto"/>
        <w:right w:val="none" w:sz="0" w:space="0" w:color="auto"/>
      </w:divBdr>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16812827">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260333386">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03716732">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41879052">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694919374">
      <w:bodyDiv w:val="1"/>
      <w:marLeft w:val="0"/>
      <w:marRight w:val="0"/>
      <w:marTop w:val="0"/>
      <w:marBottom w:val="0"/>
      <w:divBdr>
        <w:top w:val="none" w:sz="0" w:space="0" w:color="auto"/>
        <w:left w:val="none" w:sz="0" w:space="0" w:color="auto"/>
        <w:bottom w:val="none" w:sz="0" w:space="0" w:color="auto"/>
        <w:right w:val="none" w:sz="0" w:space="0" w:color="auto"/>
      </w:divBdr>
    </w:div>
    <w:div w:id="1711957442">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79563299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873227845">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282991EE3442FA929AA71379FF3E22"/>
        <w:category>
          <w:name w:val="General"/>
          <w:gallery w:val="placeholder"/>
        </w:category>
        <w:types>
          <w:type w:val="bbPlcHdr"/>
        </w:types>
        <w:behaviors>
          <w:behavior w:val="content"/>
        </w:behaviors>
        <w:guid w:val="{486AB1F1-7307-4B86-B5B9-356BF73ADC70}"/>
      </w:docPartPr>
      <w:docPartBody>
        <w:p w:rsidR="000A20C4" w:rsidRDefault="002E7ED4" w:rsidP="002E7ED4">
          <w:pPr>
            <w:pStyle w:val="15282991EE3442FA929AA71379FF3E2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0A20C4"/>
    <w:rsid w:val="000B6830"/>
    <w:rsid w:val="000C2EA1"/>
    <w:rsid w:val="0023443A"/>
    <w:rsid w:val="0028219A"/>
    <w:rsid w:val="002A3435"/>
    <w:rsid w:val="002E7ED4"/>
    <w:rsid w:val="00334088"/>
    <w:rsid w:val="006E2A20"/>
    <w:rsid w:val="00722627"/>
    <w:rsid w:val="00776B34"/>
    <w:rsid w:val="00852785"/>
    <w:rsid w:val="00C364CD"/>
    <w:rsid w:val="00E94216"/>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7ED4"/>
    <w:rPr>
      <w:color w:val="808080"/>
    </w:rPr>
  </w:style>
  <w:style w:type="paragraph" w:customStyle="1" w:styleId="15282991EE3442FA929AA71379FF3E22">
    <w:name w:val="15282991EE3442FA929AA71379FF3E22"/>
    <w:rsid w:val="002E7ED4"/>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2025-04-14T02:06:00Z</dcterms:created>
  <dcterms:modified xsi:type="dcterms:W3CDTF">2025-04-14T02:06:00Z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