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37CFE" w14:textId="77777777" w:rsidR="00D76C0A" w:rsidRDefault="00D76C0A" w:rsidP="00D76C0A">
      <w:pPr>
        <w:jc w:val="both"/>
      </w:pPr>
      <w:r>
        <w:rPr>
          <w:b/>
          <w:bCs/>
        </w:rPr>
        <w:t xml:space="preserve">OBJETIVO DE LA REUNIÍÓN: </w:t>
      </w:r>
      <w:r>
        <w:t xml:space="preserve">ESCUCHAR AL CONTRATISTA. </w:t>
      </w:r>
    </w:p>
    <w:p w14:paraId="1DECA9F2" w14:textId="77777777" w:rsidR="00D76C0A" w:rsidRDefault="00D76C0A" w:rsidP="00D76C0A">
      <w:pPr>
        <w:jc w:val="both"/>
        <w:rPr>
          <w:b/>
          <w:bCs/>
        </w:rPr>
      </w:pPr>
    </w:p>
    <w:p w14:paraId="2ABDEBF7" w14:textId="2F0996D8" w:rsidR="00D76C0A" w:rsidRPr="00D76C0A" w:rsidRDefault="00D76C0A" w:rsidP="00D76C0A">
      <w:pPr>
        <w:jc w:val="both"/>
      </w:pPr>
      <w:r>
        <w:rPr>
          <w:b/>
          <w:bCs/>
        </w:rPr>
        <w:t xml:space="preserve">AVANCE EJECUTADO LOTE 1: </w:t>
      </w:r>
      <w:r>
        <w:t>38,21% - SOLO UN FRENTE DE TRABAJO EJECUTADO AL 100%</w:t>
      </w:r>
    </w:p>
    <w:p w14:paraId="6CE2818C" w14:textId="4890DAC2" w:rsidR="00D76C0A" w:rsidRDefault="00D76C0A" w:rsidP="00D76C0A">
      <w:pPr>
        <w:jc w:val="both"/>
      </w:pPr>
      <w:r>
        <w:rPr>
          <w:b/>
          <w:bCs/>
        </w:rPr>
        <w:t xml:space="preserve">AVANCE EJECUTADO LOTE 2: </w:t>
      </w:r>
      <w:r>
        <w:t>18% - NINGÚN FRENTE DE TRABAJO AL 100%.</w:t>
      </w:r>
    </w:p>
    <w:p w14:paraId="1AEA094C" w14:textId="77777777" w:rsidR="00D76C0A" w:rsidRDefault="00D76C0A" w:rsidP="00D76C0A">
      <w:pPr>
        <w:jc w:val="both"/>
      </w:pPr>
    </w:p>
    <w:p w14:paraId="285F491D" w14:textId="1706D581" w:rsidR="00D76C0A" w:rsidRDefault="00D76C0A" w:rsidP="00D76C0A">
      <w:pPr>
        <w:jc w:val="both"/>
        <w:rPr>
          <w:b/>
          <w:bCs/>
        </w:rPr>
      </w:pPr>
      <w:r>
        <w:rPr>
          <w:b/>
          <w:bCs/>
        </w:rPr>
        <w:t xml:space="preserve">CONTRATISTA – APODERADO HENRY PEÑA </w:t>
      </w:r>
    </w:p>
    <w:p w14:paraId="1B543DFD" w14:textId="69C5DAFA" w:rsidR="00D76C0A" w:rsidRDefault="00D76C0A" w:rsidP="00D76C0A">
      <w:pPr>
        <w:jc w:val="both"/>
      </w:pPr>
      <w:r>
        <w:t xml:space="preserve">Considera </w:t>
      </w:r>
      <w:proofErr w:type="gramStart"/>
      <w:r>
        <w:t>que</w:t>
      </w:r>
      <w:proofErr w:type="gramEnd"/>
      <w:r>
        <w:t xml:space="preserve"> si bien el contratista incumplió en la ejecución de la obra, se presentan otras situaciones que deberían ser valoradas. Expresa que es cierto que la obra se encuentra en esos porcentajes de avance.</w:t>
      </w:r>
    </w:p>
    <w:p w14:paraId="7F1738CF" w14:textId="77777777" w:rsidR="00D76C0A" w:rsidRDefault="00D76C0A" w:rsidP="00D76C0A">
      <w:pPr>
        <w:jc w:val="both"/>
        <w:rPr>
          <w:b/>
          <w:bCs/>
        </w:rPr>
      </w:pPr>
      <w:r>
        <w:rPr>
          <w:b/>
          <w:bCs/>
        </w:rPr>
        <w:t xml:space="preserve">WILLIAM PORTOCARRERO – REPRESENTANTE LEGAL DEL CONSORCIO. </w:t>
      </w:r>
    </w:p>
    <w:p w14:paraId="51BF8A1A" w14:textId="77777777" w:rsidR="00D76C0A" w:rsidRDefault="00D76C0A" w:rsidP="00D76C0A">
      <w:pPr>
        <w:jc w:val="both"/>
      </w:pPr>
      <w:r>
        <w:t xml:space="preserve">Indica que se ha planteado un plan de acción: </w:t>
      </w:r>
    </w:p>
    <w:p w14:paraId="294FFF1E" w14:textId="77777777" w:rsidR="00D76C0A" w:rsidRDefault="00D76C0A" w:rsidP="00D76C0A">
      <w:pPr>
        <w:jc w:val="both"/>
        <w:rPr>
          <w:b/>
          <w:bCs/>
        </w:rPr>
      </w:pPr>
      <w:r w:rsidRPr="00D76C0A">
        <w:rPr>
          <w:b/>
          <w:bCs/>
        </w:rPr>
        <w:t>LOTE 1</w:t>
      </w:r>
    </w:p>
    <w:p w14:paraId="620858EB" w14:textId="77777777" w:rsidR="00D76C0A" w:rsidRDefault="00D76C0A" w:rsidP="00D76C0A">
      <w:pPr>
        <w:jc w:val="both"/>
      </w:pPr>
      <w:r>
        <w:t>Siempre han tenido desacuerdo respecto a los porcentajes de avance. Trae un cronograma de obra con una duración de 52 días calendario.</w:t>
      </w:r>
    </w:p>
    <w:p w14:paraId="38607DF8" w14:textId="75C904B7" w:rsidR="00D76C0A" w:rsidRDefault="00D76C0A" w:rsidP="00D76C0A">
      <w:pPr>
        <w:jc w:val="both"/>
      </w:pPr>
      <w:r>
        <w:t xml:space="preserve">En el </w:t>
      </w:r>
      <w:r w:rsidRPr="00D76C0A">
        <w:rPr>
          <w:b/>
          <w:bCs/>
          <w:u w:val="single"/>
        </w:rPr>
        <w:t>Frente 8 sector Golondrinas</w:t>
      </w:r>
      <w:r>
        <w:t xml:space="preserve"> tiene una duración de 44 días para su terminación. Indica que el frente únicamente faltan 450 metros de la cuneta. </w:t>
      </w:r>
    </w:p>
    <w:p w14:paraId="57223145" w14:textId="225A2A24" w:rsidR="00D76C0A" w:rsidRDefault="00D76C0A" w:rsidP="00D76C0A">
      <w:pPr>
        <w:jc w:val="both"/>
      </w:pPr>
      <w:r>
        <w:t xml:space="preserve">En el </w:t>
      </w:r>
      <w:r>
        <w:rPr>
          <w:b/>
          <w:bCs/>
          <w:u w:val="single"/>
        </w:rPr>
        <w:t xml:space="preserve">Frente 17 sector cabecera frente al predio del padre Mera hasta predio Abertina. </w:t>
      </w:r>
      <w:r>
        <w:t xml:space="preserve">Tendría una duración de 47 días. </w:t>
      </w:r>
    </w:p>
    <w:p w14:paraId="31DB6DE6" w14:textId="07D624BB" w:rsidR="00D76C0A" w:rsidRDefault="00D76C0A" w:rsidP="00D76C0A">
      <w:pPr>
        <w:jc w:val="both"/>
      </w:pPr>
      <w:r>
        <w:t xml:space="preserve">En el </w:t>
      </w:r>
      <w:r>
        <w:rPr>
          <w:b/>
          <w:bCs/>
          <w:u w:val="single"/>
        </w:rPr>
        <w:t xml:space="preserve">Frente 18 La Paz vereda Villa del Rosario desde Holguín </w:t>
      </w:r>
      <w:proofErr w:type="spellStart"/>
      <w:r>
        <w:rPr>
          <w:b/>
          <w:bCs/>
          <w:u w:val="single"/>
        </w:rPr>
        <w:t>Solis</w:t>
      </w:r>
      <w:proofErr w:type="spellEnd"/>
      <w:r>
        <w:rPr>
          <w:b/>
          <w:bCs/>
          <w:u w:val="single"/>
        </w:rPr>
        <w:t xml:space="preserve"> hasta Marisol Ochoa.</w:t>
      </w:r>
      <w:r>
        <w:t xml:space="preserve"> Manifiesta que en este frente han tenido inconvenientes debido al presupuesto inicial, tuvieron que realizar un rediseño. Este frente se finalizaría en 25 días. </w:t>
      </w:r>
    </w:p>
    <w:p w14:paraId="7A7E0307" w14:textId="4D5685DB" w:rsidR="00D76C0A" w:rsidRDefault="00D76C0A" w:rsidP="00D76C0A">
      <w:pPr>
        <w:jc w:val="both"/>
      </w:pPr>
      <w:r>
        <w:t xml:space="preserve">En el </w:t>
      </w:r>
      <w:r>
        <w:rPr>
          <w:b/>
          <w:bCs/>
          <w:u w:val="single"/>
        </w:rPr>
        <w:t xml:space="preserve">Frente 19 La Paz vereda Villa del Rosario frente al predio de Holguín </w:t>
      </w:r>
      <w:proofErr w:type="spellStart"/>
      <w:r>
        <w:rPr>
          <w:b/>
          <w:bCs/>
          <w:u w:val="single"/>
        </w:rPr>
        <w:t>Solis</w:t>
      </w:r>
      <w:proofErr w:type="spellEnd"/>
      <w:r>
        <w:rPr>
          <w:b/>
          <w:bCs/>
          <w:u w:val="single"/>
        </w:rPr>
        <w:t xml:space="preserve">. </w:t>
      </w:r>
      <w:r>
        <w:t xml:space="preserve">Necesitan 41 días. En este punto la Secretaría interviene e indica </w:t>
      </w:r>
      <w:proofErr w:type="gramStart"/>
      <w:r>
        <w:t>que</w:t>
      </w:r>
      <w:proofErr w:type="gramEnd"/>
      <w:r>
        <w:t xml:space="preserve"> si se van a presentar diseños tipo, deben justificarlos y presentarlos a la Secretaría. El contratista responde que los planos iniciales no son posibles de aplicarse en el lugar de la obra. </w:t>
      </w:r>
    </w:p>
    <w:p w14:paraId="16516570" w14:textId="3C582480" w:rsidR="00D76C0A" w:rsidRDefault="00D76C0A" w:rsidP="00D76C0A">
      <w:pPr>
        <w:jc w:val="both"/>
      </w:pPr>
    </w:p>
    <w:p w14:paraId="04D21D02" w14:textId="46E2D5C0" w:rsidR="00D76C0A" w:rsidRDefault="00D76C0A" w:rsidP="00D76C0A">
      <w:pPr>
        <w:jc w:val="both"/>
      </w:pPr>
      <w:r>
        <w:t xml:space="preserve">En el </w:t>
      </w:r>
      <w:r>
        <w:rPr>
          <w:b/>
          <w:bCs/>
          <w:u w:val="single"/>
        </w:rPr>
        <w:t>Frente 20:</w:t>
      </w:r>
      <w:r>
        <w:t xml:space="preserve"> Indica que han logrado un avance de 356 metros de los 1100 metros. Ya balancearon durante todo este tiempo, e indican que únicamente se podrían colocar 700 metros de cuneta, por lo que sobran recursos. </w:t>
      </w:r>
    </w:p>
    <w:p w14:paraId="2FD7C24E" w14:textId="77777777" w:rsidR="00D76C0A" w:rsidRDefault="00D76C0A" w:rsidP="00D76C0A">
      <w:pPr>
        <w:jc w:val="both"/>
      </w:pPr>
    </w:p>
    <w:p w14:paraId="134AE210" w14:textId="1DD16414" w:rsidR="00D76C0A" w:rsidRDefault="00D76C0A" w:rsidP="00D76C0A">
      <w:pPr>
        <w:jc w:val="both"/>
      </w:pPr>
      <w:r>
        <w:t xml:space="preserve">En el </w:t>
      </w:r>
      <w:r>
        <w:rPr>
          <w:b/>
          <w:bCs/>
          <w:u w:val="single"/>
        </w:rPr>
        <w:t>Frente 21:</w:t>
      </w:r>
      <w:r>
        <w:t xml:space="preserve"> Totalmente terminado. </w:t>
      </w:r>
    </w:p>
    <w:p w14:paraId="5FE93FAD" w14:textId="77777777" w:rsidR="00D76C0A" w:rsidRDefault="00D76C0A" w:rsidP="00D76C0A">
      <w:pPr>
        <w:jc w:val="both"/>
      </w:pPr>
    </w:p>
    <w:p w14:paraId="06FF6D21" w14:textId="707330F2" w:rsidR="00D76C0A" w:rsidRDefault="00D76C0A" w:rsidP="00D76C0A">
      <w:pPr>
        <w:jc w:val="both"/>
      </w:pPr>
      <w:r>
        <w:lastRenderedPageBreak/>
        <w:t xml:space="preserve">En el </w:t>
      </w:r>
      <w:r>
        <w:rPr>
          <w:b/>
          <w:bCs/>
          <w:u w:val="single"/>
        </w:rPr>
        <w:t>Frente 22:</w:t>
      </w:r>
      <w:r>
        <w:t xml:space="preserve"> Se encuentra con un avance del 90%, únicamente falta el cabezal de salida de la tubería. Necesitan 18 días, una sola cuadrilla.</w:t>
      </w:r>
    </w:p>
    <w:p w14:paraId="6C6668E4" w14:textId="6206C990" w:rsidR="00D76C0A" w:rsidRDefault="00D76C0A" w:rsidP="00D76C0A">
      <w:pPr>
        <w:jc w:val="both"/>
      </w:pPr>
      <w:r>
        <w:t xml:space="preserve">El </w:t>
      </w:r>
      <w:r>
        <w:rPr>
          <w:b/>
          <w:bCs/>
          <w:u w:val="single"/>
        </w:rPr>
        <w:t xml:space="preserve">Frente 23: </w:t>
      </w:r>
      <w:r>
        <w:t>Ya está terminado. Indica que también está sobrando recurso.</w:t>
      </w:r>
    </w:p>
    <w:p w14:paraId="037C1286" w14:textId="1102ED5B" w:rsidR="00D76C0A" w:rsidRDefault="00D76C0A" w:rsidP="00D76C0A">
      <w:pPr>
        <w:jc w:val="both"/>
      </w:pPr>
      <w:r>
        <w:t xml:space="preserve">El </w:t>
      </w:r>
      <w:r>
        <w:rPr>
          <w:b/>
          <w:bCs/>
          <w:u w:val="single"/>
        </w:rPr>
        <w:t>Frente 24:</w:t>
      </w:r>
      <w:r>
        <w:t xml:space="preserve"> Finalizado</w:t>
      </w:r>
    </w:p>
    <w:p w14:paraId="34E97EDD" w14:textId="7F5E3F95" w:rsidR="00D76C0A" w:rsidRDefault="00D76C0A" w:rsidP="00D76C0A">
      <w:pPr>
        <w:jc w:val="both"/>
      </w:pPr>
      <w:r>
        <w:rPr>
          <w:b/>
          <w:bCs/>
          <w:u w:val="single"/>
        </w:rPr>
        <w:t>Frente 25:</w:t>
      </w:r>
      <w:r>
        <w:t xml:space="preserve"> No se ha iniciado. Duración de 34 días, dos cuadrillas.</w:t>
      </w:r>
    </w:p>
    <w:p w14:paraId="346C6625" w14:textId="666E9A09" w:rsidR="00D76C0A" w:rsidRDefault="00D76C0A" w:rsidP="00D76C0A">
      <w:pPr>
        <w:jc w:val="both"/>
      </w:pPr>
      <w:r>
        <w:rPr>
          <w:b/>
          <w:bCs/>
          <w:u w:val="single"/>
        </w:rPr>
        <w:t>Frente 26:</w:t>
      </w:r>
      <w:r>
        <w:t xml:space="preserve"> No se ha iniciado. </w:t>
      </w:r>
    </w:p>
    <w:p w14:paraId="7134A518" w14:textId="3BEDCC47" w:rsidR="00D76C0A" w:rsidRDefault="00D76C0A" w:rsidP="00D76C0A">
      <w:pPr>
        <w:jc w:val="both"/>
      </w:pPr>
      <w:r>
        <w:t xml:space="preserve">En este punto la Secretaría pide claridad sobre el número de cuadrillas que estarán trabajando simultáneamente. Se aclara que los días de duración </w:t>
      </w:r>
      <w:r w:rsidR="00E42AF6">
        <w:t>es</w:t>
      </w:r>
      <w:r>
        <w:t xml:space="preserve"> en días hábiles. </w:t>
      </w:r>
    </w:p>
    <w:p w14:paraId="7351284E" w14:textId="07F7F675" w:rsidR="00D76C0A" w:rsidRPr="00E42AF6" w:rsidRDefault="00D76C0A" w:rsidP="00D76C0A">
      <w:pPr>
        <w:jc w:val="both"/>
        <w:rPr>
          <w:b/>
          <w:bCs/>
        </w:rPr>
      </w:pPr>
      <w:r>
        <w:rPr>
          <w:b/>
          <w:bCs/>
        </w:rPr>
        <w:t>LOTE 2</w:t>
      </w:r>
      <w:r w:rsidR="00030760">
        <w:rPr>
          <w:b/>
          <w:bCs/>
        </w:rPr>
        <w:t xml:space="preserve"> – 52 días (en paralelo con el LOTE 1)</w:t>
      </w:r>
    </w:p>
    <w:p w14:paraId="66DF2177" w14:textId="783BA50E" w:rsidR="00D76C0A" w:rsidRDefault="00D76C0A" w:rsidP="00D76C0A">
      <w:pPr>
        <w:jc w:val="both"/>
      </w:pPr>
      <w:r w:rsidRPr="00D76C0A">
        <w:rPr>
          <w:b/>
          <w:bCs/>
          <w:u w:val="single"/>
        </w:rPr>
        <w:t>Frente 27:</w:t>
      </w:r>
      <w:r w:rsidR="00030760">
        <w:t xml:space="preserve"> 51 días. </w:t>
      </w:r>
    </w:p>
    <w:p w14:paraId="369C59E4" w14:textId="0B586AF3" w:rsidR="00030760" w:rsidRDefault="00030760" w:rsidP="00D76C0A">
      <w:pPr>
        <w:jc w:val="both"/>
      </w:pPr>
      <w:r>
        <w:rPr>
          <w:b/>
          <w:bCs/>
          <w:u w:val="single"/>
        </w:rPr>
        <w:t>Frente 28:</w:t>
      </w:r>
      <w:r>
        <w:t xml:space="preserve"> Indica que el diseño no se acopla a la obra. 47 días. Una cuadrilla. </w:t>
      </w:r>
    </w:p>
    <w:p w14:paraId="3732D9B0" w14:textId="3DD6CCC8" w:rsidR="00030760" w:rsidRDefault="00030760" w:rsidP="00D76C0A">
      <w:pPr>
        <w:jc w:val="both"/>
      </w:pPr>
      <w:r>
        <w:rPr>
          <w:b/>
          <w:bCs/>
          <w:u w:val="single"/>
        </w:rPr>
        <w:t xml:space="preserve">Frente 29: </w:t>
      </w:r>
      <w:r>
        <w:t>48 días. Indica que sobre recurso. 2 cuadrillas.</w:t>
      </w:r>
    </w:p>
    <w:p w14:paraId="2B500D7B" w14:textId="03D385A3" w:rsidR="00030760" w:rsidRDefault="00030760" w:rsidP="00D76C0A">
      <w:pPr>
        <w:jc w:val="both"/>
      </w:pPr>
      <w:r>
        <w:rPr>
          <w:b/>
          <w:bCs/>
          <w:u w:val="single"/>
        </w:rPr>
        <w:t>Frente 30:</w:t>
      </w:r>
      <w:r>
        <w:t xml:space="preserve"> Está amarrado al frente 35. Los dos frentes se realizan con una cuadrilla. Duración de 52 días.</w:t>
      </w:r>
    </w:p>
    <w:p w14:paraId="62268843" w14:textId="4A25FEC8" w:rsidR="00030760" w:rsidRDefault="00030760" w:rsidP="00D76C0A">
      <w:pPr>
        <w:jc w:val="both"/>
      </w:pPr>
      <w:r>
        <w:rPr>
          <w:b/>
          <w:bCs/>
          <w:u w:val="single"/>
        </w:rPr>
        <w:t>Frente 31:</w:t>
      </w:r>
      <w:r>
        <w:t xml:space="preserve"> El presupuesto estaba para 150 metros de placa huella y solo alcanzó para realizar 95 metros sin cuneta. Una sola cuadrilla. 8 días.</w:t>
      </w:r>
    </w:p>
    <w:p w14:paraId="1A4BBC49" w14:textId="765EC727" w:rsidR="00030760" w:rsidRDefault="00030760" w:rsidP="00D76C0A">
      <w:pPr>
        <w:jc w:val="both"/>
      </w:pPr>
      <w:r>
        <w:rPr>
          <w:b/>
          <w:bCs/>
          <w:u w:val="single"/>
        </w:rPr>
        <w:t>Frente 32:</w:t>
      </w:r>
      <w:r>
        <w:t xml:space="preserve"> 51 días. Una sola cuadrilla. </w:t>
      </w:r>
    </w:p>
    <w:p w14:paraId="20A92198" w14:textId="5022D84B" w:rsidR="00030760" w:rsidRDefault="00030760" w:rsidP="00D76C0A">
      <w:pPr>
        <w:jc w:val="both"/>
      </w:pPr>
      <w:r>
        <w:rPr>
          <w:b/>
          <w:bCs/>
          <w:u w:val="single"/>
        </w:rPr>
        <w:t>Frente 33:</w:t>
      </w:r>
      <w:r>
        <w:t xml:space="preserve"> 51 días. Una sola cuadrilla. Construcción de cuneta de 120 metros</w:t>
      </w:r>
    </w:p>
    <w:p w14:paraId="616D3445" w14:textId="1D488551" w:rsidR="00030760" w:rsidRDefault="00030760" w:rsidP="00D76C0A">
      <w:pPr>
        <w:jc w:val="both"/>
      </w:pPr>
      <w:r>
        <w:rPr>
          <w:b/>
          <w:bCs/>
          <w:u w:val="single"/>
        </w:rPr>
        <w:t>Frente 34:</w:t>
      </w:r>
      <w:r>
        <w:t xml:space="preserve"> Una sola cuadrilla. </w:t>
      </w:r>
    </w:p>
    <w:p w14:paraId="00EC5103" w14:textId="77777777" w:rsidR="00030760" w:rsidRDefault="00030760" w:rsidP="00D76C0A">
      <w:pPr>
        <w:jc w:val="both"/>
      </w:pPr>
      <w:r>
        <w:rPr>
          <w:b/>
          <w:bCs/>
          <w:u w:val="single"/>
        </w:rPr>
        <w:t>Frente 36:</w:t>
      </w:r>
      <w:r w:rsidRPr="00030760">
        <w:rPr>
          <w:b/>
          <w:bCs/>
        </w:rPr>
        <w:t xml:space="preserve"> </w:t>
      </w:r>
      <w:r>
        <w:t>43 días. Dos cuadrillas en simultáneo.</w:t>
      </w:r>
    </w:p>
    <w:p w14:paraId="49A89110" w14:textId="77777777" w:rsidR="00030760" w:rsidRDefault="00030760" w:rsidP="00D76C0A">
      <w:pPr>
        <w:jc w:val="both"/>
      </w:pPr>
      <w:r>
        <w:rPr>
          <w:b/>
          <w:bCs/>
          <w:u w:val="single"/>
        </w:rPr>
        <w:t>Frente 37:</w:t>
      </w:r>
      <w:r>
        <w:t xml:space="preserve"> Duración de 52 días. Una sola cuadrilla.</w:t>
      </w:r>
    </w:p>
    <w:p w14:paraId="5767460E" w14:textId="77777777" w:rsidR="00030760" w:rsidRDefault="00030760" w:rsidP="00D76C0A">
      <w:pPr>
        <w:jc w:val="both"/>
      </w:pPr>
      <w:r>
        <w:t>TOTAL 12 CUADRILLAS. POR LO MENOS 43 DÍAS DE TRABAJO SIMULTÁNEO.</w:t>
      </w:r>
    </w:p>
    <w:p w14:paraId="43B52E95" w14:textId="77777777" w:rsidR="00030760" w:rsidRDefault="00030760" w:rsidP="00D76C0A">
      <w:pPr>
        <w:jc w:val="both"/>
      </w:pPr>
    </w:p>
    <w:p w14:paraId="1AFA9E37" w14:textId="4902E226" w:rsidR="00F66374" w:rsidRDefault="00F66374" w:rsidP="00D76C0A">
      <w:pPr>
        <w:jc w:val="both"/>
      </w:pPr>
      <w:r w:rsidRPr="00E42AF6">
        <w:rPr>
          <w:highlight w:val="yellow"/>
        </w:rPr>
        <w:t>ES NECESARIO DIALOGAR CON LA COMPAÑÍA ASEGURADORA PARA DETERMINAR CUÁLES SON LAS POSIBLES SALIDAS EN UNA EVENTUAL CONCILIACIÓN Y SUSPENSIÓN DEL PROCESO DE PRESUNTO INCUMPLIMIENTO PARA ASEGURAR LA CONTINUACIÓN DE LA OBRA</w:t>
      </w:r>
      <w:r w:rsidR="00A93979">
        <w:rPr>
          <w:highlight w:val="yellow"/>
        </w:rPr>
        <w:t>, ASÍ COMO ACLARAR CUÁLES SERÍAN LOS TÉRMINOS EN LOS QUE SE ESTABLECERÍA EL CONTRATO DE SEGURO, Y CUÁL ES LA DOCUMENTACIÓN QUE NECESITA LA ASEGURADORA PARA ESTE FIN</w:t>
      </w:r>
      <w:r w:rsidRPr="00E42AF6">
        <w:rPr>
          <w:highlight w:val="yellow"/>
        </w:rPr>
        <w:t xml:space="preserve">. </w:t>
      </w:r>
      <w:r w:rsidR="004240E2" w:rsidRPr="00E42AF6">
        <w:rPr>
          <w:highlight w:val="yellow"/>
        </w:rPr>
        <w:t xml:space="preserve">ESTA </w:t>
      </w:r>
      <w:r w:rsidR="00A93979">
        <w:rPr>
          <w:highlight w:val="yellow"/>
        </w:rPr>
        <w:t xml:space="preserve">EVENTUAL </w:t>
      </w:r>
      <w:r w:rsidR="004240E2" w:rsidRPr="00E42AF6">
        <w:rPr>
          <w:highlight w:val="yellow"/>
        </w:rPr>
        <w:t>CONCILIACIÓN SOLO CONTINUARÍA LA SUSPENSIÓN DEL PROCESO.</w:t>
      </w:r>
      <w:r w:rsidR="004240E2">
        <w:t xml:space="preserve"> </w:t>
      </w:r>
    </w:p>
    <w:p w14:paraId="28D4482C" w14:textId="77777777" w:rsidR="00F66374" w:rsidRDefault="00F66374" w:rsidP="00D76C0A">
      <w:pPr>
        <w:jc w:val="both"/>
      </w:pPr>
    </w:p>
    <w:p w14:paraId="1B247A93" w14:textId="77777777" w:rsidR="00F66374" w:rsidRDefault="00F66374" w:rsidP="00D76C0A">
      <w:pPr>
        <w:jc w:val="both"/>
      </w:pPr>
      <w:r>
        <w:t xml:space="preserve">ES NECESARIO HACER UN PRONUNCIAMIENTO POR ESCRITO RESPECTO A ESTE PUNTO. </w:t>
      </w:r>
    </w:p>
    <w:p w14:paraId="710E7DB0" w14:textId="5205E527" w:rsidR="00DD3A15" w:rsidRDefault="00DD3A15" w:rsidP="00D76C0A">
      <w:pPr>
        <w:jc w:val="both"/>
      </w:pPr>
      <w:r>
        <w:lastRenderedPageBreak/>
        <w:t xml:space="preserve">EL CONTRATISTA SE COMPROMETE A ENTREGAR EL PLAN DE TRABAJO A INTERVENTORÍA Y SUPERVISIÓN EL LUNES 10 DE FEBRERO. </w:t>
      </w:r>
      <w:hyperlink r:id="rId4" w:history="1">
        <w:r w:rsidRPr="00501BB0">
          <w:rPr>
            <w:rStyle w:val="Hipervnculo"/>
          </w:rPr>
          <w:t>sancionatorios.infra@cali.gov.co</w:t>
        </w:r>
      </w:hyperlink>
      <w:r>
        <w:t xml:space="preserve"> – </w:t>
      </w:r>
      <w:hyperlink r:id="rId5" w:history="1">
        <w:r w:rsidRPr="00501BB0">
          <w:rPr>
            <w:rStyle w:val="Hipervnculo"/>
          </w:rPr>
          <w:t>cali.interventoria@gmail.com</w:t>
        </w:r>
      </w:hyperlink>
      <w:r>
        <w:t xml:space="preserve"> </w:t>
      </w:r>
    </w:p>
    <w:p w14:paraId="54AA81BD" w14:textId="2C4022D4" w:rsidR="004240E2" w:rsidRPr="004240E2" w:rsidRDefault="00DD3A15" w:rsidP="00D76C0A">
      <w:pPr>
        <w:jc w:val="both"/>
      </w:pPr>
      <w:r>
        <w:t>MESA DE TRABAJO CON EL INTERVENTOR Y LA SECRETARIA EL MIÉRCOLES 12 DE FEBRERO.</w:t>
      </w:r>
    </w:p>
    <w:p w14:paraId="0A97516C" w14:textId="76B1A9F3" w:rsidR="004240E2" w:rsidRDefault="00DD3A15" w:rsidP="00D76C0A">
      <w:pPr>
        <w:jc w:val="both"/>
        <w:rPr>
          <w:b/>
          <w:bCs/>
        </w:rPr>
      </w:pPr>
      <w:r w:rsidRPr="004240E2">
        <w:rPr>
          <w:b/>
          <w:bCs/>
          <w:highlight w:val="yellow"/>
        </w:rPr>
        <w:t xml:space="preserve">NUEVA REUNIÓN EL VIERNES </w:t>
      </w:r>
      <w:r w:rsidR="004240E2" w:rsidRPr="004240E2">
        <w:rPr>
          <w:b/>
          <w:bCs/>
          <w:highlight w:val="yellow"/>
        </w:rPr>
        <w:t xml:space="preserve">14 DE FEBRERO </w:t>
      </w:r>
      <w:r w:rsidRPr="004240E2">
        <w:rPr>
          <w:b/>
          <w:bCs/>
          <w:highlight w:val="yellow"/>
        </w:rPr>
        <w:t>A LAS 10:30 AM</w:t>
      </w:r>
      <w:r w:rsidR="004240E2" w:rsidRPr="004240E2">
        <w:rPr>
          <w:b/>
          <w:bCs/>
          <w:highlight w:val="yellow"/>
        </w:rPr>
        <w:t xml:space="preserve"> POR DEFINIR SI ES EN MODALIDAD VIRTUAL O PRESENCIAL</w:t>
      </w:r>
      <w:r w:rsidR="004240E2">
        <w:rPr>
          <w:b/>
          <w:bCs/>
        </w:rPr>
        <w:t>.</w:t>
      </w:r>
    </w:p>
    <w:p w14:paraId="39F4D84C" w14:textId="2BDDE24B" w:rsidR="004240E2" w:rsidRPr="004240E2" w:rsidRDefault="004240E2" w:rsidP="00D76C0A">
      <w:pPr>
        <w:jc w:val="both"/>
        <w:rPr>
          <w:b/>
          <w:bCs/>
        </w:rPr>
      </w:pPr>
    </w:p>
    <w:p w14:paraId="1B72F960" w14:textId="77777777" w:rsidR="004240E2" w:rsidRDefault="004240E2" w:rsidP="00D76C0A">
      <w:pPr>
        <w:jc w:val="both"/>
      </w:pPr>
    </w:p>
    <w:p w14:paraId="486400B2" w14:textId="77777777" w:rsidR="004240E2" w:rsidRDefault="004240E2" w:rsidP="00D76C0A">
      <w:pPr>
        <w:jc w:val="both"/>
        <w:rPr>
          <w:b/>
          <w:bCs/>
        </w:rPr>
      </w:pPr>
      <w:r>
        <w:rPr>
          <w:b/>
          <w:bCs/>
        </w:rPr>
        <w:t xml:space="preserve">PARA SUSTITUCIÓN DE PODER </w:t>
      </w:r>
    </w:p>
    <w:p w14:paraId="165AFAA2" w14:textId="0C8FCBF1" w:rsidR="00D76C0A" w:rsidRDefault="004240E2" w:rsidP="00D76C0A">
      <w:pPr>
        <w:jc w:val="both"/>
      </w:pPr>
      <w:hyperlink r:id="rId6" w:history="1">
        <w:r w:rsidRPr="00501BB0">
          <w:rPr>
            <w:rStyle w:val="Hipervnculo"/>
          </w:rPr>
          <w:t>victoria.naranjo@cali.gov.co</w:t>
        </w:r>
      </w:hyperlink>
      <w:r w:rsidRPr="004240E2">
        <w:t xml:space="preserve"> </w:t>
      </w:r>
      <w:r>
        <w:t xml:space="preserve">- </w:t>
      </w:r>
      <w:hyperlink r:id="rId7" w:history="1">
        <w:r w:rsidRPr="00501BB0">
          <w:rPr>
            <w:rStyle w:val="Hipervnculo"/>
          </w:rPr>
          <w:t>sancionatorios.infra@cali.gov.co</w:t>
        </w:r>
      </w:hyperlink>
    </w:p>
    <w:p w14:paraId="4CD05D43" w14:textId="77777777" w:rsidR="004240E2" w:rsidRDefault="004240E2" w:rsidP="00D76C0A">
      <w:pPr>
        <w:jc w:val="both"/>
      </w:pPr>
    </w:p>
    <w:p w14:paraId="62500EEC" w14:textId="22DBFA50" w:rsidR="004240E2" w:rsidRPr="004240E2" w:rsidRDefault="004240E2" w:rsidP="00D76C0A">
      <w:pPr>
        <w:jc w:val="both"/>
      </w:pPr>
    </w:p>
    <w:sectPr w:rsidR="004240E2" w:rsidRPr="004240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3F"/>
    <w:rsid w:val="00030760"/>
    <w:rsid w:val="00104A52"/>
    <w:rsid w:val="00292898"/>
    <w:rsid w:val="004240E2"/>
    <w:rsid w:val="004A53D4"/>
    <w:rsid w:val="00555313"/>
    <w:rsid w:val="005A5921"/>
    <w:rsid w:val="005B2F3F"/>
    <w:rsid w:val="0082223B"/>
    <w:rsid w:val="00A93979"/>
    <w:rsid w:val="00CB5A05"/>
    <w:rsid w:val="00D76C0A"/>
    <w:rsid w:val="00DD3A15"/>
    <w:rsid w:val="00E40014"/>
    <w:rsid w:val="00E42AF6"/>
    <w:rsid w:val="00F663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C3B8"/>
  <w15:chartTrackingRefBased/>
  <w15:docId w15:val="{1B302749-33F0-47A8-8BF5-65EF7E7B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B2F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B2F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B2F3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B2F3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B2F3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B2F3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2F3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2F3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2F3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2F3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B2F3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B2F3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B2F3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B2F3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B2F3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2F3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2F3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2F3F"/>
    <w:rPr>
      <w:rFonts w:eastAsiaTheme="majorEastAsia" w:cstheme="majorBidi"/>
      <w:color w:val="272727" w:themeColor="text1" w:themeTint="D8"/>
    </w:rPr>
  </w:style>
  <w:style w:type="paragraph" w:styleId="Ttulo">
    <w:name w:val="Title"/>
    <w:basedOn w:val="Normal"/>
    <w:next w:val="Normal"/>
    <w:link w:val="TtuloCar"/>
    <w:uiPriority w:val="10"/>
    <w:qFormat/>
    <w:rsid w:val="005B2F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2F3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2F3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2F3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2F3F"/>
    <w:pPr>
      <w:spacing w:before="160"/>
      <w:jc w:val="center"/>
    </w:pPr>
    <w:rPr>
      <w:i/>
      <w:iCs/>
      <w:color w:val="404040" w:themeColor="text1" w:themeTint="BF"/>
    </w:rPr>
  </w:style>
  <w:style w:type="character" w:customStyle="1" w:styleId="CitaCar">
    <w:name w:val="Cita Car"/>
    <w:basedOn w:val="Fuentedeprrafopredeter"/>
    <w:link w:val="Cita"/>
    <w:uiPriority w:val="29"/>
    <w:rsid w:val="005B2F3F"/>
    <w:rPr>
      <w:i/>
      <w:iCs/>
      <w:color w:val="404040" w:themeColor="text1" w:themeTint="BF"/>
    </w:rPr>
  </w:style>
  <w:style w:type="paragraph" w:styleId="Prrafodelista">
    <w:name w:val="List Paragraph"/>
    <w:basedOn w:val="Normal"/>
    <w:uiPriority w:val="34"/>
    <w:qFormat/>
    <w:rsid w:val="005B2F3F"/>
    <w:pPr>
      <w:ind w:left="720"/>
      <w:contextualSpacing/>
    </w:pPr>
  </w:style>
  <w:style w:type="character" w:styleId="nfasisintenso">
    <w:name w:val="Intense Emphasis"/>
    <w:basedOn w:val="Fuentedeprrafopredeter"/>
    <w:uiPriority w:val="21"/>
    <w:qFormat/>
    <w:rsid w:val="005B2F3F"/>
    <w:rPr>
      <w:i/>
      <w:iCs/>
      <w:color w:val="2F5496" w:themeColor="accent1" w:themeShade="BF"/>
    </w:rPr>
  </w:style>
  <w:style w:type="paragraph" w:styleId="Citadestacada">
    <w:name w:val="Intense Quote"/>
    <w:basedOn w:val="Normal"/>
    <w:next w:val="Normal"/>
    <w:link w:val="CitadestacadaCar"/>
    <w:uiPriority w:val="30"/>
    <w:qFormat/>
    <w:rsid w:val="005B2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B2F3F"/>
    <w:rPr>
      <w:i/>
      <w:iCs/>
      <w:color w:val="2F5496" w:themeColor="accent1" w:themeShade="BF"/>
    </w:rPr>
  </w:style>
  <w:style w:type="character" w:styleId="Referenciaintensa">
    <w:name w:val="Intense Reference"/>
    <w:basedOn w:val="Fuentedeprrafopredeter"/>
    <w:uiPriority w:val="32"/>
    <w:qFormat/>
    <w:rsid w:val="005B2F3F"/>
    <w:rPr>
      <w:b/>
      <w:bCs/>
      <w:smallCaps/>
      <w:color w:val="2F5496" w:themeColor="accent1" w:themeShade="BF"/>
      <w:spacing w:val="5"/>
    </w:rPr>
  </w:style>
  <w:style w:type="character" w:styleId="Hipervnculo">
    <w:name w:val="Hyperlink"/>
    <w:basedOn w:val="Fuentedeprrafopredeter"/>
    <w:uiPriority w:val="99"/>
    <w:unhideWhenUsed/>
    <w:rsid w:val="00DD3A15"/>
    <w:rPr>
      <w:color w:val="0563C1" w:themeColor="hyperlink"/>
      <w:u w:val="single"/>
    </w:rPr>
  </w:style>
  <w:style w:type="character" w:styleId="Mencinsinresolver">
    <w:name w:val="Unresolved Mention"/>
    <w:basedOn w:val="Fuentedeprrafopredeter"/>
    <w:uiPriority w:val="99"/>
    <w:semiHidden/>
    <w:unhideWhenUsed/>
    <w:rsid w:val="00DD3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ncionatorios.infra@cali.gov.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ctoria.naranjo@cali.gov.co" TargetMode="External"/><Relationship Id="rId5" Type="http://schemas.openxmlformats.org/officeDocument/2006/relationships/hyperlink" Target="mailto:cali.interventoria@gmail.com" TargetMode="External"/><Relationship Id="rId4" Type="http://schemas.openxmlformats.org/officeDocument/2006/relationships/hyperlink" Target="mailto:sancionatorios.infra@cali.gov.co"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663</Words>
  <Characters>3649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4</cp:revision>
  <dcterms:created xsi:type="dcterms:W3CDTF">2025-02-05T20:08:00Z</dcterms:created>
  <dcterms:modified xsi:type="dcterms:W3CDTF">2025-02-06T13:04:00Z</dcterms:modified>
</cp:coreProperties>
</file>