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0ABA5091"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DA3656">
        <w:rPr>
          <w:rFonts w:asciiTheme="minorHAnsi" w:hAnsiTheme="minorHAnsi" w:cstheme="minorHAnsi"/>
          <w:sz w:val="22"/>
          <w:szCs w:val="22"/>
        </w:rPr>
        <w:t>17 de febrero de 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A2F51A3"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DA3656">
        <w:rPr>
          <w:rFonts w:asciiTheme="minorHAnsi" w:hAnsiTheme="minorHAnsi" w:cstheme="minorHAnsi"/>
          <w:sz w:val="22"/>
          <w:szCs w:val="22"/>
        </w:rPr>
        <w:t>GUSTAVO ALBERTO HERRERA SIERRA</w:t>
      </w:r>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7FF77E77" w:rsidR="00B975A3" w:rsidRPr="00DA3656" w:rsidRDefault="005207C0" w:rsidP="00B975A3">
      <w:pPr>
        <w:pStyle w:val="Textoindependiente"/>
        <w:ind w:right="51"/>
        <w:jc w:val="both"/>
        <w:rPr>
          <w:rFonts w:asciiTheme="minorHAnsi" w:hAnsiTheme="minorHAnsi" w:cstheme="minorHAnsi"/>
          <w:sz w:val="22"/>
          <w:szCs w:val="22"/>
          <w:lang w:val="es-CO"/>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DA3656" w:rsidRPr="00DA3656">
        <w:rPr>
          <w:rFonts w:asciiTheme="minorHAnsi" w:hAnsiTheme="minorHAnsi" w:cstheme="minorHAnsi"/>
          <w:sz w:val="22"/>
          <w:szCs w:val="22"/>
          <w:lang w:val="es-CO"/>
        </w:rPr>
        <w:t>074-2024</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3AC4D6AC"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S.A.__</w:t>
      </w:r>
      <w:r w:rsidR="006D706F">
        <w:rPr>
          <w:rFonts w:asciiTheme="minorHAnsi" w:hAnsiTheme="minorHAnsi" w:cstheme="minorHAnsi"/>
          <w:sz w:val="22"/>
          <w:szCs w:val="22"/>
        </w:rPr>
        <w:t>X</w:t>
      </w:r>
      <w:r w:rsidRPr="00296A84">
        <w:rPr>
          <w:rFonts w:asciiTheme="minorHAnsi" w:hAnsiTheme="minorHAnsi" w:cstheme="minorHAnsi"/>
          <w:sz w:val="22"/>
          <w:szCs w:val="22"/>
        </w:rPr>
        <w:t>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Si la fuente de litigio del </w:t>
      </w:r>
      <w:proofErr w:type="gramStart"/>
      <w:r w:rsidRPr="00296A84">
        <w:rPr>
          <w:rFonts w:asciiTheme="minorHAnsi" w:hAnsiTheme="minorHAnsi" w:cstheme="minorHAnsi"/>
          <w:sz w:val="22"/>
          <w:szCs w:val="22"/>
        </w:rPr>
        <w:t>Proceso  corresponde</w:t>
      </w:r>
      <w:proofErr w:type="gramEnd"/>
      <w:r w:rsidRPr="00296A84">
        <w:rPr>
          <w:rFonts w:asciiTheme="minorHAnsi" w:hAnsiTheme="minorHAnsi" w:cstheme="minorHAnsi"/>
          <w:sz w:val="22"/>
          <w:szCs w:val="22"/>
        </w:rPr>
        <w:t xml:space="preserv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5159D288"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6D706F" w:rsidRPr="006D706F">
        <w:rPr>
          <w:rFonts w:asciiTheme="minorHAnsi" w:hAnsiTheme="minorHAnsi" w:cstheme="minorHAnsi"/>
          <w:sz w:val="22"/>
          <w:szCs w:val="22"/>
          <w:lang w:val="es-CO"/>
        </w:rPr>
        <w:t>MEDELLIN CENTRO</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6E1A47FB"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Póliza  afectada</w:t>
      </w:r>
      <w:proofErr w:type="gramEnd"/>
      <w:r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6D706F" w:rsidRPr="006D706F">
        <w:rPr>
          <w:rFonts w:asciiTheme="minorHAnsi" w:hAnsiTheme="minorHAnsi" w:cstheme="minorHAnsi"/>
          <w:sz w:val="22"/>
          <w:szCs w:val="22"/>
          <w:lang w:val="es-CO"/>
        </w:rPr>
        <w:t>1002263</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5AD8A282"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1/9/2022-1/9/2023</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2AEDF81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MANEJO GLOBAL ENTIDADES OFICIALES</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017320C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FALLOS CON RESPONSABILIDAD FISCAL</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6DC03C5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LOTERÍA DE MEDELLÍN</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0EBFFB5B"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2021-2023</w:t>
      </w:r>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2F15B0BE"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Claims Made)</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2B4354AD" w14:textId="77777777"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553399289" w:edGrp="everyone"/>
      <w:r w:rsidRPr="00296A84">
        <w:rPr>
          <w:rFonts w:asciiTheme="minorHAnsi" w:hAnsiTheme="minorHAnsi" w:cstheme="minorHAnsi"/>
          <w:sz w:val="22"/>
          <w:szCs w:val="22"/>
        </w:rPr>
        <w:t xml:space="preserve"> </w:t>
      </w:r>
      <w:r w:rsidRPr="006D706F">
        <w:rPr>
          <w:rFonts w:asciiTheme="minorHAnsi" w:hAnsiTheme="minorHAnsi" w:cstheme="minorHAnsi"/>
          <w:sz w:val="22"/>
          <w:szCs w:val="22"/>
          <w:lang w:val="es-CO"/>
        </w:rPr>
        <w:t>MEDELLIN CENTRO</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53399289"/>
      <w:r w:rsidRPr="00296A84">
        <w:rPr>
          <w:rFonts w:asciiTheme="minorHAnsi" w:hAnsiTheme="minorHAnsi" w:cstheme="minorHAnsi"/>
          <w:sz w:val="22"/>
          <w:szCs w:val="22"/>
        </w:rPr>
        <w:t xml:space="preserve">                    </w:t>
      </w:r>
    </w:p>
    <w:p w14:paraId="5114381B" w14:textId="0AD509E2" w:rsidR="006D706F" w:rsidRPr="00296A84" w:rsidRDefault="006D706F" w:rsidP="006D706F">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Póliza  afectada</w:t>
      </w:r>
      <w:proofErr w:type="gramEnd"/>
      <w:r w:rsidRPr="00296A84">
        <w:rPr>
          <w:rFonts w:asciiTheme="minorHAnsi" w:hAnsiTheme="minorHAnsi" w:cstheme="minorHAnsi"/>
          <w:sz w:val="22"/>
          <w:szCs w:val="22"/>
        </w:rPr>
        <w:t xml:space="preserve"> No.:  </w:t>
      </w:r>
      <w:permStart w:id="1014378093" w:edGrp="everyone"/>
      <w:r w:rsidRPr="00296A84">
        <w:rPr>
          <w:rFonts w:asciiTheme="minorHAnsi" w:hAnsiTheme="minorHAnsi" w:cstheme="minorHAnsi"/>
          <w:sz w:val="22"/>
          <w:szCs w:val="22"/>
        </w:rPr>
        <w:t xml:space="preserve">  </w:t>
      </w:r>
      <w:r w:rsidRPr="006D706F">
        <w:rPr>
          <w:rFonts w:asciiTheme="minorHAnsi" w:hAnsiTheme="minorHAnsi" w:cstheme="minorHAnsi"/>
          <w:sz w:val="22"/>
          <w:szCs w:val="22"/>
          <w:lang w:val="es-CO"/>
        </w:rPr>
        <w:t>1002267</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014378093"/>
      <w:r w:rsidRPr="00296A84">
        <w:rPr>
          <w:rFonts w:asciiTheme="minorHAnsi" w:hAnsiTheme="minorHAnsi" w:cstheme="minorHAnsi"/>
          <w:sz w:val="22"/>
          <w:szCs w:val="22"/>
        </w:rPr>
        <w:t xml:space="preserve">                       </w:t>
      </w:r>
    </w:p>
    <w:p w14:paraId="0FB933AF" w14:textId="144629B0"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765688009" w:edGrp="everyone"/>
      <w:r w:rsidRPr="00296A84">
        <w:rPr>
          <w:rFonts w:asciiTheme="minorHAnsi" w:hAnsiTheme="minorHAnsi" w:cstheme="minorHAnsi"/>
          <w:sz w:val="22"/>
          <w:szCs w:val="22"/>
        </w:rPr>
        <w:t xml:space="preserve">  </w:t>
      </w:r>
      <w:r>
        <w:rPr>
          <w:rFonts w:asciiTheme="minorHAnsi" w:hAnsiTheme="minorHAnsi" w:cstheme="minorHAnsi"/>
          <w:sz w:val="22"/>
          <w:szCs w:val="22"/>
        </w:rPr>
        <w:t>1/9/202</w:t>
      </w:r>
      <w:r>
        <w:rPr>
          <w:rFonts w:asciiTheme="minorHAnsi" w:hAnsiTheme="minorHAnsi" w:cstheme="minorHAnsi"/>
          <w:sz w:val="22"/>
          <w:szCs w:val="22"/>
        </w:rPr>
        <w:t>3</w:t>
      </w:r>
      <w:r>
        <w:rPr>
          <w:rFonts w:asciiTheme="minorHAnsi" w:hAnsiTheme="minorHAnsi" w:cstheme="minorHAnsi"/>
          <w:sz w:val="22"/>
          <w:szCs w:val="22"/>
        </w:rPr>
        <w:t>-1/9/202</w:t>
      </w:r>
      <w:r>
        <w:rPr>
          <w:rFonts w:asciiTheme="minorHAnsi" w:hAnsiTheme="minorHAnsi" w:cstheme="minorHAnsi"/>
          <w:sz w:val="22"/>
          <w:szCs w:val="22"/>
        </w:rPr>
        <w:t>4</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765688009"/>
      <w:r w:rsidRPr="00296A84">
        <w:rPr>
          <w:rFonts w:asciiTheme="minorHAnsi" w:hAnsiTheme="minorHAnsi" w:cstheme="minorHAnsi"/>
          <w:sz w:val="22"/>
          <w:szCs w:val="22"/>
        </w:rPr>
        <w:t xml:space="preserve">                          </w:t>
      </w:r>
    </w:p>
    <w:p w14:paraId="4F008C2D" w14:textId="77777777"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960319521" w:edGrp="everyone"/>
      <w:r w:rsidRPr="00296A84">
        <w:rPr>
          <w:rFonts w:asciiTheme="minorHAnsi" w:hAnsiTheme="minorHAnsi" w:cstheme="minorHAnsi"/>
          <w:sz w:val="22"/>
          <w:szCs w:val="22"/>
        </w:rPr>
        <w:t xml:space="preserve">   </w:t>
      </w:r>
      <w:r>
        <w:rPr>
          <w:rFonts w:asciiTheme="minorHAnsi" w:hAnsiTheme="minorHAnsi" w:cstheme="minorHAnsi"/>
          <w:sz w:val="22"/>
          <w:szCs w:val="22"/>
        </w:rPr>
        <w:t>MANEJO GLOBAL ENTIDADES OFICIALES</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960319521"/>
      <w:r w:rsidRPr="00296A84">
        <w:rPr>
          <w:rFonts w:asciiTheme="minorHAnsi" w:hAnsiTheme="minorHAnsi" w:cstheme="minorHAnsi"/>
          <w:sz w:val="22"/>
          <w:szCs w:val="22"/>
        </w:rPr>
        <w:t xml:space="preserve">                          </w:t>
      </w:r>
    </w:p>
    <w:p w14:paraId="630E7EC0" w14:textId="77777777"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698507207" w:edGrp="everyone"/>
      <w:r w:rsidRPr="00296A84">
        <w:rPr>
          <w:rFonts w:asciiTheme="minorHAnsi" w:hAnsiTheme="minorHAnsi" w:cstheme="minorHAnsi"/>
          <w:sz w:val="22"/>
          <w:szCs w:val="22"/>
        </w:rPr>
        <w:t xml:space="preserve"> </w:t>
      </w:r>
      <w:r>
        <w:rPr>
          <w:rFonts w:asciiTheme="minorHAnsi" w:hAnsiTheme="minorHAnsi" w:cstheme="minorHAnsi"/>
          <w:sz w:val="22"/>
          <w:szCs w:val="22"/>
        </w:rPr>
        <w:t>FALLOS CON RESPONSABILIDAD FISCAL</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698507207"/>
      <w:r w:rsidRPr="00296A84">
        <w:rPr>
          <w:rFonts w:asciiTheme="minorHAnsi" w:hAnsiTheme="minorHAnsi" w:cstheme="minorHAnsi"/>
          <w:sz w:val="22"/>
          <w:szCs w:val="22"/>
        </w:rPr>
        <w:t xml:space="preserve">                       </w:t>
      </w:r>
    </w:p>
    <w:p w14:paraId="3E2174E0" w14:textId="77777777"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461314309" w:edGrp="everyone"/>
      <w:r w:rsidRPr="00296A84">
        <w:rPr>
          <w:rFonts w:asciiTheme="minorHAnsi" w:hAnsiTheme="minorHAnsi" w:cstheme="minorHAnsi"/>
          <w:sz w:val="22"/>
          <w:szCs w:val="22"/>
        </w:rPr>
        <w:t xml:space="preserve"> </w:t>
      </w:r>
      <w:r>
        <w:rPr>
          <w:rFonts w:asciiTheme="minorHAnsi" w:hAnsiTheme="minorHAnsi" w:cstheme="minorHAnsi"/>
          <w:sz w:val="22"/>
          <w:szCs w:val="22"/>
        </w:rPr>
        <w:t>LOTERÍA DE MEDELLÍN</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461314309"/>
      <w:r w:rsidRPr="00296A84">
        <w:rPr>
          <w:rFonts w:asciiTheme="minorHAnsi" w:hAnsiTheme="minorHAnsi" w:cstheme="minorHAnsi"/>
          <w:sz w:val="22"/>
          <w:szCs w:val="22"/>
        </w:rPr>
        <w:t xml:space="preserve">                    </w:t>
      </w:r>
    </w:p>
    <w:p w14:paraId="248D8926" w14:textId="77777777" w:rsidR="006D706F"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1004998898" w:edGrp="everyone"/>
      <w:r w:rsidRPr="00296A84">
        <w:rPr>
          <w:rFonts w:asciiTheme="minorHAnsi" w:hAnsiTheme="minorHAnsi" w:cstheme="minorHAnsi"/>
          <w:sz w:val="22"/>
          <w:szCs w:val="22"/>
        </w:rPr>
        <w:t xml:space="preserve"> </w:t>
      </w:r>
      <w:r>
        <w:rPr>
          <w:rFonts w:asciiTheme="minorHAnsi" w:hAnsiTheme="minorHAnsi" w:cstheme="minorHAnsi"/>
          <w:sz w:val="22"/>
          <w:szCs w:val="22"/>
        </w:rPr>
        <w:t>2021-2023</w:t>
      </w:r>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004998898"/>
      <w:r w:rsidRPr="00296A84">
        <w:rPr>
          <w:rFonts w:asciiTheme="minorHAnsi" w:hAnsiTheme="minorHAnsi" w:cstheme="minorHAnsi"/>
          <w:sz w:val="22"/>
          <w:szCs w:val="22"/>
        </w:rPr>
        <w:t xml:space="preserve">                  </w:t>
      </w:r>
    </w:p>
    <w:p w14:paraId="64D32D20" w14:textId="77777777" w:rsidR="006D706F" w:rsidRPr="00296A84" w:rsidRDefault="006D706F" w:rsidP="006D706F">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Claims Made)</w:t>
      </w:r>
      <w:r w:rsidRPr="00296A84">
        <w:rPr>
          <w:rFonts w:asciiTheme="minorHAnsi" w:hAnsiTheme="minorHAnsi" w:cstheme="minorHAnsi"/>
          <w:sz w:val="22"/>
          <w:szCs w:val="22"/>
        </w:rPr>
        <w:t xml:space="preserve">:   </w:t>
      </w:r>
      <w:permStart w:id="128327966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83279668"/>
      <w:r w:rsidRPr="00296A84">
        <w:rPr>
          <w:rFonts w:asciiTheme="minorHAnsi" w:hAnsiTheme="minorHAnsi" w:cstheme="minorHAnsi"/>
          <w:sz w:val="22"/>
          <w:szCs w:val="22"/>
        </w:rPr>
        <w:t xml:space="preserve">                  </w:t>
      </w:r>
    </w:p>
    <w:p w14:paraId="7BA64035" w14:textId="77777777" w:rsidR="006D706F" w:rsidRDefault="006D706F"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3E6F98EB"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6D706F">
        <w:rPr>
          <w:rFonts w:ascii="Arial" w:hAnsi="Arial" w:cs="Arial"/>
        </w:rPr>
        <w:t>AMPARO DÁVILA VIDÉS</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6D948041"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6D706F">
        <w:rPr>
          <w:rFonts w:ascii="Arial" w:hAnsi="Arial" w:cs="Arial"/>
        </w:rPr>
        <w:t>43.055.440</w:t>
      </w:r>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13A82EC8"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6D706F">
        <w:rPr>
          <w:rFonts w:ascii="Arial" w:hAnsi="Arial" w:cs="Arial"/>
        </w:rPr>
        <w:t>VIVIANA MARCELA RÍOS CÓRDOBA</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71C9D338"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6D706F">
        <w:rPr>
          <w:rFonts w:ascii="Arial" w:hAnsi="Arial" w:cs="Arial"/>
        </w:rPr>
        <w:t>39.359.581</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4F067263"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6D706F" w:rsidRPr="006D706F">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7C4DC27D"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9B26CA"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lastRenderedPageBreak/>
        <w:t>Nombre o Razón Social:</w:t>
      </w:r>
    </w:p>
    <w:p w14:paraId="222C08DF" w14:textId="77777777"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943351802" w:edGrp="everyone"/>
      <w:r w:rsidRPr="00296A84">
        <w:rPr>
          <w:rFonts w:asciiTheme="minorHAnsi" w:hAnsiTheme="minorHAnsi" w:cstheme="minorHAnsi"/>
          <w:sz w:val="22"/>
          <w:szCs w:val="22"/>
        </w:rPr>
        <w:t xml:space="preserve">                                                   </w:t>
      </w:r>
      <w:permEnd w:id="19433518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E5D25A9" w14:textId="77777777"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72977436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7297743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F" w14:textId="7E6B4A21" w:rsidR="00641DCE" w:rsidRDefault="00641DCE" w:rsidP="00B975A3">
      <w:pPr>
        <w:ind w:right="51"/>
        <w:rPr>
          <w:rFonts w:asciiTheme="minorHAnsi" w:hAnsiTheme="minorHAnsi" w:cstheme="minorHAnsi"/>
          <w:sz w:val="22"/>
          <w:szCs w:val="22"/>
          <w:lang w:val="es-MX"/>
        </w:rPr>
      </w:pPr>
    </w:p>
    <w:p w14:paraId="7507D6A9" w14:textId="0783ACA2"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6D706F">
        <w:rPr>
          <w:rFonts w:ascii="Arial" w:hAnsi="Arial" w:cs="Arial"/>
        </w:rPr>
        <w:t>117.459.769</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7465B7EE"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282082F7"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00357EF2">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7CBA2D44" w14:textId="61452190" w:rsidR="00734444" w:rsidRDefault="00357EF2" w:rsidP="00357EF2">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La contingencia se califica como EVENTUAL como quiera que tanto la responsabilidad fiscal como la afectabilidad de la póliza dependen de la interpretación que la Contraloría realice de los argumentos esgrimidos por la compañía.</w:t>
      </w:r>
    </w:p>
    <w:p w14:paraId="1FB9AD39" w14:textId="77777777" w:rsidR="00357EF2" w:rsidRDefault="00357EF2" w:rsidP="00357EF2">
      <w:pPr>
        <w:pStyle w:val="Default"/>
        <w:jc w:val="both"/>
        <w:rPr>
          <w:rFonts w:asciiTheme="minorHAnsi" w:eastAsia="Times New Roman" w:hAnsiTheme="minorHAnsi" w:cstheme="minorHAnsi"/>
          <w:color w:val="auto"/>
          <w:sz w:val="22"/>
          <w:szCs w:val="22"/>
          <w:lang w:val="es-MX" w:eastAsia="es-ES"/>
        </w:rPr>
      </w:pPr>
    </w:p>
    <w:p w14:paraId="2C3038D7" w14:textId="4F25BC10" w:rsidR="00357EF2" w:rsidRDefault="00357EF2" w:rsidP="00357EF2">
      <w:pPr>
        <w:pStyle w:val="Default"/>
        <w:jc w:val="both"/>
        <w:rPr>
          <w:rFonts w:asciiTheme="minorHAnsi" w:hAnsiTheme="minorHAnsi" w:cstheme="minorHAnsi"/>
          <w:sz w:val="22"/>
          <w:szCs w:val="22"/>
        </w:rPr>
      </w:pPr>
      <w:r>
        <w:rPr>
          <w:rFonts w:asciiTheme="minorHAnsi" w:eastAsia="Times New Roman" w:hAnsiTheme="minorHAnsi" w:cstheme="minorHAnsi"/>
          <w:color w:val="auto"/>
          <w:sz w:val="22"/>
          <w:szCs w:val="22"/>
          <w:lang w:val="es-MX" w:eastAsia="es-ES"/>
        </w:rPr>
        <w:t xml:space="preserve">En relación con la cobertura temporal de las pólizas, debe mencionarse que el negocio aseguraticio no. </w:t>
      </w:r>
      <w:r w:rsidRPr="006D706F">
        <w:rPr>
          <w:rFonts w:asciiTheme="minorHAnsi" w:eastAsia="Times New Roman" w:hAnsiTheme="minorHAnsi" w:cstheme="minorHAnsi"/>
          <w:sz w:val="22"/>
          <w:szCs w:val="22"/>
        </w:rPr>
        <w:t>1002263</w:t>
      </w:r>
      <w:r>
        <w:rPr>
          <w:rFonts w:asciiTheme="minorHAnsi" w:eastAsia="Times New Roman" w:hAnsiTheme="minorHAnsi" w:cstheme="minorHAnsi"/>
          <w:sz w:val="22"/>
          <w:szCs w:val="22"/>
        </w:rPr>
        <w:t xml:space="preserve"> cuenta con una vigencia entre el </w:t>
      </w:r>
      <w:r>
        <w:rPr>
          <w:rFonts w:asciiTheme="minorHAnsi" w:hAnsiTheme="minorHAnsi" w:cstheme="minorHAnsi"/>
          <w:sz w:val="22"/>
          <w:szCs w:val="22"/>
        </w:rPr>
        <w:t>1/9/2022</w:t>
      </w:r>
      <w:r>
        <w:rPr>
          <w:rFonts w:asciiTheme="minorHAnsi" w:hAnsiTheme="minorHAnsi" w:cstheme="minorHAnsi"/>
          <w:sz w:val="22"/>
          <w:szCs w:val="22"/>
        </w:rPr>
        <w:t xml:space="preserve"> al </w:t>
      </w:r>
      <w:r>
        <w:rPr>
          <w:rFonts w:asciiTheme="minorHAnsi" w:hAnsiTheme="minorHAnsi" w:cstheme="minorHAnsi"/>
          <w:sz w:val="22"/>
          <w:szCs w:val="22"/>
        </w:rPr>
        <w:t>1/9/2023</w:t>
      </w:r>
      <w:r>
        <w:rPr>
          <w:rFonts w:asciiTheme="minorHAnsi" w:hAnsiTheme="minorHAnsi" w:cstheme="minorHAnsi"/>
          <w:sz w:val="22"/>
          <w:szCs w:val="22"/>
        </w:rPr>
        <w:t xml:space="preserve">, haberse pactado bajo la modalidad de ocurrencia y haber sucedido los hechos entre 2021 y 2023, es claro que los mismos se encuentran amparados por la póliza; Ahora, en cuanto a la póliza </w:t>
      </w:r>
      <w:r>
        <w:rPr>
          <w:rFonts w:asciiTheme="minorHAnsi" w:eastAsia="Times New Roman" w:hAnsiTheme="minorHAnsi" w:cstheme="minorHAnsi"/>
          <w:color w:val="auto"/>
          <w:sz w:val="22"/>
          <w:szCs w:val="22"/>
          <w:lang w:val="es-MX" w:eastAsia="es-ES"/>
        </w:rPr>
        <w:t xml:space="preserve">no. </w:t>
      </w:r>
      <w:r w:rsidRPr="006D706F">
        <w:rPr>
          <w:rFonts w:asciiTheme="minorHAnsi" w:eastAsia="Times New Roman" w:hAnsiTheme="minorHAnsi" w:cstheme="minorHAnsi"/>
          <w:sz w:val="22"/>
          <w:szCs w:val="22"/>
        </w:rPr>
        <w:t>1002267</w:t>
      </w:r>
      <w:r>
        <w:rPr>
          <w:rFonts w:asciiTheme="minorHAnsi" w:eastAsia="Times New Roman" w:hAnsiTheme="minorHAnsi" w:cstheme="minorHAnsi"/>
          <w:sz w:val="22"/>
          <w:szCs w:val="22"/>
        </w:rPr>
        <w:t xml:space="preserve">, debe advertirse que esta </w:t>
      </w:r>
      <w:r>
        <w:rPr>
          <w:rFonts w:asciiTheme="minorHAnsi" w:eastAsia="Times New Roman" w:hAnsiTheme="minorHAnsi" w:cstheme="minorHAnsi"/>
          <w:sz w:val="22"/>
          <w:szCs w:val="22"/>
        </w:rPr>
        <w:t xml:space="preserve">cuenta con una vigencia entre el </w:t>
      </w:r>
      <w:r>
        <w:rPr>
          <w:rFonts w:asciiTheme="minorHAnsi" w:hAnsiTheme="minorHAnsi" w:cstheme="minorHAnsi"/>
          <w:sz w:val="22"/>
          <w:szCs w:val="22"/>
        </w:rPr>
        <w:t>1/9/202</w:t>
      </w:r>
      <w:r>
        <w:rPr>
          <w:rFonts w:asciiTheme="minorHAnsi" w:hAnsiTheme="minorHAnsi" w:cstheme="minorHAnsi"/>
          <w:sz w:val="22"/>
          <w:szCs w:val="22"/>
        </w:rPr>
        <w:t>3</w:t>
      </w:r>
      <w:r>
        <w:rPr>
          <w:rFonts w:asciiTheme="minorHAnsi" w:hAnsiTheme="minorHAnsi" w:cstheme="minorHAnsi"/>
          <w:sz w:val="22"/>
          <w:szCs w:val="22"/>
        </w:rPr>
        <w:t xml:space="preserve"> al 1/9/202</w:t>
      </w:r>
      <w:r>
        <w:rPr>
          <w:rFonts w:asciiTheme="minorHAnsi" w:hAnsiTheme="minorHAnsi" w:cstheme="minorHAnsi"/>
          <w:sz w:val="22"/>
          <w:szCs w:val="22"/>
        </w:rPr>
        <w:t>4</w:t>
      </w:r>
      <w:r>
        <w:rPr>
          <w:rFonts w:asciiTheme="minorHAnsi" w:hAnsiTheme="minorHAnsi" w:cstheme="minorHAnsi"/>
          <w:sz w:val="22"/>
          <w:szCs w:val="22"/>
        </w:rPr>
        <w:t xml:space="preserve">, haberse pactado bajo la modalidad de ocurrencia </w:t>
      </w:r>
      <w:r>
        <w:rPr>
          <w:rFonts w:asciiTheme="minorHAnsi" w:hAnsiTheme="minorHAnsi" w:cstheme="minorHAnsi"/>
          <w:sz w:val="22"/>
          <w:szCs w:val="22"/>
        </w:rPr>
        <w:t>igualmente presta cobertura temporal; Sin embargo</w:t>
      </w:r>
      <w:r w:rsidR="006716F3">
        <w:rPr>
          <w:rFonts w:asciiTheme="minorHAnsi" w:hAnsiTheme="minorHAnsi" w:cstheme="minorHAnsi"/>
          <w:sz w:val="22"/>
          <w:szCs w:val="22"/>
        </w:rPr>
        <w:t>,</w:t>
      </w:r>
      <w:r>
        <w:rPr>
          <w:rFonts w:asciiTheme="minorHAnsi" w:hAnsiTheme="minorHAnsi" w:cstheme="minorHAnsi"/>
          <w:sz w:val="22"/>
          <w:szCs w:val="22"/>
        </w:rPr>
        <w:t xml:space="preserve"> se anota que de conformidad con el artículo 1054 del CCo, podríamos encontrarnos frente a un hecho cierto y pretérito que no tendría cobertura en ninguno de los dos contratos de seguros. Ahora, en relación con la cobertura material, debe señalarse que ambos negocios aseguraticios tienen un aparo para FALLOS CON RESPONSABILIDAD FISCAL, sin embargo</w:t>
      </w:r>
      <w:r w:rsidR="006716F3">
        <w:rPr>
          <w:rFonts w:asciiTheme="minorHAnsi" w:hAnsiTheme="minorHAnsi" w:cstheme="minorHAnsi"/>
          <w:sz w:val="22"/>
          <w:szCs w:val="22"/>
        </w:rPr>
        <w:t>,</w:t>
      </w:r>
      <w:r>
        <w:rPr>
          <w:rFonts w:asciiTheme="minorHAnsi" w:hAnsiTheme="minorHAnsi" w:cstheme="minorHAnsi"/>
          <w:sz w:val="22"/>
          <w:szCs w:val="22"/>
        </w:rPr>
        <w:t xml:space="preserve"> en los condicionados generales </w:t>
      </w:r>
      <w:r w:rsidR="006716F3">
        <w:rPr>
          <w:rFonts w:asciiTheme="minorHAnsi" w:hAnsiTheme="minorHAnsi" w:cstheme="minorHAnsi"/>
          <w:sz w:val="22"/>
          <w:szCs w:val="22"/>
        </w:rPr>
        <w:t xml:space="preserve">la descripción de dicho amparo se circunscribe a los eventos en los cuales el PRF se adelante por delitos contra la administración pública, lo cual no guarda identidad con el proceso en particular, así las </w:t>
      </w:r>
      <w:proofErr w:type="gramStart"/>
      <w:r w:rsidR="006716F3">
        <w:rPr>
          <w:rFonts w:asciiTheme="minorHAnsi" w:hAnsiTheme="minorHAnsi" w:cstheme="minorHAnsi"/>
          <w:sz w:val="22"/>
          <w:szCs w:val="22"/>
        </w:rPr>
        <w:t>cosas</w:t>
      </w:r>
      <w:proofErr w:type="gramEnd"/>
      <w:r w:rsidR="006716F3">
        <w:rPr>
          <w:rFonts w:asciiTheme="minorHAnsi" w:hAnsiTheme="minorHAnsi" w:cstheme="minorHAnsi"/>
          <w:sz w:val="22"/>
          <w:szCs w:val="22"/>
        </w:rPr>
        <w:t xml:space="preserve"> la cobertura material es objeto de discusión en el trámite.</w:t>
      </w:r>
    </w:p>
    <w:p w14:paraId="48B601C6" w14:textId="77777777" w:rsidR="006716F3" w:rsidRDefault="006716F3" w:rsidP="00357EF2">
      <w:pPr>
        <w:pStyle w:val="Default"/>
        <w:jc w:val="both"/>
        <w:rPr>
          <w:rFonts w:asciiTheme="minorHAnsi" w:hAnsiTheme="minorHAnsi" w:cstheme="minorHAnsi"/>
          <w:sz w:val="22"/>
          <w:szCs w:val="22"/>
        </w:rPr>
      </w:pPr>
    </w:p>
    <w:p w14:paraId="7D12BBD7" w14:textId="0CCDD309" w:rsidR="006716F3" w:rsidRDefault="006716F3" w:rsidP="00357EF2">
      <w:pPr>
        <w:pStyle w:val="Default"/>
        <w:jc w:val="both"/>
        <w:rPr>
          <w:rFonts w:asciiTheme="minorHAnsi" w:hAnsiTheme="minorHAnsi" w:cstheme="minorHAnsi"/>
          <w:sz w:val="22"/>
          <w:szCs w:val="22"/>
        </w:rPr>
      </w:pPr>
      <w:r>
        <w:rPr>
          <w:rFonts w:asciiTheme="minorHAnsi" w:hAnsiTheme="minorHAnsi" w:cstheme="minorHAnsi"/>
          <w:sz w:val="22"/>
          <w:szCs w:val="22"/>
        </w:rPr>
        <w:t>Ahora en cuanto a la responsabilidad de las presuntas responsables fiscales, debe señalarse que a partir de los elementos obrantes en el expediente no se puede establecer que efectivamente el daño fiscal se haya consumado, esto es que la entidad haya perdido la prerrogativa de cobro judicial de la cartera, situación esta que deberá ser objeto de prueba dentro del proceso.</w:t>
      </w:r>
    </w:p>
    <w:p w14:paraId="6034951E" w14:textId="77777777" w:rsidR="006716F3" w:rsidRDefault="006716F3" w:rsidP="00357EF2">
      <w:pPr>
        <w:pStyle w:val="Default"/>
        <w:jc w:val="both"/>
        <w:rPr>
          <w:rFonts w:asciiTheme="minorHAnsi" w:hAnsiTheme="minorHAnsi" w:cstheme="minorHAnsi"/>
          <w:sz w:val="22"/>
          <w:szCs w:val="22"/>
        </w:rPr>
      </w:pPr>
    </w:p>
    <w:p w14:paraId="0C9624DB" w14:textId="4297E384" w:rsidR="006716F3" w:rsidRDefault="006716F3" w:rsidP="00357EF2">
      <w:pPr>
        <w:pStyle w:val="Default"/>
        <w:jc w:val="both"/>
        <w:rPr>
          <w:rFonts w:asciiTheme="minorHAnsi" w:eastAsia="Times New Roman" w:hAnsiTheme="minorHAnsi" w:cstheme="minorHAnsi"/>
          <w:color w:val="auto"/>
          <w:sz w:val="22"/>
          <w:szCs w:val="22"/>
          <w:lang w:val="es-MX" w:eastAsia="es-ES"/>
        </w:rPr>
      </w:pPr>
      <w:r>
        <w:rPr>
          <w:rFonts w:asciiTheme="minorHAnsi" w:hAnsiTheme="minorHAnsi" w:cstheme="minorHAnsi"/>
          <w:sz w:val="22"/>
          <w:szCs w:val="22"/>
        </w:rPr>
        <w:lastRenderedPageBreak/>
        <w:t>Lo anterior sin perjuicio del carácter contingente del proceso.</w:t>
      </w:r>
    </w:p>
    <w:p w14:paraId="5679C365" w14:textId="1849E272" w:rsidR="00707B0A" w:rsidRDefault="00707B0A" w:rsidP="00324730">
      <w:pPr>
        <w:pStyle w:val="Default"/>
        <w:rPr>
          <w:rFonts w:asciiTheme="minorHAnsi" w:eastAsia="Times New Roman" w:hAnsiTheme="minorHAnsi" w:cstheme="minorHAnsi"/>
          <w:color w:val="auto"/>
          <w:sz w:val="22"/>
          <w:szCs w:val="22"/>
          <w:lang w:val="es-MX" w:eastAsia="es-ES"/>
        </w:rPr>
      </w:pP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77E2DF4A"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6D706F">
        <w:rPr>
          <w:rFonts w:asciiTheme="minorHAnsi" w:hAnsiTheme="minorHAnsi" w:cstheme="minorHAnsi"/>
          <w:sz w:val="22"/>
          <w:szCs w:val="22"/>
        </w:rPr>
        <w:t>APERTURA</w:t>
      </w:r>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710344EB"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188B03E1"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357EF2">
        <w:rPr>
          <w:rFonts w:asciiTheme="minorHAnsi" w:hAnsiTheme="minorHAnsi" w:cstheme="minorHAnsi"/>
          <w:sz w:val="22"/>
          <w:szCs w:val="22"/>
        </w:rPr>
        <w:t>12/02/2025</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3407F36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11BB" w14:textId="77777777" w:rsidR="001839B8" w:rsidRDefault="001839B8" w:rsidP="00B975A3">
      <w:r>
        <w:separator/>
      </w:r>
    </w:p>
  </w:endnote>
  <w:endnote w:type="continuationSeparator" w:id="0">
    <w:p w14:paraId="0EE39833" w14:textId="77777777" w:rsidR="001839B8" w:rsidRDefault="001839B8"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000000"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000000"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000000" w:rsidRDefault="00000000" w:rsidP="001C61D1">
    <w:pPr>
      <w:pStyle w:val="Piedepgina"/>
      <w:tabs>
        <w:tab w:val="left" w:pos="225"/>
        <w:tab w:val="right" w:pos="9047"/>
      </w:tabs>
      <w:ind w:right="360"/>
      <w:jc w:val="both"/>
      <w:rPr>
        <w:rFonts w:ascii="Verdana" w:hAnsi="Verdana"/>
      </w:rPr>
    </w:pPr>
  </w:p>
  <w:p w14:paraId="045AF4C2" w14:textId="77777777" w:rsidR="00000000"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6C9E" w14:textId="77777777" w:rsidR="001839B8" w:rsidRDefault="001839B8" w:rsidP="00B975A3">
      <w:r>
        <w:separator/>
      </w:r>
    </w:p>
  </w:footnote>
  <w:footnote w:type="continuationSeparator" w:id="0">
    <w:p w14:paraId="0703E290" w14:textId="77777777" w:rsidR="001839B8" w:rsidRDefault="001839B8"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000000"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000000" w:rsidRDefault="00000000">
    <w:pPr>
      <w:pStyle w:val="Encabezado"/>
      <w:rPr>
        <w:rFonts w:ascii="Tahoma" w:hAnsi="Tahoma"/>
        <w:b/>
        <w:sz w:val="22"/>
      </w:rPr>
    </w:pPr>
  </w:p>
  <w:p w14:paraId="045AF4BC" w14:textId="535F2021" w:rsidR="00000000"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000000" w:rsidRPr="00B67F9F" w:rsidRDefault="00000000">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5207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1839B8"/>
    <w:rsid w:val="00226B82"/>
    <w:rsid w:val="00270658"/>
    <w:rsid w:val="00296A84"/>
    <w:rsid w:val="002F385A"/>
    <w:rsid w:val="00324730"/>
    <w:rsid w:val="00357EF2"/>
    <w:rsid w:val="00406248"/>
    <w:rsid w:val="004C11B9"/>
    <w:rsid w:val="004C48FB"/>
    <w:rsid w:val="0051301B"/>
    <w:rsid w:val="005207C0"/>
    <w:rsid w:val="00571371"/>
    <w:rsid w:val="00573D19"/>
    <w:rsid w:val="005D0D96"/>
    <w:rsid w:val="00641DCE"/>
    <w:rsid w:val="006716F3"/>
    <w:rsid w:val="00676126"/>
    <w:rsid w:val="006D706F"/>
    <w:rsid w:val="006F3619"/>
    <w:rsid w:val="006F4A7A"/>
    <w:rsid w:val="00707B0A"/>
    <w:rsid w:val="00734444"/>
    <w:rsid w:val="00755437"/>
    <w:rsid w:val="007A6196"/>
    <w:rsid w:val="007C61E9"/>
    <w:rsid w:val="007F5829"/>
    <w:rsid w:val="00824C42"/>
    <w:rsid w:val="009619B1"/>
    <w:rsid w:val="00AA2212"/>
    <w:rsid w:val="00AD37E7"/>
    <w:rsid w:val="00AE01B3"/>
    <w:rsid w:val="00B63118"/>
    <w:rsid w:val="00B67F9F"/>
    <w:rsid w:val="00B975A3"/>
    <w:rsid w:val="00BB2474"/>
    <w:rsid w:val="00C21B09"/>
    <w:rsid w:val="00D24B0C"/>
    <w:rsid w:val="00D46B1B"/>
    <w:rsid w:val="00D84625"/>
    <w:rsid w:val="00D97F79"/>
    <w:rsid w:val="00DA3656"/>
    <w:rsid w:val="00E34096"/>
    <w:rsid w:val="00E6588D"/>
    <w:rsid w:val="00ED63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3">
    <w:name w:val="heading 3"/>
    <w:basedOn w:val="Normal"/>
    <w:next w:val="Normal"/>
    <w:link w:val="Ttulo3Car"/>
    <w:uiPriority w:val="9"/>
    <w:semiHidden/>
    <w:unhideWhenUsed/>
    <w:qFormat/>
    <w:rsid w:val="00DA36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customStyle="1" w:styleId="Ttulo3Car">
    <w:name w:val="Título 3 Car"/>
    <w:basedOn w:val="Fuentedeprrafopredeter"/>
    <w:link w:val="Ttulo3"/>
    <w:uiPriority w:val="9"/>
    <w:semiHidden/>
    <w:rsid w:val="00DA3656"/>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10331">
      <w:bodyDiv w:val="1"/>
      <w:marLeft w:val="0"/>
      <w:marRight w:val="0"/>
      <w:marTop w:val="0"/>
      <w:marBottom w:val="0"/>
      <w:divBdr>
        <w:top w:val="none" w:sz="0" w:space="0" w:color="auto"/>
        <w:left w:val="none" w:sz="0" w:space="0" w:color="auto"/>
        <w:bottom w:val="none" w:sz="0" w:space="0" w:color="auto"/>
        <w:right w:val="none" w:sz="0" w:space="0" w:color="auto"/>
      </w:divBdr>
    </w:div>
    <w:div w:id="17727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3.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8FF33C09-7EF4-4B7E-96F7-45D68C731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Kathalina Carpetta Mejia</cp:lastModifiedBy>
  <cp:revision>4</cp:revision>
  <dcterms:created xsi:type="dcterms:W3CDTF">2020-10-21T22:39:00Z</dcterms:created>
  <dcterms:modified xsi:type="dcterms:W3CDTF">2025-02-14T23:12:00Z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