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3E92" w14:textId="5A7A22D4" w:rsidR="006346EA" w:rsidRDefault="00F718C4">
      <w:pPr>
        <w:rPr>
          <w:lang w:val="es-ES"/>
        </w:rPr>
      </w:pPr>
      <w:r>
        <w:rPr>
          <w:lang w:val="es-ES"/>
        </w:rPr>
        <w:t>DERECHO DE INSPECCIÓN 14 DE MARZO DE 2024.</w:t>
      </w:r>
    </w:p>
    <w:p w14:paraId="2EB005E5" w14:textId="77777777" w:rsidR="00F718C4" w:rsidRDefault="00F718C4">
      <w:pPr>
        <w:rPr>
          <w:lang w:val="es-ES"/>
        </w:rPr>
      </w:pPr>
    </w:p>
    <w:p w14:paraId="4E3BE155" w14:textId="01D56220" w:rsidR="00F718C4" w:rsidRDefault="00F718C4" w:rsidP="00F718C4">
      <w:pPr>
        <w:pStyle w:val="ListParagraph"/>
        <w:numPr>
          <w:ilvl w:val="0"/>
          <w:numId w:val="2"/>
        </w:numPr>
        <w:rPr>
          <w:lang w:val="es-ES"/>
        </w:rPr>
      </w:pPr>
      <w:proofErr w:type="gramStart"/>
      <w:r>
        <w:rPr>
          <w:lang w:val="es-ES"/>
        </w:rPr>
        <w:t>DOCUMENTOS A SOLICITAR</w:t>
      </w:r>
      <w:proofErr w:type="gramEnd"/>
      <w:r>
        <w:rPr>
          <w:lang w:val="es-ES"/>
        </w:rPr>
        <w:t>:</w:t>
      </w:r>
    </w:p>
    <w:p w14:paraId="205AD56F" w14:textId="77777777" w:rsidR="00F718C4" w:rsidRDefault="00F718C4" w:rsidP="00F718C4">
      <w:pPr>
        <w:ind w:left="360"/>
        <w:rPr>
          <w:lang w:val="es-ES"/>
        </w:rPr>
      </w:pPr>
    </w:p>
    <w:p w14:paraId="556011FF" w14:textId="29151EF3" w:rsidR="00F718C4" w:rsidRDefault="00F718C4" w:rsidP="00F718C4">
      <w:pPr>
        <w:pStyle w:val="ListParagraph"/>
        <w:numPr>
          <w:ilvl w:val="0"/>
          <w:numId w:val="3"/>
        </w:numPr>
        <w:rPr>
          <w:lang w:val="es-ES"/>
        </w:rPr>
      </w:pPr>
      <w:r>
        <w:rPr>
          <w:lang w:val="es-ES"/>
        </w:rPr>
        <w:t>Libro de actas</w:t>
      </w:r>
    </w:p>
    <w:p w14:paraId="6EEAC930" w14:textId="77777777" w:rsidR="001D221E" w:rsidRDefault="001D221E" w:rsidP="001D221E">
      <w:pPr>
        <w:pStyle w:val="ListParagraph"/>
        <w:rPr>
          <w:lang w:val="es-ES"/>
        </w:rPr>
      </w:pPr>
    </w:p>
    <w:p w14:paraId="05E95CA9" w14:textId="5CF86573" w:rsidR="00F718C4" w:rsidRDefault="00F718C4" w:rsidP="00F718C4">
      <w:pPr>
        <w:pStyle w:val="ListParagraph"/>
        <w:numPr>
          <w:ilvl w:val="0"/>
          <w:numId w:val="3"/>
        </w:numPr>
        <w:rPr>
          <w:lang w:val="es-ES"/>
        </w:rPr>
      </w:pPr>
      <w:r>
        <w:rPr>
          <w:lang w:val="es-ES"/>
        </w:rPr>
        <w:t>Libro de accionistas</w:t>
      </w:r>
    </w:p>
    <w:p w14:paraId="4D12F1AF" w14:textId="77777777" w:rsidR="001D221E" w:rsidRDefault="001D221E" w:rsidP="001D221E">
      <w:pPr>
        <w:rPr>
          <w:lang w:val="es-ES"/>
        </w:rPr>
      </w:pPr>
    </w:p>
    <w:p w14:paraId="331A0663" w14:textId="77777777" w:rsidR="001D221E" w:rsidRPr="000454EB" w:rsidRDefault="001D221E" w:rsidP="001D221E">
      <w:pPr>
        <w:pStyle w:val="ListParagraph"/>
        <w:numPr>
          <w:ilvl w:val="0"/>
          <w:numId w:val="4"/>
        </w:numPr>
        <w:spacing w:line="360" w:lineRule="auto"/>
        <w:rPr>
          <w:rFonts w:ascii="Garamond" w:hAnsi="Garamond" w:cs="Arial"/>
          <w:b/>
          <w:bCs/>
          <w:sz w:val="25"/>
          <w:szCs w:val="25"/>
          <w:lang w:val="es-ES"/>
        </w:rPr>
      </w:pPr>
      <w:r w:rsidRPr="000454EB">
        <w:rPr>
          <w:rFonts w:ascii="Garamond" w:hAnsi="Garamond" w:cs="Arial"/>
          <w:b/>
          <w:bCs/>
          <w:sz w:val="25"/>
          <w:szCs w:val="25"/>
          <w:lang w:val="es-ES"/>
        </w:rPr>
        <w:t>Libro de Accionistas:</w:t>
      </w:r>
    </w:p>
    <w:p w14:paraId="0873DB1C" w14:textId="77777777" w:rsidR="001D221E" w:rsidRPr="000454EB" w:rsidRDefault="001D221E" w:rsidP="001D221E">
      <w:pPr>
        <w:spacing w:line="360" w:lineRule="auto"/>
        <w:rPr>
          <w:rFonts w:ascii="Garamond" w:hAnsi="Garamond" w:cs="Arial"/>
          <w:sz w:val="25"/>
          <w:szCs w:val="25"/>
          <w:lang w:val="es-ES"/>
        </w:rPr>
      </w:pPr>
    </w:p>
    <w:p w14:paraId="5FA97E29" w14:textId="77777777" w:rsidR="001D221E" w:rsidRPr="000454EB" w:rsidRDefault="001D221E" w:rsidP="001D221E">
      <w:pPr>
        <w:pStyle w:val="ListParagraph"/>
        <w:numPr>
          <w:ilvl w:val="0"/>
          <w:numId w:val="5"/>
        </w:numPr>
        <w:spacing w:line="360" w:lineRule="auto"/>
        <w:rPr>
          <w:rFonts w:ascii="Garamond" w:hAnsi="Garamond" w:cs="Arial"/>
          <w:sz w:val="25"/>
          <w:szCs w:val="25"/>
          <w:lang w:val="es-ES"/>
        </w:rPr>
      </w:pPr>
      <w:r w:rsidRPr="000454EB">
        <w:rPr>
          <w:rFonts w:ascii="Garamond" w:hAnsi="Garamond" w:cs="Arial"/>
          <w:sz w:val="25"/>
          <w:szCs w:val="25"/>
          <w:lang w:val="es-ES"/>
        </w:rPr>
        <w:t>No está registrados los usufructos.</w:t>
      </w:r>
    </w:p>
    <w:p w14:paraId="0459E58E" w14:textId="77777777" w:rsidR="001D221E" w:rsidRPr="000454EB" w:rsidRDefault="001D221E" w:rsidP="001D221E">
      <w:pPr>
        <w:spacing w:line="360" w:lineRule="auto"/>
        <w:rPr>
          <w:rFonts w:ascii="Garamond" w:hAnsi="Garamond" w:cs="Arial"/>
          <w:sz w:val="25"/>
          <w:szCs w:val="25"/>
          <w:lang w:val="es-ES"/>
        </w:rPr>
      </w:pPr>
    </w:p>
    <w:p w14:paraId="07C83954" w14:textId="77777777" w:rsidR="001D221E" w:rsidRPr="000454EB" w:rsidRDefault="001D221E" w:rsidP="001D221E">
      <w:pPr>
        <w:spacing w:line="360" w:lineRule="auto"/>
        <w:rPr>
          <w:rFonts w:ascii="Garamond" w:hAnsi="Garamond" w:cs="Arial"/>
          <w:sz w:val="25"/>
          <w:szCs w:val="25"/>
          <w:lang w:val="es-ES"/>
        </w:rPr>
      </w:pPr>
      <w:r w:rsidRPr="000454EB">
        <w:rPr>
          <w:rFonts w:ascii="Garamond" w:hAnsi="Garamond" w:cs="Arial"/>
          <w:sz w:val="25"/>
          <w:szCs w:val="25"/>
          <w:lang w:val="es-ES"/>
        </w:rPr>
        <w:t xml:space="preserve">Dicen que nunca se formalizo, </w:t>
      </w:r>
      <w:proofErr w:type="spellStart"/>
      <w:r w:rsidRPr="000454EB">
        <w:rPr>
          <w:rFonts w:ascii="Garamond" w:hAnsi="Garamond" w:cs="Arial"/>
          <w:sz w:val="25"/>
          <w:szCs w:val="25"/>
          <w:lang w:val="es-ES"/>
        </w:rPr>
        <w:t>por que</w:t>
      </w:r>
      <w:proofErr w:type="spellEnd"/>
      <w:r w:rsidRPr="000454EB">
        <w:rPr>
          <w:rFonts w:ascii="Garamond" w:hAnsi="Garamond" w:cs="Arial"/>
          <w:sz w:val="25"/>
          <w:szCs w:val="25"/>
          <w:lang w:val="es-ES"/>
        </w:rPr>
        <w:t xml:space="preserve"> hubo discusión, porque faltaron unos requisitos formales.</w:t>
      </w:r>
    </w:p>
    <w:p w14:paraId="274BFC98" w14:textId="77777777" w:rsidR="001D221E" w:rsidRPr="000454EB" w:rsidRDefault="001D221E" w:rsidP="001D221E">
      <w:pPr>
        <w:spacing w:line="360" w:lineRule="auto"/>
        <w:rPr>
          <w:rFonts w:ascii="Garamond" w:hAnsi="Garamond" w:cs="Arial"/>
          <w:sz w:val="25"/>
          <w:szCs w:val="25"/>
          <w:lang w:val="es-ES"/>
        </w:rPr>
      </w:pPr>
      <w:r w:rsidRPr="000454EB">
        <w:rPr>
          <w:rFonts w:ascii="Garamond" w:hAnsi="Garamond" w:cs="Arial"/>
          <w:sz w:val="25"/>
          <w:szCs w:val="25"/>
          <w:lang w:val="es-ES"/>
        </w:rPr>
        <w:t>Dicen que el acto ha sido cuestionado por su legalidad y procedencia por eso no se registró.</w:t>
      </w:r>
    </w:p>
    <w:p w14:paraId="29262C16" w14:textId="77777777" w:rsidR="001D221E" w:rsidRPr="000454EB" w:rsidRDefault="001D221E" w:rsidP="001D221E">
      <w:pPr>
        <w:spacing w:line="360" w:lineRule="auto"/>
        <w:rPr>
          <w:rFonts w:ascii="Garamond" w:hAnsi="Garamond" w:cs="Arial"/>
          <w:sz w:val="25"/>
          <w:szCs w:val="25"/>
          <w:lang w:val="es-ES"/>
        </w:rPr>
      </w:pPr>
    </w:p>
    <w:p w14:paraId="38760BCE" w14:textId="77777777" w:rsidR="001D221E" w:rsidRPr="000454EB" w:rsidRDefault="001D221E" w:rsidP="001D221E">
      <w:pPr>
        <w:pStyle w:val="ListParagraph"/>
        <w:numPr>
          <w:ilvl w:val="0"/>
          <w:numId w:val="5"/>
        </w:numPr>
        <w:spacing w:line="360" w:lineRule="auto"/>
        <w:rPr>
          <w:rFonts w:ascii="Garamond" w:hAnsi="Garamond" w:cs="Arial"/>
          <w:sz w:val="25"/>
          <w:szCs w:val="25"/>
          <w:lang w:val="es-ES"/>
        </w:rPr>
      </w:pPr>
      <w:r w:rsidRPr="000454EB">
        <w:rPr>
          <w:rFonts w:ascii="Garamond" w:hAnsi="Garamond" w:cs="Arial"/>
          <w:sz w:val="25"/>
          <w:szCs w:val="25"/>
          <w:lang w:val="es-ES"/>
        </w:rPr>
        <w:t>Embargo</w:t>
      </w:r>
    </w:p>
    <w:p w14:paraId="23AFA013" w14:textId="77777777" w:rsidR="001D221E" w:rsidRPr="000454EB" w:rsidRDefault="001D221E" w:rsidP="001D221E">
      <w:pPr>
        <w:spacing w:line="360" w:lineRule="auto"/>
        <w:rPr>
          <w:rFonts w:ascii="Garamond" w:hAnsi="Garamond" w:cs="Arial"/>
          <w:sz w:val="25"/>
          <w:szCs w:val="25"/>
          <w:lang w:val="es-ES"/>
        </w:rPr>
      </w:pPr>
    </w:p>
    <w:p w14:paraId="239CC242" w14:textId="77777777" w:rsidR="001D221E" w:rsidRPr="000454EB" w:rsidRDefault="001D221E" w:rsidP="001D221E">
      <w:pPr>
        <w:spacing w:line="360" w:lineRule="auto"/>
        <w:jc w:val="both"/>
        <w:rPr>
          <w:rFonts w:ascii="Garamond" w:hAnsi="Garamond" w:cs="Arial"/>
          <w:sz w:val="25"/>
          <w:szCs w:val="25"/>
          <w:lang w:val="es-ES"/>
        </w:rPr>
      </w:pPr>
      <w:r w:rsidRPr="000454EB">
        <w:rPr>
          <w:rFonts w:ascii="Garamond" w:hAnsi="Garamond" w:cs="Arial"/>
          <w:sz w:val="25"/>
          <w:szCs w:val="25"/>
          <w:lang w:val="es-ES"/>
        </w:rPr>
        <w:t xml:space="preserve">En la hoja No. 60 de fecha 14 de agosto de 2019, siendo la más reciente, en donde se refleja el aumento de capital, (14.000 acciones suscritas y pagadas de cada accionista), no aparece el embargo, a pesar de que el oficio que lo ordenó es posterior a esta fecha. </w:t>
      </w:r>
    </w:p>
    <w:p w14:paraId="4FD53125" w14:textId="77777777" w:rsidR="001D221E" w:rsidRPr="000454EB" w:rsidRDefault="001D221E" w:rsidP="001D221E">
      <w:pPr>
        <w:spacing w:line="360" w:lineRule="auto"/>
        <w:jc w:val="both"/>
        <w:rPr>
          <w:rFonts w:ascii="Garamond" w:hAnsi="Garamond" w:cs="Arial"/>
          <w:sz w:val="25"/>
          <w:szCs w:val="25"/>
          <w:lang w:val="es-ES"/>
        </w:rPr>
      </w:pPr>
    </w:p>
    <w:p w14:paraId="334CCD62" w14:textId="4CABF52B" w:rsidR="001D221E" w:rsidRPr="00A778A0" w:rsidRDefault="001D221E" w:rsidP="00A778A0">
      <w:pPr>
        <w:spacing w:line="360" w:lineRule="auto"/>
        <w:jc w:val="both"/>
        <w:rPr>
          <w:rFonts w:ascii="Garamond" w:hAnsi="Garamond" w:cs="Arial"/>
          <w:sz w:val="25"/>
          <w:szCs w:val="25"/>
          <w:lang w:val="es-ES"/>
        </w:rPr>
      </w:pPr>
      <w:r w:rsidRPr="000454EB">
        <w:rPr>
          <w:rFonts w:ascii="Garamond" w:hAnsi="Garamond" w:cs="Arial"/>
          <w:sz w:val="25"/>
          <w:szCs w:val="25"/>
          <w:lang w:val="es-ES"/>
        </w:rPr>
        <w:t xml:space="preserve">En efecto, el embargo ordenado por oficio No. 1167 Juzgado de 6 de Familia 20 de agosto de 2020 aparece registrado en la hoja 58, no obstante, en esta hoja no se encontraban actualizadas el número de acciones del señor Vallejo, de acuerdo con el aumento de capital aprobado el 14 de agosto de 2019. </w:t>
      </w:r>
    </w:p>
    <w:p w14:paraId="76123221" w14:textId="77777777" w:rsidR="001D221E" w:rsidRPr="001D221E" w:rsidRDefault="001D221E" w:rsidP="001D221E">
      <w:pPr>
        <w:rPr>
          <w:lang w:val="es-ES"/>
        </w:rPr>
      </w:pPr>
    </w:p>
    <w:p w14:paraId="2CBF1F6B" w14:textId="213890D2" w:rsidR="00F718C4" w:rsidRDefault="00F718C4" w:rsidP="00F718C4">
      <w:pPr>
        <w:pStyle w:val="ListParagraph"/>
        <w:numPr>
          <w:ilvl w:val="0"/>
          <w:numId w:val="3"/>
        </w:numPr>
        <w:rPr>
          <w:lang w:val="es-ES"/>
        </w:rPr>
      </w:pPr>
      <w:r>
        <w:rPr>
          <w:lang w:val="es-ES"/>
        </w:rPr>
        <w:t>Estados Financieros</w:t>
      </w:r>
      <w:r w:rsidR="00CB7274">
        <w:rPr>
          <w:lang w:val="es-ES"/>
        </w:rPr>
        <w:t xml:space="preserve"> Asamblea</w:t>
      </w:r>
      <w:r w:rsidR="00A778A0">
        <w:rPr>
          <w:lang w:val="es-ES"/>
        </w:rPr>
        <w:t xml:space="preserve"> - No</w:t>
      </w:r>
    </w:p>
    <w:p w14:paraId="1DB6F18A" w14:textId="4133970F" w:rsidR="00A778A0" w:rsidRDefault="00A778A0" w:rsidP="00F718C4">
      <w:pPr>
        <w:pStyle w:val="ListParagraph"/>
        <w:numPr>
          <w:ilvl w:val="0"/>
          <w:numId w:val="3"/>
        </w:numPr>
        <w:rPr>
          <w:lang w:val="es-ES"/>
        </w:rPr>
      </w:pPr>
      <w:r>
        <w:rPr>
          <w:lang w:val="es-ES"/>
        </w:rPr>
        <w:t>Proyecto de distribución de utilidades - No</w:t>
      </w:r>
    </w:p>
    <w:p w14:paraId="7CD5BEEF" w14:textId="63700E8E" w:rsidR="00F718C4" w:rsidRDefault="00F718C4" w:rsidP="00F718C4">
      <w:pPr>
        <w:pStyle w:val="ListParagraph"/>
        <w:numPr>
          <w:ilvl w:val="0"/>
          <w:numId w:val="3"/>
        </w:numPr>
        <w:rPr>
          <w:lang w:val="es-ES"/>
        </w:rPr>
      </w:pPr>
      <w:r>
        <w:rPr>
          <w:lang w:val="es-ES"/>
        </w:rPr>
        <w:t>Correspondencia con la Aerocivil</w:t>
      </w:r>
      <w:r w:rsidR="00CB7274">
        <w:rPr>
          <w:lang w:val="es-ES"/>
        </w:rPr>
        <w:t xml:space="preserve"> Dejaron verlo.</w:t>
      </w:r>
      <w:r>
        <w:rPr>
          <w:lang w:val="es-ES"/>
        </w:rPr>
        <w:t xml:space="preserve"> </w:t>
      </w:r>
    </w:p>
    <w:p w14:paraId="1E256FFA" w14:textId="7C6928CA" w:rsidR="00F718C4" w:rsidRDefault="00F718C4" w:rsidP="00F718C4">
      <w:pPr>
        <w:pStyle w:val="ListParagraph"/>
        <w:numPr>
          <w:ilvl w:val="0"/>
          <w:numId w:val="3"/>
        </w:numPr>
        <w:rPr>
          <w:lang w:val="es-ES"/>
        </w:rPr>
      </w:pPr>
      <w:r>
        <w:rPr>
          <w:lang w:val="es-ES"/>
        </w:rPr>
        <w:t>Correspondencia con la DIAN</w:t>
      </w:r>
      <w:r w:rsidR="00CB7274">
        <w:rPr>
          <w:lang w:val="es-ES"/>
        </w:rPr>
        <w:t xml:space="preserve"> Que no ha habido</w:t>
      </w:r>
    </w:p>
    <w:p w14:paraId="36EDF114" w14:textId="65C3BE86" w:rsidR="00F718C4" w:rsidRDefault="00F718C4" w:rsidP="00F718C4">
      <w:pPr>
        <w:pStyle w:val="ListParagraph"/>
        <w:numPr>
          <w:ilvl w:val="0"/>
          <w:numId w:val="3"/>
        </w:numPr>
        <w:rPr>
          <w:lang w:val="es-ES"/>
        </w:rPr>
      </w:pPr>
      <w:r>
        <w:rPr>
          <w:lang w:val="es-ES"/>
        </w:rPr>
        <w:t xml:space="preserve">Solicitar contratos: Contratos revisoría fiscal </w:t>
      </w:r>
    </w:p>
    <w:p w14:paraId="06BA5479" w14:textId="0F062C17" w:rsidR="00F718C4" w:rsidRDefault="00F718C4" w:rsidP="00F718C4">
      <w:pPr>
        <w:pStyle w:val="ListParagraph"/>
        <w:numPr>
          <w:ilvl w:val="0"/>
          <w:numId w:val="3"/>
        </w:numPr>
        <w:rPr>
          <w:lang w:val="es-ES"/>
        </w:rPr>
      </w:pPr>
      <w:r>
        <w:rPr>
          <w:lang w:val="es-ES"/>
        </w:rPr>
        <w:t>Nomina</w:t>
      </w:r>
      <w:r w:rsidR="00CB7274">
        <w:rPr>
          <w:lang w:val="es-ES"/>
        </w:rPr>
        <w:t xml:space="preserve"> </w:t>
      </w:r>
      <w:proofErr w:type="gramStart"/>
      <w:r w:rsidR="00CB7274">
        <w:rPr>
          <w:lang w:val="es-ES"/>
        </w:rPr>
        <w:t>Diciembre</w:t>
      </w:r>
      <w:proofErr w:type="gramEnd"/>
      <w:r w:rsidR="00CB7274">
        <w:rPr>
          <w:lang w:val="es-ES"/>
        </w:rPr>
        <w:t xml:space="preserve">. </w:t>
      </w:r>
    </w:p>
    <w:p w14:paraId="3201D7A6" w14:textId="27A1493F" w:rsidR="00F718C4" w:rsidRDefault="00F718C4" w:rsidP="00F718C4">
      <w:pPr>
        <w:pStyle w:val="ListParagraph"/>
        <w:numPr>
          <w:ilvl w:val="0"/>
          <w:numId w:val="3"/>
        </w:numPr>
        <w:rPr>
          <w:lang w:val="es-ES"/>
        </w:rPr>
      </w:pPr>
      <w:r>
        <w:rPr>
          <w:lang w:val="es-ES"/>
        </w:rPr>
        <w:t xml:space="preserve">Inventario Alumnos 2023-2022. </w:t>
      </w:r>
      <w:r w:rsidR="00CB7274">
        <w:rPr>
          <w:lang w:val="es-ES"/>
        </w:rPr>
        <w:t xml:space="preserve">Que en la Asamblea </w:t>
      </w:r>
    </w:p>
    <w:p w14:paraId="7F61F81F" w14:textId="77777777" w:rsidR="00CB7274" w:rsidRDefault="00CB7274" w:rsidP="00CB7274">
      <w:pPr>
        <w:pStyle w:val="ListParagraph"/>
        <w:rPr>
          <w:lang w:val="es-ES"/>
        </w:rPr>
      </w:pPr>
    </w:p>
    <w:p w14:paraId="3F17CAC0" w14:textId="5F399866" w:rsidR="00F718C4" w:rsidRDefault="00F718C4" w:rsidP="00F718C4">
      <w:pPr>
        <w:pStyle w:val="ListParagraph"/>
        <w:numPr>
          <w:ilvl w:val="0"/>
          <w:numId w:val="3"/>
        </w:numPr>
        <w:rPr>
          <w:lang w:val="es-ES"/>
        </w:rPr>
      </w:pPr>
      <w:r w:rsidRPr="00F718C4">
        <w:rPr>
          <w:lang w:val="es-ES"/>
        </w:rPr>
        <w:lastRenderedPageBreak/>
        <w:t>Detalle de los egresos por concepto de salarios, honorarios, viáticos gastos de representación, bonificaciones, prestaciones en dinero y en especie, erogaciones por concepto de transporte y cualquiera otra clase de remuneraciones que hubiere percibido cada uno de los directivos de la sociedad;</w:t>
      </w:r>
    </w:p>
    <w:p w14:paraId="24676C08" w14:textId="77777777" w:rsidR="00F718C4" w:rsidRDefault="00F718C4" w:rsidP="00F718C4">
      <w:pPr>
        <w:pStyle w:val="ListParagraph"/>
        <w:rPr>
          <w:lang w:val="es-ES"/>
        </w:rPr>
      </w:pPr>
    </w:p>
    <w:p w14:paraId="5E952ABB" w14:textId="77777777" w:rsidR="00482E50" w:rsidRDefault="00482E50" w:rsidP="00482E50">
      <w:pPr>
        <w:pStyle w:val="NormalWeb"/>
        <w:rPr>
          <w:rFonts w:ascii="Work Sans" w:hAnsi="Work Sans"/>
          <w:color w:val="333333"/>
          <w:sz w:val="25"/>
          <w:szCs w:val="25"/>
        </w:rPr>
      </w:pPr>
      <w:r>
        <w:rPr>
          <w:rStyle w:val="Strong"/>
          <w:rFonts w:ascii="Work Sans" w:eastAsiaTheme="majorEastAsia" w:hAnsi="Work Sans"/>
          <w:color w:val="333333"/>
          <w:sz w:val="25"/>
          <w:szCs w:val="25"/>
        </w:rPr>
        <w:t>ARTÍCULO 446. PRESENTACIÓN DE BALANCE A LA ASAMBLEA-DOCUMENTOS ANEXOS</w:t>
      </w:r>
      <w:r>
        <w:rPr>
          <w:rFonts w:ascii="Work Sans" w:hAnsi="Work Sans"/>
          <w:color w:val="333333"/>
          <w:sz w:val="25"/>
          <w:szCs w:val="25"/>
        </w:rPr>
        <w:t>. La junta directiva y el representante legal presentarán a la asamblea, para su aprobación o improbación, el balance de cada ejercicio, acompañado de los siguientes documentos:</w:t>
      </w:r>
    </w:p>
    <w:p w14:paraId="1B952DFD"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1) El detalle completo de la cuenta de pérdidas y ganancias del correspondiente ejercicio social, con especificación de las apropiaciones hechas por concepto de depreciación de activos fijos y de amortización de intangibles;</w:t>
      </w:r>
    </w:p>
    <w:p w14:paraId="45120585"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2) Un proyecto de distribución de utilidades repartibles con la deducción de la suma calculada para el pago del impuesto sobre la renta y sus complementarios por el correspondiente ejercicio gravable;</w:t>
      </w:r>
    </w:p>
    <w:p w14:paraId="5F6AAB83"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3) El informe de la junta directiva sobre la situación económica y financiera de la sociedad, que contendrá además de los datos contables y estadísticos pertinentes, los que a continuación se enumeran:</w:t>
      </w:r>
    </w:p>
    <w:p w14:paraId="1A42A585"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a) Detalle de los egresos por concepto de salarios, honorarios, viáticos gastos de representación, bonificaciones, prestaciones en dinero y en especie, erogaciones por concepto de transporte y cualquiera otra clase de remuneraciones que hubiere percibido cada uno de los directivos de la sociedad;</w:t>
      </w:r>
    </w:p>
    <w:p w14:paraId="09D4AC7F"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b) Las erogaciones por los mismos conceptos indicados en el literal anterior, que se hubieren hecho en favor de asesores o gestores vinculados o no a la sociedad mediante contrato de trabajo, cuando la principal función que realicen consista en tramitar asuntos ante entidades públicas o privadas, o aconsejar o preparar estudios para adelantar tales tramitaciones;</w:t>
      </w:r>
    </w:p>
    <w:p w14:paraId="3EEA3B0F"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c) Las transferencias de dinero y demás bienes, a título gratuito o a cualquier otro que pueda asimilarse a éste, efectuadas en favor de personas naturales o jurídicas;</w:t>
      </w:r>
    </w:p>
    <w:p w14:paraId="3AE88DC2"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d) Los gastos de propaganda y de relaciones públicas, discriminados unos y otros;</w:t>
      </w:r>
    </w:p>
    <w:p w14:paraId="0693271E"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lastRenderedPageBreak/>
        <w:t>e) Los dineros u otros bienes que la sociedad posea en el exterior y las obligaciones en moneda extranjera, y</w:t>
      </w:r>
    </w:p>
    <w:p w14:paraId="565062FE"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f) Las inversiones discriminadas de la compañía en otras sociedades, nacionales o extranjeras;</w:t>
      </w:r>
    </w:p>
    <w:p w14:paraId="64F293D8"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4) Un informe escrito del representante legal sobre la forma como hubiere llevado a cabo su gestión, y las medidas cuya adopción recomiende a la asamblea, y</w:t>
      </w:r>
    </w:p>
    <w:p w14:paraId="491EC30C" w14:textId="77777777" w:rsidR="00482E50" w:rsidRDefault="00482E50" w:rsidP="00482E50">
      <w:pPr>
        <w:pStyle w:val="NormalWeb"/>
        <w:rPr>
          <w:rFonts w:ascii="Work Sans" w:hAnsi="Work Sans"/>
          <w:color w:val="333333"/>
          <w:sz w:val="25"/>
          <w:szCs w:val="25"/>
        </w:rPr>
      </w:pPr>
      <w:r>
        <w:rPr>
          <w:rFonts w:ascii="Work Sans" w:hAnsi="Work Sans"/>
          <w:color w:val="333333"/>
          <w:sz w:val="25"/>
          <w:szCs w:val="25"/>
        </w:rPr>
        <w:t>5) El informe escrito del revisor fiscal.</w:t>
      </w:r>
    </w:p>
    <w:p w14:paraId="3C2D8DAF" w14:textId="77777777" w:rsidR="00482E50" w:rsidRPr="00F718C4" w:rsidRDefault="00482E50" w:rsidP="00482E50"/>
    <w:p w14:paraId="04F0C79F" w14:textId="77777777" w:rsidR="00F718C4" w:rsidRPr="00482E50" w:rsidRDefault="00F718C4" w:rsidP="00F718C4">
      <w:pPr>
        <w:pStyle w:val="ListParagraph"/>
      </w:pPr>
    </w:p>
    <w:p w14:paraId="30936BAA" w14:textId="77777777" w:rsidR="00F718C4" w:rsidRDefault="00F718C4" w:rsidP="00F718C4">
      <w:pPr>
        <w:pStyle w:val="ListParagraph"/>
        <w:rPr>
          <w:lang w:val="es-ES"/>
        </w:rPr>
      </w:pPr>
    </w:p>
    <w:p w14:paraId="1A015CF0" w14:textId="77777777" w:rsidR="00F718C4" w:rsidRDefault="00F718C4" w:rsidP="00F718C4">
      <w:pPr>
        <w:pStyle w:val="NormalWeb"/>
        <w:rPr>
          <w:rFonts w:ascii="Work Sans" w:hAnsi="Work Sans"/>
          <w:color w:val="333333"/>
          <w:sz w:val="25"/>
          <w:szCs w:val="25"/>
        </w:rPr>
      </w:pPr>
      <w:r>
        <w:rPr>
          <w:rFonts w:ascii="Work Sans" w:hAnsi="Work Sans"/>
          <w:b/>
          <w:bCs/>
          <w:color w:val="333333"/>
          <w:sz w:val="25"/>
          <w:szCs w:val="25"/>
        </w:rPr>
        <w:t>ARTÍCULO 23. </w:t>
      </w:r>
      <w:hyperlink r:id="rId5" w:anchor="0" w:history="1">
        <w:r>
          <w:rPr>
            <w:rStyle w:val="Hyperlink"/>
            <w:rFonts w:ascii="Work Sans" w:eastAsiaTheme="majorEastAsia" w:hAnsi="Work Sans"/>
            <w:color w:val="007BFF"/>
            <w:sz w:val="25"/>
            <w:szCs w:val="25"/>
          </w:rPr>
          <w:t>Reglam</w:t>
        </w:r>
        <w:r>
          <w:rPr>
            <w:rStyle w:val="Hyperlink"/>
            <w:rFonts w:ascii="Work Sans" w:eastAsiaTheme="majorEastAsia" w:hAnsi="Work Sans"/>
            <w:color w:val="007BFF"/>
            <w:sz w:val="25"/>
            <w:szCs w:val="25"/>
          </w:rPr>
          <w:t>e</w:t>
        </w:r>
        <w:r>
          <w:rPr>
            <w:rStyle w:val="Hyperlink"/>
            <w:rFonts w:ascii="Work Sans" w:eastAsiaTheme="majorEastAsia" w:hAnsi="Work Sans"/>
            <w:color w:val="007BFF"/>
            <w:sz w:val="25"/>
            <w:szCs w:val="25"/>
          </w:rPr>
          <w:t>ntado parcialmente por el Decreto Nacional 1925 de 2009</w:t>
        </w:r>
      </w:hyperlink>
      <w:r>
        <w:rPr>
          <w:rFonts w:ascii="Work Sans" w:hAnsi="Work Sans"/>
          <w:color w:val="333333"/>
          <w:sz w:val="25"/>
          <w:szCs w:val="25"/>
        </w:rPr>
        <w:t>.</w:t>
      </w:r>
      <w:r>
        <w:rPr>
          <w:rStyle w:val="apple-converted-space"/>
          <w:rFonts w:ascii="Work Sans" w:eastAsiaTheme="majorEastAsia" w:hAnsi="Work Sans"/>
          <w:b/>
          <w:bCs/>
          <w:color w:val="333333"/>
          <w:sz w:val="25"/>
          <w:szCs w:val="25"/>
        </w:rPr>
        <w:t> </w:t>
      </w:r>
      <w:r>
        <w:rPr>
          <w:rFonts w:ascii="Work Sans" w:hAnsi="Work Sans"/>
          <w:b/>
          <w:bCs/>
          <w:color w:val="333333"/>
          <w:sz w:val="25"/>
          <w:szCs w:val="25"/>
        </w:rPr>
        <w:t>DEBERES DE LOS ADMINISTRADORES.</w:t>
      </w:r>
    </w:p>
    <w:p w14:paraId="41572952"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Los administradores deben obrar de buena fe, con lealtad y con la diligencia de un buen hombre de negocios. Sus actuaciones se cumplirán en interés de la sociedad, teniendo en cuenta los intereses de sus asociados.</w:t>
      </w:r>
    </w:p>
    <w:p w14:paraId="47D9093A"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En el cumplimiento de su función los administradores deberán:</w:t>
      </w:r>
    </w:p>
    <w:p w14:paraId="6C43D920"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1. Realizar los esfuerzos conducentes al adecuado desarrollo del objeto social.</w:t>
      </w:r>
    </w:p>
    <w:p w14:paraId="01ED7F6A"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2. Velar por el estricto cumplimiento de las disposiciones legales o estatutarias.</w:t>
      </w:r>
    </w:p>
    <w:p w14:paraId="0F3DB072"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3. Velar porque se permita la adecuada realización de las funciones encomendadas a la revisoría fiscal.</w:t>
      </w:r>
    </w:p>
    <w:p w14:paraId="4CA6BBF7"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4. Guardar y proteger la reserva comercial e industrial de la sociedad.</w:t>
      </w:r>
    </w:p>
    <w:p w14:paraId="3385C634"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5. Abstenerse de utilizar indebidamente información privilegiada.</w:t>
      </w:r>
    </w:p>
    <w:p w14:paraId="2E1179B4" w14:textId="77777777" w:rsidR="00F718C4" w:rsidRDefault="00F718C4" w:rsidP="00F718C4">
      <w:pPr>
        <w:pStyle w:val="NormalWeb"/>
        <w:rPr>
          <w:rFonts w:ascii="Work Sans" w:hAnsi="Work Sans"/>
          <w:color w:val="333333"/>
          <w:sz w:val="25"/>
          <w:szCs w:val="25"/>
        </w:rPr>
      </w:pPr>
      <w:r>
        <w:rPr>
          <w:rFonts w:ascii="Work Sans" w:hAnsi="Work Sans"/>
          <w:color w:val="333333"/>
          <w:sz w:val="25"/>
          <w:szCs w:val="25"/>
        </w:rPr>
        <w:t>6. Dar un trato equitativo a todos los socios y respetar el ejercicio del derecho de inspección de todos ellos.</w:t>
      </w:r>
    </w:p>
    <w:p w14:paraId="402B2A28" w14:textId="14E092B5" w:rsidR="002B333D" w:rsidRDefault="00482E50" w:rsidP="002B333D">
      <w:r>
        <w:t xml:space="preserve">Informe de Gestión del año 2023 </w:t>
      </w:r>
    </w:p>
    <w:p w14:paraId="7F5AF958" w14:textId="5FD4B643" w:rsidR="00482E50" w:rsidRDefault="00482E50" w:rsidP="002B333D">
      <w:r>
        <w:t>NO ENTREGAN</w:t>
      </w:r>
    </w:p>
    <w:p w14:paraId="6AABCFBC" w14:textId="6FAB81EB" w:rsidR="00482E50" w:rsidRDefault="00482E50" w:rsidP="002B333D">
      <w:r>
        <w:lastRenderedPageBreak/>
        <w:t>Informe de Revisoria Fiscal</w:t>
      </w:r>
    </w:p>
    <w:p w14:paraId="31EA0586" w14:textId="40E4D428" w:rsidR="00482E50" w:rsidRDefault="00482E50" w:rsidP="002B333D">
      <w:r>
        <w:t>NO ENTREGAN</w:t>
      </w:r>
    </w:p>
    <w:p w14:paraId="4E8DCA89" w14:textId="2B54A379" w:rsidR="00482E50" w:rsidRDefault="00482E50" w:rsidP="002B333D">
      <w:r>
        <w:t>ESTADOS FINANCIEROS</w:t>
      </w:r>
    </w:p>
    <w:p w14:paraId="04552278" w14:textId="1E93297D" w:rsidR="00482E50" w:rsidRDefault="00482E50" w:rsidP="002B333D">
      <w:r>
        <w:t>NO ENTREGAN</w:t>
      </w:r>
    </w:p>
    <w:p w14:paraId="5E679581" w14:textId="77777777" w:rsidR="00482E50" w:rsidRDefault="00482E50" w:rsidP="002B333D"/>
    <w:p w14:paraId="03BEB300" w14:textId="7FEA49EB" w:rsidR="00482E50" w:rsidRDefault="00482E50" w:rsidP="002B333D">
      <w:r>
        <w:t xml:space="preserve">Correspondencia Aerocivil Si </w:t>
      </w:r>
    </w:p>
    <w:p w14:paraId="00FCACEA" w14:textId="77777777" w:rsidR="00482E50" w:rsidRDefault="00482E50" w:rsidP="002B333D"/>
    <w:p w14:paraId="35BA6033" w14:textId="63DA843E" w:rsidR="00482E50" w:rsidRDefault="00482E50" w:rsidP="002B333D">
      <w:r>
        <w:t xml:space="preserve">Enero de 2023 Certificaron </w:t>
      </w:r>
    </w:p>
    <w:p w14:paraId="756EAC52" w14:textId="77777777" w:rsidR="00482E50" w:rsidRDefault="00482E50" w:rsidP="002B333D"/>
    <w:p w14:paraId="6E36B454" w14:textId="49A8A56E" w:rsidR="00482E50" w:rsidRDefault="00482E50" w:rsidP="002B333D">
      <w:r>
        <w:t xml:space="preserve">Tecnico en Línea de Avión </w:t>
      </w:r>
    </w:p>
    <w:p w14:paraId="3F675245" w14:textId="0E6925BE" w:rsidR="00482E50" w:rsidRDefault="00482E50" w:rsidP="002B333D">
      <w:r>
        <w:t>4 personas</w:t>
      </w:r>
    </w:p>
    <w:p w14:paraId="20739512" w14:textId="448EF9CB" w:rsidR="00482E50" w:rsidRDefault="00482E50" w:rsidP="002B333D">
      <w:r>
        <w:t>Piloto</w:t>
      </w:r>
    </w:p>
    <w:p w14:paraId="0F861A4A" w14:textId="6F19A28B" w:rsidR="00482E50" w:rsidRDefault="00482E50" w:rsidP="002B333D">
      <w:r>
        <w:t xml:space="preserve">1 person </w:t>
      </w:r>
    </w:p>
    <w:p w14:paraId="7DB8A7FB" w14:textId="77777777" w:rsidR="00482E50" w:rsidRDefault="00482E50" w:rsidP="002B333D"/>
    <w:p w14:paraId="2129FA44" w14:textId="4851EA41" w:rsidR="00482E50" w:rsidRDefault="00482E50" w:rsidP="002B333D">
      <w:r>
        <w:t xml:space="preserve">30 de enero envio de horario Tecnico en Mantenimiento </w:t>
      </w:r>
    </w:p>
    <w:p w14:paraId="27E08582" w14:textId="77777777" w:rsidR="00482E50" w:rsidRDefault="00482E50" w:rsidP="002B333D"/>
    <w:p w14:paraId="0CF46239" w14:textId="79C67ECB" w:rsidR="00482E50" w:rsidRDefault="00482E50" w:rsidP="002B333D">
      <w:r>
        <w:t xml:space="preserve">31 de enero de 2023 horarios Tripulante Cabina de Pasajeros y Despachador de Aeronave </w:t>
      </w:r>
    </w:p>
    <w:p w14:paraId="16D49C4C" w14:textId="77777777" w:rsidR="00482E50" w:rsidRDefault="00482E50" w:rsidP="002B333D"/>
    <w:p w14:paraId="5273E533" w14:textId="22E2FF8D" w:rsidR="00482E50" w:rsidRDefault="00482E50" w:rsidP="002B333D">
      <w:r>
        <w:t xml:space="preserve">01 de marzo de 2023 </w:t>
      </w:r>
    </w:p>
    <w:p w14:paraId="3A3B3F1C" w14:textId="5941DEAC" w:rsidR="00482E50" w:rsidRDefault="00482E50" w:rsidP="002B333D">
      <w:r>
        <w:t xml:space="preserve">Certificación grado </w:t>
      </w:r>
    </w:p>
    <w:p w14:paraId="0B5391C5" w14:textId="057C7C2D" w:rsidR="00482E50" w:rsidRDefault="00482E50" w:rsidP="002B333D">
      <w:r>
        <w:t xml:space="preserve">Piloto comercial </w:t>
      </w:r>
    </w:p>
    <w:p w14:paraId="62324C1D" w14:textId="3E9ED92A" w:rsidR="00482E50" w:rsidRDefault="00482E50" w:rsidP="002B333D">
      <w:r>
        <w:t>3</w:t>
      </w:r>
    </w:p>
    <w:p w14:paraId="201D0682" w14:textId="2A62EAAB" w:rsidR="00482E50" w:rsidRDefault="00482E50" w:rsidP="002B333D">
      <w:r>
        <w:t>Piloto privado</w:t>
      </w:r>
    </w:p>
    <w:p w14:paraId="0F5D02C5" w14:textId="77777777" w:rsidR="00482E50" w:rsidRDefault="00482E50" w:rsidP="002B333D"/>
    <w:p w14:paraId="7935DDD1" w14:textId="422CD7EA" w:rsidR="00482E50" w:rsidRDefault="00482E50" w:rsidP="002B333D">
      <w:r>
        <w:t xml:space="preserve">Se nombro como cordinadora academica a Sandra Milena Marin Orjuela </w:t>
      </w:r>
      <w:r w:rsidR="00924B06">
        <w:t xml:space="preserve">28 de febrero de 2023. </w:t>
      </w:r>
    </w:p>
    <w:p w14:paraId="133DF09E" w14:textId="77777777" w:rsidR="00924B06" w:rsidRDefault="00924B06" w:rsidP="002B333D"/>
    <w:p w14:paraId="4197FB1F" w14:textId="0167BE73" w:rsidR="00924B06" w:rsidRDefault="00924B06" w:rsidP="002B333D">
      <w:r>
        <w:t>Costo Tripulante de cabina 7.614.555 (Valor SIET)</w:t>
      </w:r>
    </w:p>
    <w:p w14:paraId="5C5DF6F0" w14:textId="47BEF029" w:rsidR="00924B06" w:rsidRDefault="00924B06" w:rsidP="002B333D">
      <w:r>
        <w:t>Despachador de aeronaves 7614.555</w:t>
      </w:r>
    </w:p>
    <w:p w14:paraId="1D766423" w14:textId="63A0D9B0" w:rsidR="00924B06" w:rsidRDefault="00924B06" w:rsidP="002B333D">
      <w:r>
        <w:t xml:space="preserve">Tecnico en mantenimiento aeronautico 11.859.858 </w:t>
      </w:r>
    </w:p>
    <w:p w14:paraId="2FD7C67F" w14:textId="77777777" w:rsidR="00924B06" w:rsidRDefault="00924B06" w:rsidP="002B333D"/>
    <w:p w14:paraId="445EAE30" w14:textId="42DA41D5" w:rsidR="00924B06" w:rsidRDefault="00924B06" w:rsidP="002B333D">
      <w:r>
        <w:t>Abril 05</w:t>
      </w:r>
    </w:p>
    <w:p w14:paraId="3CCE7D14" w14:textId="292A9D20" w:rsidR="00924B06" w:rsidRDefault="00924B06" w:rsidP="002B333D">
      <w:r>
        <w:t>Personal certificado</w:t>
      </w:r>
    </w:p>
    <w:p w14:paraId="7938EA59" w14:textId="09570E31" w:rsidR="00924B06" w:rsidRDefault="00924B06" w:rsidP="002B333D">
      <w:r>
        <w:t xml:space="preserve">Tecnico Linea </w:t>
      </w:r>
    </w:p>
    <w:p w14:paraId="763BC346" w14:textId="63716463" w:rsidR="00924B06" w:rsidRDefault="00924B06" w:rsidP="002B333D">
      <w:r>
        <w:t xml:space="preserve">3 personas </w:t>
      </w:r>
    </w:p>
    <w:p w14:paraId="7A7C800F" w14:textId="77777777" w:rsidR="00924B06" w:rsidRDefault="00924B06" w:rsidP="002B333D"/>
    <w:p w14:paraId="4A94CC9E" w14:textId="77777777" w:rsidR="00924B06" w:rsidRDefault="00924B06" w:rsidP="002B333D"/>
    <w:p w14:paraId="00D24CF7" w14:textId="5CFB86F4" w:rsidR="00924B06" w:rsidRDefault="00924B06" w:rsidP="002B333D">
      <w:r>
        <w:t xml:space="preserve">28 de abril de 2023 – La Aerocivil nombró como inspector de seguridad operacional Julian Castro Rojas </w:t>
      </w:r>
    </w:p>
    <w:p w14:paraId="000DAECA" w14:textId="77777777" w:rsidR="00924B06" w:rsidRDefault="00924B06" w:rsidP="002B333D"/>
    <w:p w14:paraId="5106FD02" w14:textId="48C5C23D" w:rsidR="00924B06" w:rsidRDefault="00924B06" w:rsidP="002B333D">
      <w:r>
        <w:t>Junio de 2023 Certificados en Mayo</w:t>
      </w:r>
    </w:p>
    <w:p w14:paraId="179C4568" w14:textId="77777777" w:rsidR="00924B06" w:rsidRDefault="00924B06" w:rsidP="002B333D"/>
    <w:p w14:paraId="0D62EA4B" w14:textId="06B1E342" w:rsidR="00924B06" w:rsidRDefault="00924B06" w:rsidP="002B333D">
      <w:r>
        <w:t>TCP 63</w:t>
      </w:r>
    </w:p>
    <w:p w14:paraId="404FC631" w14:textId="408564A3" w:rsidR="00924B06" w:rsidRDefault="00924B06" w:rsidP="002B333D">
      <w:r>
        <w:t>DPA 7</w:t>
      </w:r>
    </w:p>
    <w:p w14:paraId="3F573DE6" w14:textId="18B80D63" w:rsidR="00924B06" w:rsidRDefault="00924B06" w:rsidP="002B333D">
      <w:r>
        <w:lastRenderedPageBreak/>
        <w:t>TLA/TMA 5</w:t>
      </w:r>
    </w:p>
    <w:p w14:paraId="06A130F6" w14:textId="77777777" w:rsidR="00924B06" w:rsidRDefault="00924B06" w:rsidP="002B333D"/>
    <w:p w14:paraId="5E33BD21" w14:textId="3F085949" w:rsidR="00924B06" w:rsidRDefault="00924B06" w:rsidP="002B333D">
      <w:r>
        <w:t xml:space="preserve">05 de julio </w:t>
      </w:r>
    </w:p>
    <w:p w14:paraId="07740FD1" w14:textId="38651FC2" w:rsidR="00924B06" w:rsidRDefault="00924B06" w:rsidP="002B333D">
      <w:r>
        <w:t>Piloto Privado 2</w:t>
      </w:r>
    </w:p>
    <w:p w14:paraId="43A0FCB8" w14:textId="6084CF2D" w:rsidR="00924B06" w:rsidRDefault="00924B06" w:rsidP="002B333D">
      <w:r>
        <w:t xml:space="preserve">Piloto comercial </w:t>
      </w:r>
    </w:p>
    <w:p w14:paraId="249E8B47" w14:textId="7151E733" w:rsidR="00924B06" w:rsidRDefault="00924B06" w:rsidP="002B333D">
      <w:r>
        <w:t>1</w:t>
      </w:r>
    </w:p>
    <w:p w14:paraId="4AEB3557" w14:textId="1D1B0151" w:rsidR="00924B06" w:rsidRDefault="00924B06" w:rsidP="002B333D">
      <w:r>
        <w:t>Tecnico en Linea 1</w:t>
      </w:r>
    </w:p>
    <w:p w14:paraId="2F84AD14" w14:textId="77777777" w:rsidR="00924B06" w:rsidRDefault="00924B06" w:rsidP="002B333D"/>
    <w:p w14:paraId="1D164834" w14:textId="314F737B" w:rsidR="00924B06" w:rsidRDefault="00924B06" w:rsidP="002B333D">
      <w:r>
        <w:t>Firmas atorizadas a la Oficina de Seguridad Aeroportuaria</w:t>
      </w:r>
    </w:p>
    <w:p w14:paraId="058DB0F1" w14:textId="27C9C48D" w:rsidR="00924B06" w:rsidRDefault="00924B06" w:rsidP="002B333D">
      <w:r>
        <w:t xml:space="preserve">Edward Wilson Navia Benavides </w:t>
      </w:r>
    </w:p>
    <w:p w14:paraId="6CE5B73B" w14:textId="5FBCC240" w:rsidR="00924B06" w:rsidRDefault="00924B06" w:rsidP="002B333D">
      <w:r>
        <w:t>Emmanuel Fernandez</w:t>
      </w:r>
    </w:p>
    <w:p w14:paraId="711AB4A9" w14:textId="77777777" w:rsidR="00013993" w:rsidRDefault="00013993" w:rsidP="002B333D"/>
    <w:p w14:paraId="774910D4" w14:textId="39C55DE5" w:rsidR="00013993" w:rsidRDefault="00013993" w:rsidP="002B333D">
      <w:r>
        <w:t xml:space="preserve">El 10 de julio de 2023 La aerocivil  se nombra a Juan Jose Navia como Director de Operaciones </w:t>
      </w:r>
    </w:p>
    <w:p w14:paraId="74A35EF7" w14:textId="77777777" w:rsidR="00013993" w:rsidRDefault="00013993" w:rsidP="002B333D"/>
    <w:p w14:paraId="39538033" w14:textId="77777777" w:rsidR="00013993" w:rsidRDefault="00013993" w:rsidP="002B333D"/>
    <w:p w14:paraId="2178EE8B" w14:textId="77777777" w:rsidR="00013993" w:rsidRDefault="00013993" w:rsidP="002B333D"/>
    <w:p w14:paraId="13076024" w14:textId="539C57C6" w:rsidR="00013993" w:rsidRDefault="00013993" w:rsidP="002B333D">
      <w:r>
        <w:t>EL 25/08/23 la aerocivil hizo una inspección satisfactoria</w:t>
      </w:r>
    </w:p>
    <w:p w14:paraId="4741559D" w14:textId="77777777" w:rsidR="00013993" w:rsidRDefault="00013993" w:rsidP="002B333D"/>
    <w:p w14:paraId="77083C2A" w14:textId="07C3098D" w:rsidR="00013993" w:rsidRDefault="00013993" w:rsidP="002B333D">
      <w:r>
        <w:t xml:space="preserve">1 de septiembre </w:t>
      </w:r>
    </w:p>
    <w:p w14:paraId="467A732D" w14:textId="77777777" w:rsidR="00013993" w:rsidRDefault="00013993" w:rsidP="002B333D"/>
    <w:p w14:paraId="64AADC26" w14:textId="2D45E4AC" w:rsidR="00013993" w:rsidRDefault="00013993" w:rsidP="002B333D">
      <w:r>
        <w:t>2 prsonas certificadas como pilotos comerciales</w:t>
      </w:r>
    </w:p>
    <w:p w14:paraId="742F702B" w14:textId="77777777" w:rsidR="00013993" w:rsidRDefault="00013993" w:rsidP="002B333D"/>
    <w:p w14:paraId="209008D2" w14:textId="38112479" w:rsidR="00013993" w:rsidRDefault="00013993" w:rsidP="002B333D">
      <w:r>
        <w:t>02 de octubre</w:t>
      </w:r>
    </w:p>
    <w:p w14:paraId="14BB392F" w14:textId="24A585B2" w:rsidR="00013993" w:rsidRDefault="00013993" w:rsidP="002B333D">
      <w:r>
        <w:t>1 piloto comercia</w:t>
      </w:r>
    </w:p>
    <w:p w14:paraId="05C37860" w14:textId="740A20C9" w:rsidR="00013993" w:rsidRDefault="00013993" w:rsidP="002B333D">
      <w:r>
        <w:t>1 Tecnico de linea</w:t>
      </w:r>
    </w:p>
    <w:p w14:paraId="542F336C" w14:textId="77777777" w:rsidR="00013993" w:rsidRDefault="00013993" w:rsidP="002B333D"/>
    <w:p w14:paraId="4653F049" w14:textId="5B43368F" w:rsidR="00013993" w:rsidRDefault="00013993" w:rsidP="002B333D">
      <w:r>
        <w:t xml:space="preserve">El 17 de noviembre de 2023 la aeronautica civil renovo el permiso de operacion de la Academia de Aviación Internacional en la modalidad de Centro de Instrucción Aeronautico hasta el 03 de noviembre de 2023. </w:t>
      </w:r>
    </w:p>
    <w:p w14:paraId="21A91B92" w14:textId="77777777" w:rsidR="00013993" w:rsidRDefault="00013993" w:rsidP="002B333D"/>
    <w:p w14:paraId="04914E4D" w14:textId="5ABDCFC0" w:rsidR="00013993" w:rsidRDefault="00013993" w:rsidP="002B333D">
      <w:r>
        <w:t>04 de diciembre de 2023 certificación</w:t>
      </w:r>
    </w:p>
    <w:p w14:paraId="7C1515BA" w14:textId="0E4B2A2E" w:rsidR="00013993" w:rsidRDefault="00013993" w:rsidP="002B333D">
      <w:r>
        <w:t>Tripulante de Cabina 47</w:t>
      </w:r>
    </w:p>
    <w:p w14:paraId="6566A504" w14:textId="322563CC" w:rsidR="00013993" w:rsidRDefault="00013993" w:rsidP="002B333D">
      <w:r>
        <w:t>Tecnico de mantenimiento aeronautico 8</w:t>
      </w:r>
    </w:p>
    <w:p w14:paraId="3FBE534E" w14:textId="4B0447C3" w:rsidR="00013993" w:rsidRDefault="00013993" w:rsidP="002B333D">
      <w:r>
        <w:t xml:space="preserve">Despachador de Aeronaves 5 </w:t>
      </w:r>
    </w:p>
    <w:p w14:paraId="3D86890B" w14:textId="77777777" w:rsidR="00013993" w:rsidRDefault="00013993" w:rsidP="002B333D"/>
    <w:p w14:paraId="6C76B56A" w14:textId="77777777" w:rsidR="00013993" w:rsidRDefault="00013993" w:rsidP="002B333D"/>
    <w:p w14:paraId="221D5AB3" w14:textId="77777777" w:rsidR="00013993" w:rsidRDefault="00013993" w:rsidP="002B333D"/>
    <w:p w14:paraId="75A32792" w14:textId="77777777" w:rsidR="00013993" w:rsidRDefault="00013993" w:rsidP="002B333D"/>
    <w:p w14:paraId="0A384473" w14:textId="77777777" w:rsidR="00013993" w:rsidRDefault="00013993" w:rsidP="002B333D"/>
    <w:p w14:paraId="32B7E773" w14:textId="2A0C3675" w:rsidR="00013993" w:rsidRDefault="003C500F" w:rsidP="002B333D">
      <w:r>
        <w:t>Sueldo mensual CV 9.070.000</w:t>
      </w:r>
    </w:p>
    <w:p w14:paraId="491E41E6" w14:textId="77777777" w:rsidR="003C500F" w:rsidRDefault="003C500F" w:rsidP="002B333D"/>
    <w:p w14:paraId="403B5CEA" w14:textId="3253904B" w:rsidR="003C500F" w:rsidRDefault="003C500F" w:rsidP="002B333D">
      <w:r>
        <w:t>13 personas nomina diciembre 25.030.000 30 de diciembre</w:t>
      </w:r>
    </w:p>
    <w:p w14:paraId="27D3AEF2" w14:textId="7B9EF6F5" w:rsidR="003C500F" w:rsidRDefault="003C500F" w:rsidP="002B333D">
      <w:r>
        <w:t>29 personas nomina 15 diciembre 47.323.500</w:t>
      </w:r>
      <w:r w:rsidR="00786747">
        <w:t xml:space="preserve"> </w:t>
      </w:r>
    </w:p>
    <w:p w14:paraId="51E98D84" w14:textId="77777777" w:rsidR="00786747" w:rsidRDefault="00786747" w:rsidP="002B333D"/>
    <w:p w14:paraId="3F81029D" w14:textId="79052D71" w:rsidR="00786747" w:rsidRDefault="00786747" w:rsidP="002B333D">
      <w:r>
        <w:t>La diferencia que porque habian salido a vacacioens</w:t>
      </w:r>
    </w:p>
    <w:p w14:paraId="4D63FDD8" w14:textId="77777777" w:rsidR="00786747" w:rsidRDefault="00786747" w:rsidP="002B333D"/>
    <w:p w14:paraId="0A99346F" w14:textId="314DD79A" w:rsidR="00786747" w:rsidRDefault="00786747" w:rsidP="002B333D">
      <w:r>
        <w:t xml:space="preserve">El resto estan por prestación de servicios. </w:t>
      </w:r>
    </w:p>
    <w:p w14:paraId="7913D8DC" w14:textId="77777777" w:rsidR="003C500F" w:rsidRDefault="003C500F" w:rsidP="002B333D"/>
    <w:p w14:paraId="5CDD620B" w14:textId="77777777" w:rsidR="00013993" w:rsidRDefault="00013993" w:rsidP="002B333D"/>
    <w:p w14:paraId="49ABE0B7" w14:textId="0002D288" w:rsidR="00CB7274" w:rsidRDefault="00CB7274" w:rsidP="002B333D">
      <w:r>
        <w:t xml:space="preserve">Nomina diciembre </w:t>
      </w:r>
    </w:p>
    <w:p w14:paraId="23B0FE2F" w14:textId="77777777" w:rsidR="00CB7274" w:rsidRDefault="00CB7274" w:rsidP="002B333D"/>
    <w:p w14:paraId="14E6FCF4" w14:textId="55947DBE" w:rsidR="00CB7274" w:rsidRDefault="00CB7274" w:rsidP="002B333D">
      <w:r>
        <w:t xml:space="preserve">No </w:t>
      </w:r>
    </w:p>
    <w:p w14:paraId="030523C1" w14:textId="77777777" w:rsidR="00CB7274" w:rsidRDefault="00CB7274" w:rsidP="002B333D"/>
    <w:p w14:paraId="6E00AD6C" w14:textId="1C5E76B4" w:rsidR="00CB7274" w:rsidRDefault="00CB7274" w:rsidP="002B333D">
      <w:r>
        <w:t>Sandra Echeverry Ramirez</w:t>
      </w:r>
    </w:p>
    <w:p w14:paraId="6BD51C62" w14:textId="307CB092" w:rsidR="00CB7274" w:rsidRDefault="00CB7274" w:rsidP="002B333D">
      <w:r>
        <w:t xml:space="preserve">Contadora – por prestaciónde servicios. </w:t>
      </w:r>
    </w:p>
    <w:p w14:paraId="0BB4A8A4" w14:textId="77777777" w:rsidR="00CB7274" w:rsidRDefault="00CB7274" w:rsidP="002B333D"/>
    <w:p w14:paraId="6A8A8C2B" w14:textId="77777777" w:rsidR="00CB7274" w:rsidRDefault="00CB7274" w:rsidP="002B333D"/>
    <w:p w14:paraId="34945273" w14:textId="77777777" w:rsidR="00CB7274" w:rsidRDefault="00CB7274" w:rsidP="002B333D"/>
    <w:p w14:paraId="6408F83D" w14:textId="49D0FF00" w:rsidR="00CB7274" w:rsidRDefault="00CB7274" w:rsidP="002B333D">
      <w:r>
        <w:t>Contrato de prestación de servicios profesionales en asesoria contable 2022-010</w:t>
      </w:r>
    </w:p>
    <w:p w14:paraId="57582D92" w14:textId="77777777" w:rsidR="00CB7274" w:rsidRDefault="00CB7274" w:rsidP="002B333D"/>
    <w:p w14:paraId="6337BE3B" w14:textId="1919F78A" w:rsidR="00CB7274" w:rsidRDefault="00CB7274" w:rsidP="002B333D">
      <w:r>
        <w:t xml:space="preserve">Viegncia del contrato 01 de enero de 31 de diembre de 2022  prorroga automatica </w:t>
      </w:r>
    </w:p>
    <w:p w14:paraId="59BAC245" w14:textId="15621180" w:rsidR="00CB7274" w:rsidRDefault="00CB7274" w:rsidP="002B333D">
      <w:r>
        <w:t xml:space="preserve">Contratista es German Velasco Gutierres </w:t>
      </w:r>
    </w:p>
    <w:p w14:paraId="0FAB2AA7" w14:textId="77777777" w:rsidR="00CB7274" w:rsidRDefault="00CB7274" w:rsidP="002B333D"/>
    <w:p w14:paraId="1347636D" w14:textId="1C0FDAC4" w:rsidR="00CB7274" w:rsidRDefault="00CB7274" w:rsidP="002B333D">
      <w:r>
        <w:t xml:space="preserve">Se indica en el objeto que el servicio se presta con respaldo en las actividades por la oficina Orozco Muñoz Cía </w:t>
      </w:r>
    </w:p>
    <w:p w14:paraId="1C6842E6" w14:textId="77777777" w:rsidR="00CB7274" w:rsidRDefault="00CB7274" w:rsidP="002B333D"/>
    <w:p w14:paraId="0455C579" w14:textId="3A345FAF" w:rsidR="00CB7274" w:rsidRDefault="00CB7274" w:rsidP="002B333D">
      <w:r>
        <w:t xml:space="preserve">1.050.000 mensual </w:t>
      </w:r>
    </w:p>
    <w:p w14:paraId="15CCCE4F" w14:textId="77777777" w:rsidR="00CB7274" w:rsidRDefault="00CB7274" w:rsidP="002B333D"/>
    <w:p w14:paraId="0978F67F" w14:textId="58766F4C" w:rsidR="00CB7274" w:rsidRDefault="00CB7274" w:rsidP="002B333D">
      <w:r>
        <w:t>No hay contratos de arrendamiento</w:t>
      </w:r>
    </w:p>
    <w:p w14:paraId="43268F39" w14:textId="77146014" w:rsidR="00CB7274" w:rsidRDefault="00CB7274" w:rsidP="002B333D">
      <w:r>
        <w:t xml:space="preserve">Se dice que no hay contratos de prestación de servicios con familiares. </w:t>
      </w:r>
    </w:p>
    <w:p w14:paraId="77604A84" w14:textId="77777777" w:rsidR="00CB7274" w:rsidRDefault="00CB7274" w:rsidP="002B333D"/>
    <w:p w14:paraId="47B70D68" w14:textId="38A105EA" w:rsidR="00231209" w:rsidRDefault="00231209" w:rsidP="002B333D">
      <w:r>
        <w:t>Estados Financieros:</w:t>
      </w:r>
    </w:p>
    <w:p w14:paraId="7DDE0925" w14:textId="77777777" w:rsidR="00231209" w:rsidRDefault="00231209" w:rsidP="002B333D"/>
    <w:p w14:paraId="29CB8CB0" w14:textId="7F1A14C0" w:rsidR="00231209" w:rsidRDefault="00231209" w:rsidP="002B333D">
      <w:r>
        <w:t>Activos totales $2.686.242.123 2023 $2.647.610.870 2022</w:t>
      </w:r>
    </w:p>
    <w:p w14:paraId="27018E8F" w14:textId="492B8413" w:rsidR="00231209" w:rsidRDefault="00231209" w:rsidP="002B333D">
      <w:r>
        <w:t>Total Pasivos : 1</w:t>
      </w:r>
    </w:p>
    <w:p w14:paraId="2A8EF987" w14:textId="77777777" w:rsidR="0010602E" w:rsidRDefault="0010602E" w:rsidP="002B333D"/>
    <w:p w14:paraId="1BC3517C" w14:textId="788145DB" w:rsidR="0010602E" w:rsidRDefault="0010602E" w:rsidP="002B333D">
      <w:r>
        <w:t xml:space="preserve">Cuenta por pagar Carlos Vallejo 1.000.848.535 2023 = 2022 </w:t>
      </w:r>
    </w:p>
    <w:p w14:paraId="27046801" w14:textId="77777777" w:rsidR="00231209" w:rsidRDefault="00231209" w:rsidP="002B333D"/>
    <w:p w14:paraId="54C3EA53" w14:textId="77777777" w:rsidR="00231209" w:rsidRDefault="00231209" w:rsidP="002B333D"/>
    <w:p w14:paraId="2786C700" w14:textId="77777777" w:rsidR="00231209" w:rsidRDefault="00231209" w:rsidP="002B333D"/>
    <w:p w14:paraId="58B44A52" w14:textId="77777777" w:rsidR="00231209" w:rsidRDefault="00231209" w:rsidP="002B333D"/>
    <w:p w14:paraId="59B9BFEE" w14:textId="77777777" w:rsidR="00CB7274" w:rsidRDefault="00CB7274" w:rsidP="002B333D"/>
    <w:p w14:paraId="4C6B30DF" w14:textId="629B4060" w:rsidR="0010602E" w:rsidRDefault="0010602E" w:rsidP="002B333D">
      <w:r>
        <w:t xml:space="preserve">En reservas solo hay 223.000 </w:t>
      </w:r>
    </w:p>
    <w:p w14:paraId="4B2B325B" w14:textId="77777777" w:rsidR="0010602E" w:rsidRDefault="0010602E" w:rsidP="002B333D"/>
    <w:p w14:paraId="1A58083A" w14:textId="5C47993A" w:rsidR="0010602E" w:rsidRDefault="0010602E" w:rsidP="002B333D">
      <w:r>
        <w:t xml:space="preserve">Resultado del ejercicio - 383.025.485.80 </w:t>
      </w:r>
    </w:p>
    <w:p w14:paraId="20092D03" w14:textId="77777777" w:rsidR="0010602E" w:rsidRDefault="0010602E" w:rsidP="002B333D"/>
    <w:p w14:paraId="6422C206" w14:textId="32A2FB6F" w:rsidR="0010602E" w:rsidRDefault="0010602E" w:rsidP="002B333D">
      <w:r>
        <w:t>Revisar rebajas de ventas por 98.684992</w:t>
      </w:r>
    </w:p>
    <w:p w14:paraId="305A51B7" w14:textId="78E34815" w:rsidR="0010602E" w:rsidRDefault="00493D24" w:rsidP="002B333D">
      <w:r>
        <w:lastRenderedPageBreak/>
        <w:t xml:space="preserve">Lo s gastos operacionales reportdos a la camara de comercio no concuerdan con los de los estados financieros </w:t>
      </w:r>
    </w:p>
    <w:p w14:paraId="44E44D89" w14:textId="77777777" w:rsidR="00493D24" w:rsidRDefault="00493D24" w:rsidP="002B333D"/>
    <w:p w14:paraId="02A6FA22" w14:textId="731CB7CD" w:rsidR="00493D24" w:rsidRDefault="00493D24" w:rsidP="002B333D">
      <w:r>
        <w:t>Resultado ejercicio 2022 -347.638.696</w:t>
      </w:r>
    </w:p>
    <w:p w14:paraId="12B7BFC7" w14:textId="77777777" w:rsidR="00493D24" w:rsidRDefault="00493D24" w:rsidP="002B333D"/>
    <w:p w14:paraId="2374CCD2" w14:textId="341DC465" w:rsidR="00493D24" w:rsidRDefault="00493D24" w:rsidP="002B333D">
      <w:r>
        <w:t>Gastos de personal 896.447.462</w:t>
      </w:r>
    </w:p>
    <w:p w14:paraId="3A795D97" w14:textId="6FFF5C43" w:rsidR="00493D24" w:rsidRDefault="00493D24" w:rsidP="002B333D">
      <w:r>
        <w:t>Costo de ventas paso de 1359833299 a 1745211446</w:t>
      </w:r>
    </w:p>
    <w:p w14:paraId="76CF569B" w14:textId="7AAEB093" w:rsidR="00493D24" w:rsidRDefault="00393BD8" w:rsidP="00393BD8">
      <w:pPr>
        <w:tabs>
          <w:tab w:val="left" w:pos="3927"/>
        </w:tabs>
      </w:pPr>
      <w:r>
        <w:tab/>
      </w:r>
    </w:p>
    <w:p w14:paraId="59DE1169" w14:textId="493FC92B" w:rsidR="00493D24" w:rsidRDefault="00493D24" w:rsidP="002B333D">
      <w:r>
        <w:t xml:space="preserve">Gastos por pagar a la Corporacion Escuala superior </w:t>
      </w:r>
      <w:r w:rsidR="00393BD8">
        <w:t xml:space="preserve">237.586.167 esa se mantiene  de 2022 </w:t>
      </w:r>
    </w:p>
    <w:p w14:paraId="5DF944D7" w14:textId="77777777" w:rsidR="00393BD8" w:rsidRDefault="00393BD8" w:rsidP="002B333D"/>
    <w:p w14:paraId="3BE8CE12" w14:textId="790CCA02" w:rsidR="00393BD8" w:rsidRDefault="00393BD8" w:rsidP="002B333D">
      <w:r>
        <w:t>Obligaciones laborales 2023 72.371.525 ??</w:t>
      </w:r>
    </w:p>
    <w:p w14:paraId="43C39548" w14:textId="77777777" w:rsidR="00393BD8" w:rsidRDefault="00393BD8" w:rsidP="002B333D"/>
    <w:p w14:paraId="39781D37" w14:textId="5B9DF563" w:rsidR="00393BD8" w:rsidRDefault="00393BD8" w:rsidP="002B333D">
      <w:r>
        <w:t>Gastos de personal 896.447.462</w:t>
      </w:r>
    </w:p>
    <w:p w14:paraId="6B7339F7" w14:textId="77777777" w:rsidR="00393BD8" w:rsidRDefault="00393BD8" w:rsidP="002B333D"/>
    <w:p w14:paraId="5E37FC1F" w14:textId="1E61297C" w:rsidR="00393BD8" w:rsidRDefault="00393BD8" w:rsidP="002B333D">
      <w:r>
        <w:t>Honorarios 100.960.160</w:t>
      </w:r>
    </w:p>
    <w:sectPr w:rsidR="00393BD8" w:rsidSect="00F06D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97C"/>
    <w:multiLevelType w:val="multilevel"/>
    <w:tmpl w:val="962C7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EB383D"/>
    <w:multiLevelType w:val="hybridMultilevel"/>
    <w:tmpl w:val="004CE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F0465"/>
    <w:multiLevelType w:val="hybridMultilevel"/>
    <w:tmpl w:val="637E61B0"/>
    <w:lvl w:ilvl="0" w:tplc="F3D8430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802EB"/>
    <w:multiLevelType w:val="hybridMultilevel"/>
    <w:tmpl w:val="268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62995"/>
    <w:multiLevelType w:val="hybridMultilevel"/>
    <w:tmpl w:val="D74C01A8"/>
    <w:lvl w:ilvl="0" w:tplc="9EFEE06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49339">
    <w:abstractNumId w:val="3"/>
  </w:num>
  <w:num w:numId="2" w16cid:durableId="1681270535">
    <w:abstractNumId w:val="1"/>
  </w:num>
  <w:num w:numId="3" w16cid:durableId="1788742054">
    <w:abstractNumId w:val="4"/>
  </w:num>
  <w:num w:numId="4" w16cid:durableId="185411528">
    <w:abstractNumId w:val="0"/>
  </w:num>
  <w:num w:numId="5" w16cid:durableId="773331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C4"/>
    <w:rsid w:val="00013993"/>
    <w:rsid w:val="00100A34"/>
    <w:rsid w:val="0010602E"/>
    <w:rsid w:val="001D221E"/>
    <w:rsid w:val="00231209"/>
    <w:rsid w:val="00273169"/>
    <w:rsid w:val="002B333D"/>
    <w:rsid w:val="00393BD8"/>
    <w:rsid w:val="003C500F"/>
    <w:rsid w:val="00482E50"/>
    <w:rsid w:val="00493D24"/>
    <w:rsid w:val="00507001"/>
    <w:rsid w:val="005112B4"/>
    <w:rsid w:val="006346EA"/>
    <w:rsid w:val="00786747"/>
    <w:rsid w:val="00924B06"/>
    <w:rsid w:val="00A778A0"/>
    <w:rsid w:val="00CB7274"/>
    <w:rsid w:val="00F06D57"/>
    <w:rsid w:val="00F718C4"/>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4DA9D780"/>
  <w15:chartTrackingRefBased/>
  <w15:docId w15:val="{30F5453C-7964-B24D-8301-6EE73AE2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8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8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8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8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8C4"/>
    <w:rPr>
      <w:rFonts w:eastAsiaTheme="majorEastAsia" w:cstheme="majorBidi"/>
      <w:color w:val="272727" w:themeColor="text1" w:themeTint="D8"/>
    </w:rPr>
  </w:style>
  <w:style w:type="paragraph" w:styleId="Title">
    <w:name w:val="Title"/>
    <w:basedOn w:val="Normal"/>
    <w:next w:val="Normal"/>
    <w:link w:val="TitleChar"/>
    <w:uiPriority w:val="10"/>
    <w:qFormat/>
    <w:rsid w:val="00F718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8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8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8C4"/>
    <w:rPr>
      <w:i/>
      <w:iCs/>
      <w:color w:val="404040" w:themeColor="text1" w:themeTint="BF"/>
    </w:rPr>
  </w:style>
  <w:style w:type="paragraph" w:styleId="ListParagraph">
    <w:name w:val="List Paragraph"/>
    <w:basedOn w:val="Normal"/>
    <w:uiPriority w:val="34"/>
    <w:qFormat/>
    <w:rsid w:val="00F718C4"/>
    <w:pPr>
      <w:ind w:left="720"/>
      <w:contextualSpacing/>
    </w:pPr>
  </w:style>
  <w:style w:type="character" w:styleId="IntenseEmphasis">
    <w:name w:val="Intense Emphasis"/>
    <w:basedOn w:val="DefaultParagraphFont"/>
    <w:uiPriority w:val="21"/>
    <w:qFormat/>
    <w:rsid w:val="00F718C4"/>
    <w:rPr>
      <w:i/>
      <w:iCs/>
      <w:color w:val="0F4761" w:themeColor="accent1" w:themeShade="BF"/>
    </w:rPr>
  </w:style>
  <w:style w:type="paragraph" w:styleId="IntenseQuote">
    <w:name w:val="Intense Quote"/>
    <w:basedOn w:val="Normal"/>
    <w:next w:val="Normal"/>
    <w:link w:val="IntenseQuoteChar"/>
    <w:uiPriority w:val="30"/>
    <w:qFormat/>
    <w:rsid w:val="00F71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8C4"/>
    <w:rPr>
      <w:i/>
      <w:iCs/>
      <w:color w:val="0F4761" w:themeColor="accent1" w:themeShade="BF"/>
    </w:rPr>
  </w:style>
  <w:style w:type="character" w:styleId="IntenseReference">
    <w:name w:val="Intense Reference"/>
    <w:basedOn w:val="DefaultParagraphFont"/>
    <w:uiPriority w:val="32"/>
    <w:qFormat/>
    <w:rsid w:val="00F718C4"/>
    <w:rPr>
      <w:b/>
      <w:bCs/>
      <w:smallCaps/>
      <w:color w:val="0F4761" w:themeColor="accent1" w:themeShade="BF"/>
      <w:spacing w:val="5"/>
    </w:rPr>
  </w:style>
  <w:style w:type="paragraph" w:styleId="NormalWeb">
    <w:name w:val="Normal (Web)"/>
    <w:basedOn w:val="Normal"/>
    <w:uiPriority w:val="99"/>
    <w:semiHidden/>
    <w:unhideWhenUsed/>
    <w:rsid w:val="00F718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718C4"/>
    <w:rPr>
      <w:color w:val="0000FF"/>
      <w:u w:val="single"/>
    </w:rPr>
  </w:style>
  <w:style w:type="character" w:customStyle="1" w:styleId="apple-converted-space">
    <w:name w:val="apple-converted-space"/>
    <w:basedOn w:val="DefaultParagraphFont"/>
    <w:rsid w:val="00F718C4"/>
  </w:style>
  <w:style w:type="character" w:styleId="Strong">
    <w:name w:val="Strong"/>
    <w:basedOn w:val="DefaultParagraphFont"/>
    <w:uiPriority w:val="22"/>
    <w:qFormat/>
    <w:rsid w:val="002B333D"/>
    <w:rPr>
      <w:b/>
      <w:bCs/>
    </w:rPr>
  </w:style>
  <w:style w:type="character" w:styleId="FollowedHyperlink">
    <w:name w:val="FollowedHyperlink"/>
    <w:basedOn w:val="DefaultParagraphFont"/>
    <w:uiPriority w:val="99"/>
    <w:semiHidden/>
    <w:unhideWhenUsed/>
    <w:rsid w:val="001D22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61135">
      <w:bodyDiv w:val="1"/>
      <w:marLeft w:val="0"/>
      <w:marRight w:val="0"/>
      <w:marTop w:val="0"/>
      <w:marBottom w:val="0"/>
      <w:divBdr>
        <w:top w:val="none" w:sz="0" w:space="0" w:color="auto"/>
        <w:left w:val="none" w:sz="0" w:space="0" w:color="auto"/>
        <w:bottom w:val="none" w:sz="0" w:space="0" w:color="auto"/>
        <w:right w:val="none" w:sz="0" w:space="0" w:color="auto"/>
      </w:divBdr>
    </w:div>
    <w:div w:id="1143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uncionpublica.gov.co/eva/gestornormativo/norma.php?i=363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Hernandez Muñoz</dc:creator>
  <cp:keywords/>
  <dc:description/>
  <cp:lastModifiedBy>Maria Alejandra Hernandez Muñoz</cp:lastModifiedBy>
  <cp:revision>4</cp:revision>
  <dcterms:created xsi:type="dcterms:W3CDTF">2024-03-14T17:16:00Z</dcterms:created>
  <dcterms:modified xsi:type="dcterms:W3CDTF">2024-03-14T21:52:00Z</dcterms:modified>
</cp:coreProperties>
</file>