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70C6" w14:textId="77777777" w:rsidR="002D069B" w:rsidRPr="002D069B" w:rsidRDefault="002D069B" w:rsidP="002748A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14:ligatures w14:val="none"/>
        </w:rPr>
      </w:pPr>
    </w:p>
    <w:p w14:paraId="1A4CD871" w14:textId="49C156EF" w:rsidR="002D069B" w:rsidRDefault="002D069B" w:rsidP="002748A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</w:pPr>
      <w:r w:rsidRPr="002D069B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14:ligatures w14:val="none"/>
        </w:rPr>
        <w:t xml:space="preserve">CALIFICACIÓN: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La contingencia se califica como</w:t>
      </w:r>
      <w:r w:rsidRPr="002D069B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14:ligatures w14:val="none"/>
        </w:rPr>
        <w:t xml:space="preserve"> EVENTUAL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 toda vez qu</w:t>
      </w:r>
      <w:r w:rsidR="002200EF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e si bien el contrato de seguro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 presta cobertura material y temporal la decisión final dependerá del debate probatorio.</w:t>
      </w:r>
    </w:p>
    <w:p w14:paraId="09BDCA1D" w14:textId="77777777" w:rsidR="002D069B" w:rsidRDefault="002D069B" w:rsidP="002748A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</w:pPr>
    </w:p>
    <w:p w14:paraId="1C86A863" w14:textId="77777777" w:rsidR="00692C83" w:rsidRDefault="00396A82" w:rsidP="002748A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</w:pPr>
      <w:r w:rsidRPr="00AF1C4D">
        <w:rPr>
          <w:rFonts w:ascii="Arial" w:hAnsi="Arial" w:cs="Arial"/>
          <w:sz w:val="22"/>
          <w:szCs w:val="22"/>
          <w:lang w:val="es-ES"/>
        </w:rPr>
        <w:t xml:space="preserve">Lo primero que debe tenerse en cuenta es que en el proceso se vincularon </w:t>
      </w:r>
      <w:r>
        <w:rPr>
          <w:rFonts w:ascii="Arial" w:hAnsi="Arial" w:cs="Arial"/>
          <w:sz w:val="22"/>
          <w:szCs w:val="22"/>
          <w:lang w:val="es-ES"/>
        </w:rPr>
        <w:t>cuatro</w:t>
      </w:r>
      <w:r w:rsidRPr="00AF1C4D">
        <w:rPr>
          <w:rFonts w:ascii="Arial" w:hAnsi="Arial" w:cs="Arial"/>
          <w:sz w:val="22"/>
          <w:szCs w:val="22"/>
          <w:lang w:val="es-ES"/>
        </w:rPr>
        <w:t xml:space="preserve"> (</w:t>
      </w:r>
      <w:r>
        <w:rPr>
          <w:rFonts w:ascii="Arial" w:hAnsi="Arial" w:cs="Arial"/>
          <w:sz w:val="22"/>
          <w:szCs w:val="22"/>
          <w:lang w:val="es-ES"/>
        </w:rPr>
        <w:t>4</w:t>
      </w:r>
      <w:r w:rsidRPr="00AF1C4D">
        <w:rPr>
          <w:rFonts w:ascii="Arial" w:hAnsi="Arial" w:cs="Arial"/>
          <w:sz w:val="22"/>
          <w:szCs w:val="22"/>
          <w:lang w:val="es-ES"/>
        </w:rPr>
        <w:t>) contratos de seguros, materializados en las siguientes pólizas:</w:t>
      </w:r>
    </w:p>
    <w:p w14:paraId="31A3D452" w14:textId="77777777" w:rsidR="00692C83" w:rsidRDefault="00692C83" w:rsidP="002748A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</w:pPr>
    </w:p>
    <w:p w14:paraId="50B90AD6" w14:textId="77777777" w:rsidR="00E47BA2" w:rsidRPr="00E47BA2" w:rsidRDefault="00692C83" w:rsidP="00E47BA2">
      <w:pPr>
        <w:pStyle w:val="Prrafodelista"/>
        <w:numPr>
          <w:ilvl w:val="0"/>
          <w:numId w:val="4"/>
        </w:numPr>
        <w:spacing w:after="0" w:line="312" w:lineRule="auto"/>
        <w:ind w:left="567" w:hanging="283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7BA2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L</w:t>
      </w:r>
      <w:r w:rsidRPr="00E47BA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as </w:t>
      </w:r>
      <w:r w:rsidRPr="00E47BA2">
        <w:rPr>
          <w:rFonts w:ascii="Arial" w:hAnsi="Arial" w:cs="Arial"/>
          <w:sz w:val="22"/>
          <w:szCs w:val="22"/>
        </w:rPr>
        <w:t xml:space="preserve">Póliza Responsabilidad Civil </w:t>
      </w:r>
      <w:r w:rsidR="002B079B" w:rsidRPr="00E47BA2">
        <w:rPr>
          <w:rFonts w:ascii="Arial" w:hAnsi="Arial" w:cs="Arial"/>
          <w:sz w:val="22"/>
          <w:szCs w:val="22"/>
        </w:rPr>
        <w:t xml:space="preserve">(i) </w:t>
      </w:r>
      <w:r w:rsidRPr="00E47BA2">
        <w:rPr>
          <w:rFonts w:ascii="Arial" w:hAnsi="Arial" w:cs="Arial"/>
          <w:sz w:val="22"/>
          <w:szCs w:val="22"/>
        </w:rPr>
        <w:t xml:space="preserve">No. 1001598; </w:t>
      </w:r>
      <w:r w:rsidR="002B079B" w:rsidRPr="00E47BA2">
        <w:rPr>
          <w:rFonts w:ascii="Arial" w:hAnsi="Arial" w:cs="Arial"/>
          <w:sz w:val="22"/>
          <w:szCs w:val="22"/>
        </w:rPr>
        <w:t xml:space="preserve">(ii) </w:t>
      </w:r>
      <w:r w:rsidRPr="00E47BA2">
        <w:rPr>
          <w:rFonts w:ascii="Arial" w:hAnsi="Arial" w:cs="Arial"/>
          <w:sz w:val="22"/>
          <w:szCs w:val="22"/>
        </w:rPr>
        <w:t xml:space="preserve">No. 1003070 y </w:t>
      </w:r>
      <w:r w:rsidR="002B079B" w:rsidRPr="00E47BA2">
        <w:rPr>
          <w:rFonts w:ascii="Arial" w:hAnsi="Arial" w:cs="Arial"/>
          <w:sz w:val="22"/>
          <w:szCs w:val="22"/>
        </w:rPr>
        <w:t xml:space="preserve">(iii) </w:t>
      </w:r>
      <w:r w:rsidRPr="00E47BA2">
        <w:rPr>
          <w:rFonts w:ascii="Arial" w:hAnsi="Arial" w:cs="Arial"/>
          <w:sz w:val="22"/>
          <w:szCs w:val="22"/>
        </w:rPr>
        <w:t xml:space="preserve">No. 1003576 </w:t>
      </w:r>
      <w:r w:rsidR="00F669C3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 xml:space="preserve">cuyo tomador es el </w:t>
      </w:r>
      <w:r w:rsidRPr="00E47BA2">
        <w:rPr>
          <w:rFonts w:ascii="Arial" w:hAnsi="Arial" w:cs="Arial"/>
          <w:sz w:val="22"/>
          <w:szCs w:val="22"/>
        </w:rPr>
        <w:t>Hospital Universitario San José de Popayán E.S.E.</w:t>
      </w:r>
      <w:r w:rsidRPr="00E47BA2">
        <w:rPr>
          <w:rFonts w:ascii="Arial" w:hAnsi="Arial" w:cs="Arial"/>
          <w:b/>
          <w:bCs/>
          <w:sz w:val="22"/>
          <w:szCs w:val="22"/>
        </w:rPr>
        <w:t xml:space="preserve"> </w:t>
      </w:r>
      <w:r w:rsidR="00F669C3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>no ofrece</w:t>
      </w:r>
      <w:r w:rsidR="00D63C0E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>n</w:t>
      </w:r>
      <w:r w:rsidR="00F669C3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 xml:space="preserve"> cobertura temporal de acuerdo a la fecha de reclamación al asegurado. Frente a la cobertura temporal, debe decirse que su modalidad es </w:t>
      </w:r>
      <w:proofErr w:type="spellStart"/>
      <w:r w:rsidR="00F669C3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>claims</w:t>
      </w:r>
      <w:proofErr w:type="spellEnd"/>
      <w:r w:rsidR="00F669C3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 xml:space="preserve"> </w:t>
      </w:r>
      <w:proofErr w:type="spellStart"/>
      <w:r w:rsidR="00F669C3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>made</w:t>
      </w:r>
      <w:proofErr w:type="spellEnd"/>
      <w:r w:rsidR="00F669C3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>, la cual ampara la responsabilidad civil derivada de daños causados a terceros durante la vigencia de la póliza o el periodo de retroactividad y que sean reclamados por primera vez al asegurado durante la vigencia de la póliza.</w:t>
      </w:r>
      <w:r w:rsidR="00D63C0E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 xml:space="preserve"> S</w:t>
      </w:r>
      <w:r w:rsidR="00F669C3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 xml:space="preserve">i bien es cierto, los hechos ocurrieron dentro del período de </w:t>
      </w:r>
      <w:r w:rsidR="002B079B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>retroactividad</w:t>
      </w:r>
      <w:r w:rsidR="00F669C3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 xml:space="preserve"> pactado en la</w:t>
      </w:r>
      <w:r w:rsidR="00D63C0E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>s</w:t>
      </w:r>
      <w:r w:rsidR="00F669C3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 xml:space="preserve"> póliza</w:t>
      </w:r>
      <w:r w:rsidR="00D63C0E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>s</w:t>
      </w:r>
      <w:r w:rsidR="00F669C3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 xml:space="preserve"> (</w:t>
      </w:r>
      <w:r w:rsidR="00D63C0E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>julio de 2021</w:t>
      </w:r>
      <w:r w:rsidR="00F669C3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 xml:space="preserve">), </w:t>
      </w:r>
      <w:r w:rsidR="00F669C3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val="es-ES_tradnl" w:eastAsia="es-CO"/>
          <w14:ligatures w14:val="none"/>
        </w:rPr>
        <w:t>el reclamo al asegurado se materializó con</w:t>
      </w:r>
      <w:r w:rsidR="00D63C0E" w:rsidRPr="00E47BA2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 la solicitud de conciliación realizada el día </w:t>
      </w:r>
      <w:r w:rsidR="00D63C0E" w:rsidRPr="00E47BA2">
        <w:rPr>
          <w:rFonts w:ascii="Arial" w:eastAsia="Times New Roman" w:hAnsi="Arial" w:cs="Arial"/>
          <w:b/>
          <w:bCs/>
          <w:sz w:val="22"/>
          <w:szCs w:val="22"/>
          <w:lang w:val="es-ES_tradnl" w:eastAsia="es-ES"/>
        </w:rPr>
        <w:t>22 de noviembre de 2022</w:t>
      </w:r>
      <w:r w:rsidR="00D63C0E" w:rsidRPr="00E47BA2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 según constancia de no acuerdo de la Procuraduría 188 Judicial I para Asuntos Administrativo</w:t>
      </w:r>
      <w:r w:rsidR="00F669C3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 xml:space="preserve">, es decir que la reclamación al asegurado, se realizó por fuera de la vigencia de la póliza, dejando por fuera la cobertura y el cumplimiento de uno de los requisitos indispensables para que opere este tipo de póliza. </w:t>
      </w:r>
      <w:r w:rsidR="00D63C0E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 xml:space="preserve">Si tenemos en cuenta que </w:t>
      </w:r>
      <w:r w:rsidR="002B079B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>las vigencias de cada uno de los contratos de seguro fueron (i)</w:t>
      </w:r>
      <w:r w:rsidR="00D63C0E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 xml:space="preserve"> </w:t>
      </w:r>
      <w:r w:rsidR="002B079B" w:rsidRPr="00E47BA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s-CO"/>
          <w14:ligatures w14:val="none"/>
        </w:rPr>
        <w:t>desde el</w:t>
      </w:r>
      <w:r w:rsidR="002B079B" w:rsidRPr="00E47BA2">
        <w:rPr>
          <w:rFonts w:ascii="Arial" w:hAnsi="Arial" w:cs="Arial"/>
          <w:sz w:val="22"/>
          <w:szCs w:val="22"/>
        </w:rPr>
        <w:t xml:space="preserve"> 26 de junio de 2014 al 10 de enero de 2015; (ii) desde el 10 de enero de 2015 al 20 de enero de 2016 y se prorrogó hasta desde el 19 de mayo de 2015 al 11 de enero de 2017 y (iii) desde el 11 de enero del 2017 al 11 de enero de 2018 y se prorrogó hasta el 17 de enero de 2019 respetivamente.  </w:t>
      </w:r>
      <w:r w:rsidR="002B079B" w:rsidRPr="00E47BA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E92C955" w14:textId="77777777" w:rsidR="00E47BA2" w:rsidRDefault="00E47BA2" w:rsidP="00E47BA2">
      <w:pPr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  <w14:ligatures w14:val="none"/>
        </w:rPr>
      </w:pPr>
    </w:p>
    <w:p w14:paraId="6CDBD658" w14:textId="3099737B" w:rsidR="002748A0" w:rsidRPr="00E47BA2" w:rsidRDefault="002748A0" w:rsidP="00E47BA2">
      <w:pPr>
        <w:pStyle w:val="Prrafodelista"/>
        <w:numPr>
          <w:ilvl w:val="0"/>
          <w:numId w:val="4"/>
        </w:numPr>
        <w:spacing w:after="0" w:line="312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E47BA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  <w14:ligatures w14:val="none"/>
        </w:rPr>
        <w:t xml:space="preserve">Por otro lado, </w:t>
      </w:r>
      <w:r w:rsidRPr="00E47BA2">
        <w:rPr>
          <w:rFonts w:ascii="Arial" w:hAnsi="Arial" w:cs="Arial"/>
          <w:b/>
          <w:bCs/>
          <w:sz w:val="22"/>
          <w:szCs w:val="22"/>
        </w:rPr>
        <w:t>Póliza Responsabilidad Civil No. 1004103</w:t>
      </w:r>
      <w:r w:rsidRPr="00E47BA2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 cuyo tomador es el </w:t>
      </w:r>
      <w:r w:rsidRPr="00E47BA2">
        <w:rPr>
          <w:rFonts w:ascii="Arial" w:hAnsi="Arial" w:cs="Arial"/>
          <w:sz w:val="22"/>
          <w:szCs w:val="22"/>
        </w:rPr>
        <w:t>Hospital Universitario San José de Popayán E.S.E.</w:t>
      </w:r>
      <w:r w:rsidRPr="00E47BA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7BA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  <w14:ligatures w14:val="none"/>
        </w:rPr>
        <w:t xml:space="preserve">presta cobertura material y temporal de conformidad con los hechos y pretensiones expuestas en la demanda. Frente a la cobertura temporal, debe decirse que su modalidad es </w:t>
      </w:r>
      <w:proofErr w:type="spellStart"/>
      <w:r w:rsidRPr="00E47BA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  <w14:ligatures w14:val="none"/>
        </w:rPr>
        <w:t>Claims</w:t>
      </w:r>
      <w:proofErr w:type="spellEnd"/>
      <w:r w:rsidRPr="00E47BA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  <w14:ligatures w14:val="none"/>
        </w:rPr>
        <w:t xml:space="preserve"> </w:t>
      </w:r>
      <w:proofErr w:type="spellStart"/>
      <w:r w:rsidRPr="00E47BA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  <w14:ligatures w14:val="none"/>
        </w:rPr>
        <w:t>Made</w:t>
      </w:r>
      <w:proofErr w:type="spellEnd"/>
      <w:r w:rsidRPr="00E47BA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  <w14:ligatures w14:val="none"/>
        </w:rPr>
        <w:t>, la cual ampara la responsabilidad civil derivada de daños causados a terceros durante la vigencia de la póliza o el periodo de retroactividad y que sean reclamados por primera vez al asegurado durante la vigencia de la póliza. </w:t>
      </w:r>
      <w:r w:rsidRPr="00E47BA2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En consecuencia, el contrato de seguro presta cobertura por su temporalidad, toda vez que el hecho ocurrió el 4 de julio de 2021, la reclamación al asegurado </w:t>
      </w:r>
      <w:r w:rsidRPr="00E47BA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ES_tradnl"/>
          <w14:ligatures w14:val="none"/>
        </w:rPr>
        <w:t>se materializó con</w:t>
      </w:r>
      <w:r w:rsidRPr="00E47BA2">
        <w:rPr>
          <w:rFonts w:ascii="Arial" w:hAnsi="Arial" w:cs="Arial"/>
          <w:sz w:val="22"/>
          <w:szCs w:val="22"/>
          <w:lang w:val="es-ES_tradnl" w:eastAsia="es-ES"/>
        </w:rPr>
        <w:t xml:space="preserve"> la solicitud de conciliación realizada el día </w:t>
      </w:r>
      <w:r w:rsidRPr="00E47BA2">
        <w:rPr>
          <w:rFonts w:ascii="Arial" w:hAnsi="Arial" w:cs="Arial"/>
          <w:b/>
          <w:bCs/>
          <w:sz w:val="22"/>
          <w:szCs w:val="22"/>
          <w:lang w:val="es-ES_tradnl" w:eastAsia="es-ES"/>
        </w:rPr>
        <w:t>22 de noviembre de 2022</w:t>
      </w:r>
      <w:r w:rsidRPr="00E47BA2">
        <w:rPr>
          <w:rFonts w:ascii="Arial" w:hAnsi="Arial" w:cs="Arial"/>
          <w:sz w:val="22"/>
          <w:szCs w:val="22"/>
          <w:lang w:val="es-ES_tradnl" w:eastAsia="es-ES"/>
        </w:rPr>
        <w:t xml:space="preserve"> según constancia de no acuerdo de la Procuraduría 188 Judicial I para Asuntos Administrativo</w:t>
      </w:r>
      <w:r w:rsidRPr="00E47BA2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, y el periodo de vigencia del contrato comprende </w:t>
      </w:r>
      <w:r w:rsidRPr="00E47BA2">
        <w:rPr>
          <w:rFonts w:ascii="Arial" w:hAnsi="Arial" w:cs="Arial"/>
          <w:sz w:val="22"/>
          <w:szCs w:val="22"/>
        </w:rPr>
        <w:t xml:space="preserve">desde el 17 de enero del 2019 al 17 de </w:t>
      </w:r>
      <w:r w:rsidRPr="00E47BA2">
        <w:rPr>
          <w:rFonts w:ascii="Arial" w:hAnsi="Arial" w:cs="Arial"/>
          <w:sz w:val="22"/>
          <w:szCs w:val="22"/>
        </w:rPr>
        <w:lastRenderedPageBreak/>
        <w:t>enero de 2020 y se prorrogó hasta el 16 de febrero de 2023</w:t>
      </w:r>
      <w:r w:rsidRPr="00E47BA2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. Aunado a ello, presta cobertura material toda vez que, ampara la responsabilidad civil al tener amparo de </w:t>
      </w:r>
      <w:r w:rsidR="002D7908" w:rsidRPr="00E47BA2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RC clínicas y hospitales.</w:t>
      </w:r>
    </w:p>
    <w:p w14:paraId="08CB197A" w14:textId="77777777" w:rsidR="00415A17" w:rsidRDefault="00415A17" w:rsidP="00415A17">
      <w:pPr>
        <w:pStyle w:val="NormalWeb"/>
        <w:shd w:val="clear" w:color="auto" w:fill="FFFFFF"/>
        <w:spacing w:after="0" w:afterAutospacing="0" w:line="312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</w:pPr>
    </w:p>
    <w:p w14:paraId="62DB6D65" w14:textId="32E476E5" w:rsidR="00E47BA2" w:rsidRPr="00E47BA2" w:rsidRDefault="002D7908" w:rsidP="00E47BA2">
      <w:pPr>
        <w:spacing w:after="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Ahora bien, frente a la responsabilidad del asegurado debe decirse que el mismo dependerá del debate probatorio. Lo anterior toda vez que</w:t>
      </w:r>
      <w:r w:rsidR="0056024B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,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 si bien es </w:t>
      </w:r>
      <w:r w:rsidR="000E62E4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cierto,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 por un </w:t>
      </w:r>
      <w:r w:rsidR="00BC787A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lado,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 </w:t>
      </w:r>
      <w:r w:rsidR="000E62E4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se aportó un dictamen pericial donde se atribuye responsabilidad al asegurado por no </w:t>
      </w:r>
      <w:r w:rsidR="0056024B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prestarle una atención adecuada </w:t>
      </w:r>
      <w:r w:rsidR="00887394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en la consulta inicial del 26 de mayo </w:t>
      </w:r>
      <w:r w:rsidR="00FA5A48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de 2021 </w:t>
      </w:r>
      <w:r w:rsidR="00887394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cuando el</w:t>
      </w:r>
      <w:r w:rsidR="000E62E4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 señor </w:t>
      </w:r>
      <w:r w:rsidR="000E62E4" w:rsidRPr="002D069B">
        <w:rPr>
          <w:rFonts w:ascii="Arial" w:hAnsi="Arial" w:cs="Arial"/>
          <w:b/>
          <w:bCs/>
          <w:sz w:val="22"/>
          <w:szCs w:val="22"/>
          <w:lang w:val="es-ES"/>
        </w:rPr>
        <w:t>Carlos Hernán Gómez Bastidas q.e.p.d.</w:t>
      </w:r>
      <w:r w:rsidR="000E62E4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887394">
        <w:rPr>
          <w:rFonts w:ascii="Arial" w:hAnsi="Arial" w:cs="Arial"/>
          <w:sz w:val="22"/>
          <w:szCs w:val="22"/>
          <w:lang w:val="es-ES"/>
        </w:rPr>
        <w:t xml:space="preserve">presentó demencia crónica </w:t>
      </w:r>
      <w:r w:rsidR="00802876">
        <w:rPr>
          <w:rFonts w:ascii="Arial" w:hAnsi="Arial" w:cs="Arial"/>
          <w:sz w:val="22"/>
          <w:szCs w:val="22"/>
          <w:lang w:val="es-ES"/>
        </w:rPr>
        <w:t>pero</w:t>
      </w:r>
      <w:r w:rsidR="00B30E54">
        <w:rPr>
          <w:rFonts w:ascii="Arial" w:hAnsi="Arial" w:cs="Arial"/>
          <w:sz w:val="22"/>
          <w:szCs w:val="22"/>
          <w:lang w:val="es-ES"/>
        </w:rPr>
        <w:t xml:space="preserve"> no fue i</w:t>
      </w:r>
      <w:r w:rsidR="00CC1084">
        <w:rPr>
          <w:rFonts w:ascii="Arial" w:hAnsi="Arial" w:cs="Arial"/>
          <w:sz w:val="22"/>
          <w:szCs w:val="22"/>
          <w:lang w:val="es-ES"/>
        </w:rPr>
        <w:t>ngresado</w:t>
      </w:r>
      <w:r w:rsidR="005177F1">
        <w:rPr>
          <w:rFonts w:ascii="Arial" w:hAnsi="Arial" w:cs="Arial"/>
          <w:sz w:val="22"/>
          <w:szCs w:val="22"/>
          <w:lang w:val="es-ES"/>
        </w:rPr>
        <w:t xml:space="preserve"> a hospitalización en psiquiatría</w:t>
      </w:r>
      <w:r w:rsidR="00802876">
        <w:rPr>
          <w:rFonts w:ascii="Arial" w:hAnsi="Arial" w:cs="Arial"/>
          <w:sz w:val="22"/>
          <w:szCs w:val="22"/>
          <w:lang w:val="es-ES"/>
        </w:rPr>
        <w:t xml:space="preserve">. </w:t>
      </w:r>
      <w:r w:rsidR="002200EF">
        <w:rPr>
          <w:rFonts w:ascii="Arial" w:hAnsi="Arial" w:cs="Arial"/>
          <w:sz w:val="22"/>
          <w:szCs w:val="22"/>
          <w:lang w:val="es-ES"/>
        </w:rPr>
        <w:t>No es menos cierto</w:t>
      </w:r>
      <w:r w:rsidR="00C9016F">
        <w:rPr>
          <w:rFonts w:ascii="Arial" w:hAnsi="Arial" w:cs="Arial"/>
          <w:sz w:val="22"/>
          <w:szCs w:val="22"/>
          <w:lang w:val="es-ES"/>
        </w:rPr>
        <w:t>,</w:t>
      </w:r>
      <w:r w:rsidR="002200EF">
        <w:rPr>
          <w:rFonts w:ascii="Arial" w:hAnsi="Arial" w:cs="Arial"/>
          <w:sz w:val="22"/>
          <w:szCs w:val="22"/>
          <w:lang w:val="es-ES"/>
        </w:rPr>
        <w:t xml:space="preserve"> que</w:t>
      </w:r>
      <w:r w:rsidR="00C9016F">
        <w:rPr>
          <w:rFonts w:ascii="Arial" w:hAnsi="Arial" w:cs="Arial"/>
          <w:sz w:val="22"/>
          <w:szCs w:val="22"/>
          <w:lang w:val="es-ES"/>
        </w:rPr>
        <w:t xml:space="preserve"> </w:t>
      </w:r>
      <w:r w:rsidR="00415A17">
        <w:rPr>
          <w:rFonts w:ascii="Arial" w:hAnsi="Arial" w:cs="Arial"/>
          <w:sz w:val="22"/>
          <w:szCs w:val="22"/>
          <w:lang w:val="es-ES"/>
        </w:rPr>
        <w:t xml:space="preserve">el dictamen </w:t>
      </w:r>
      <w:r w:rsidR="008503C9">
        <w:rPr>
          <w:rFonts w:ascii="Arial" w:hAnsi="Arial" w:cs="Arial"/>
          <w:sz w:val="22"/>
          <w:szCs w:val="22"/>
          <w:lang w:val="es-ES"/>
        </w:rPr>
        <w:t xml:space="preserve">no </w:t>
      </w:r>
      <w:r w:rsidR="00415A17">
        <w:rPr>
          <w:rFonts w:ascii="Arial" w:hAnsi="Arial" w:cs="Arial"/>
          <w:sz w:val="22"/>
          <w:szCs w:val="22"/>
          <w:lang w:val="es-ES"/>
        </w:rPr>
        <w:t xml:space="preserve">fue realizado por </w:t>
      </w:r>
      <w:r w:rsidR="008503C9">
        <w:rPr>
          <w:rFonts w:ascii="Arial" w:hAnsi="Arial" w:cs="Arial"/>
          <w:sz w:val="22"/>
          <w:szCs w:val="22"/>
          <w:lang w:val="es-ES"/>
        </w:rPr>
        <w:t xml:space="preserve">un experto en </w:t>
      </w:r>
      <w:r w:rsidR="00F87FD0">
        <w:rPr>
          <w:rFonts w:ascii="Arial" w:hAnsi="Arial" w:cs="Arial"/>
          <w:sz w:val="22"/>
          <w:szCs w:val="22"/>
          <w:lang w:val="es-ES"/>
        </w:rPr>
        <w:t>psiquiatría</w:t>
      </w:r>
      <w:r w:rsidR="008503C9">
        <w:rPr>
          <w:rFonts w:ascii="Arial" w:hAnsi="Arial" w:cs="Arial"/>
          <w:sz w:val="22"/>
          <w:szCs w:val="22"/>
          <w:lang w:val="es-ES"/>
        </w:rPr>
        <w:t xml:space="preserve"> sino por el contrario</w:t>
      </w:r>
      <w:r w:rsidR="00651E72">
        <w:rPr>
          <w:rFonts w:ascii="Arial" w:hAnsi="Arial" w:cs="Arial"/>
          <w:sz w:val="22"/>
          <w:szCs w:val="22"/>
          <w:lang w:val="es-ES"/>
        </w:rPr>
        <w:t xml:space="preserve"> por u</w:t>
      </w:r>
      <w:r w:rsidR="002200EF">
        <w:rPr>
          <w:rFonts w:ascii="Arial" w:hAnsi="Arial" w:cs="Arial"/>
          <w:sz w:val="22"/>
          <w:szCs w:val="22"/>
          <w:lang w:val="es-ES"/>
        </w:rPr>
        <w:t>na médico cirujana,</w:t>
      </w:r>
      <w:r w:rsidR="00415A17">
        <w:rPr>
          <w:rFonts w:ascii="Arial" w:hAnsi="Arial" w:cs="Arial"/>
          <w:sz w:val="22"/>
          <w:szCs w:val="22"/>
          <w:lang w:val="es-ES"/>
        </w:rPr>
        <w:t xml:space="preserve"> lo que afecta su validez</w:t>
      </w:r>
      <w:r w:rsidR="00B861BC">
        <w:rPr>
          <w:rFonts w:ascii="Arial" w:hAnsi="Arial" w:cs="Arial"/>
          <w:sz w:val="22"/>
          <w:szCs w:val="22"/>
          <w:lang w:val="es-ES"/>
        </w:rPr>
        <w:t xml:space="preserve">, así mismo no se evidencian cuáles fueron los hallazgos científicos que utilizó para rendir el </w:t>
      </w:r>
      <w:r w:rsidR="004739D1">
        <w:rPr>
          <w:rFonts w:ascii="Arial" w:hAnsi="Arial" w:cs="Arial"/>
          <w:sz w:val="22"/>
          <w:szCs w:val="22"/>
          <w:lang w:val="es-ES"/>
        </w:rPr>
        <w:t>peritaje</w:t>
      </w:r>
      <w:r w:rsidR="002200EF">
        <w:rPr>
          <w:rFonts w:ascii="Arial" w:hAnsi="Arial" w:cs="Arial"/>
          <w:sz w:val="22"/>
          <w:szCs w:val="22"/>
          <w:lang w:val="es-ES"/>
        </w:rPr>
        <w:t>, por lo que</w:t>
      </w:r>
      <w:r w:rsidR="00B861BC">
        <w:rPr>
          <w:rFonts w:ascii="Arial" w:hAnsi="Arial" w:cs="Arial"/>
          <w:sz w:val="22"/>
          <w:szCs w:val="22"/>
          <w:lang w:val="es-ES"/>
        </w:rPr>
        <w:t xml:space="preserve"> el dictamen será objeto de contradicción en la oportunidad procesal pertinente ante las evidencias falencias que presenta</w:t>
      </w:r>
      <w:r w:rsidR="00802876">
        <w:rPr>
          <w:rFonts w:ascii="Arial" w:hAnsi="Arial" w:cs="Arial"/>
          <w:sz w:val="22"/>
          <w:szCs w:val="22"/>
          <w:lang w:val="es-ES"/>
        </w:rPr>
        <w:t xml:space="preserve">, sumado a que </w:t>
      </w:r>
      <w:r w:rsidR="004739D1">
        <w:rPr>
          <w:rFonts w:ascii="Arial" w:hAnsi="Arial" w:cs="Arial"/>
          <w:sz w:val="22"/>
          <w:szCs w:val="22"/>
          <w:lang w:val="es-ES"/>
        </w:rPr>
        <w:t xml:space="preserve">el paciente no fue diagnosticado con demencia crónica sino demencia </w:t>
      </w:r>
      <w:proofErr w:type="spellStart"/>
      <w:r w:rsidR="004739D1">
        <w:rPr>
          <w:rFonts w:ascii="Arial" w:hAnsi="Arial" w:cs="Arial"/>
          <w:sz w:val="22"/>
          <w:szCs w:val="22"/>
          <w:lang w:val="es-ES"/>
        </w:rPr>
        <w:t>corticol</w:t>
      </w:r>
      <w:proofErr w:type="spellEnd"/>
      <w:r w:rsidR="00B861BC">
        <w:rPr>
          <w:rFonts w:ascii="Arial" w:hAnsi="Arial" w:cs="Arial"/>
          <w:sz w:val="22"/>
          <w:szCs w:val="22"/>
          <w:lang w:val="es-ES"/>
        </w:rPr>
        <w:t>. E</w:t>
      </w:r>
      <w:r w:rsidR="00415A17">
        <w:rPr>
          <w:rFonts w:ascii="Arial" w:hAnsi="Arial" w:cs="Arial"/>
          <w:sz w:val="22"/>
          <w:szCs w:val="22"/>
          <w:lang w:val="es-ES"/>
        </w:rPr>
        <w:t xml:space="preserve">n segundo lugar, </w:t>
      </w:r>
      <w:r w:rsidR="0066533E">
        <w:rPr>
          <w:rFonts w:ascii="Arial" w:hAnsi="Arial" w:cs="Arial"/>
          <w:sz w:val="22"/>
          <w:szCs w:val="22"/>
          <w:lang w:val="es-ES"/>
        </w:rPr>
        <w:t>e</w:t>
      </w:r>
      <w:r w:rsidR="001E6D0B">
        <w:rPr>
          <w:rFonts w:ascii="Arial" w:hAnsi="Arial" w:cs="Arial"/>
          <w:sz w:val="22"/>
          <w:szCs w:val="22"/>
          <w:lang w:val="es-ES"/>
        </w:rPr>
        <w:t>n la literatura médica se ha indicado que los pacientes con problemas mentales requieren hospitalización cuando se encuentra en riesgo su vida, la de sus familiares</w:t>
      </w:r>
      <w:r w:rsidR="003D098B">
        <w:rPr>
          <w:rFonts w:ascii="Arial" w:hAnsi="Arial" w:cs="Arial"/>
          <w:sz w:val="22"/>
          <w:szCs w:val="22"/>
          <w:lang w:val="es-ES"/>
        </w:rPr>
        <w:t xml:space="preserve">, de </w:t>
      </w:r>
      <w:r w:rsidR="001E6D0B">
        <w:rPr>
          <w:rFonts w:ascii="Arial" w:hAnsi="Arial" w:cs="Arial"/>
          <w:sz w:val="22"/>
          <w:szCs w:val="22"/>
          <w:lang w:val="es-ES"/>
        </w:rPr>
        <w:t xml:space="preserve">personas </w:t>
      </w:r>
      <w:r w:rsidR="003D098B">
        <w:rPr>
          <w:rFonts w:ascii="Arial" w:hAnsi="Arial" w:cs="Arial"/>
          <w:sz w:val="22"/>
          <w:szCs w:val="22"/>
          <w:lang w:val="es-ES"/>
        </w:rPr>
        <w:t xml:space="preserve">a su </w:t>
      </w:r>
      <w:r w:rsidR="001E6D0B">
        <w:rPr>
          <w:rFonts w:ascii="Arial" w:hAnsi="Arial" w:cs="Arial"/>
          <w:sz w:val="22"/>
          <w:szCs w:val="22"/>
          <w:lang w:val="es-ES"/>
        </w:rPr>
        <w:t xml:space="preserve">alrededor, es decir que tenga conductas </w:t>
      </w:r>
      <w:r w:rsidR="00C623A9">
        <w:rPr>
          <w:rFonts w:ascii="Arial" w:hAnsi="Arial" w:cs="Arial"/>
          <w:sz w:val="22"/>
          <w:szCs w:val="22"/>
          <w:lang w:val="es-ES"/>
        </w:rPr>
        <w:t>agresivas, su</w:t>
      </w:r>
      <w:r w:rsidR="00342503">
        <w:rPr>
          <w:rFonts w:ascii="Arial" w:hAnsi="Arial" w:cs="Arial"/>
          <w:sz w:val="22"/>
          <w:szCs w:val="22"/>
          <w:lang w:val="es-ES"/>
        </w:rPr>
        <w:t>i</w:t>
      </w:r>
      <w:r w:rsidR="00C623A9">
        <w:rPr>
          <w:rFonts w:ascii="Arial" w:hAnsi="Arial" w:cs="Arial"/>
          <w:sz w:val="22"/>
          <w:szCs w:val="22"/>
          <w:lang w:val="es-ES"/>
        </w:rPr>
        <w:t xml:space="preserve">cidas entre otras, </w:t>
      </w:r>
      <w:r w:rsidR="00AF3F30">
        <w:rPr>
          <w:rFonts w:ascii="Arial" w:hAnsi="Arial" w:cs="Arial"/>
          <w:sz w:val="22"/>
          <w:szCs w:val="22"/>
          <w:lang w:val="es-ES"/>
        </w:rPr>
        <w:t xml:space="preserve">o cuando </w:t>
      </w:r>
      <w:r w:rsidR="00A25653">
        <w:rPr>
          <w:rFonts w:ascii="Arial" w:hAnsi="Arial" w:cs="Arial"/>
          <w:sz w:val="22"/>
          <w:szCs w:val="22"/>
          <w:lang w:val="es-ES"/>
        </w:rPr>
        <w:t>sus conductas estén muy alteradas</w:t>
      </w:r>
      <w:r w:rsidR="003D098B">
        <w:rPr>
          <w:rFonts w:ascii="Arial" w:hAnsi="Arial" w:cs="Arial"/>
          <w:sz w:val="22"/>
          <w:szCs w:val="22"/>
          <w:lang w:val="es-ES"/>
        </w:rPr>
        <w:t xml:space="preserve"> que impidan el correcto funcionamiento de su sistema</w:t>
      </w:r>
      <w:r w:rsidR="00A25653">
        <w:rPr>
          <w:rFonts w:ascii="Arial" w:hAnsi="Arial" w:cs="Arial"/>
          <w:sz w:val="22"/>
          <w:szCs w:val="22"/>
          <w:lang w:val="es-ES"/>
        </w:rPr>
        <w:t xml:space="preserve">, </w:t>
      </w:r>
      <w:r w:rsidR="003D098B">
        <w:rPr>
          <w:rFonts w:ascii="Arial" w:hAnsi="Arial" w:cs="Arial"/>
          <w:sz w:val="22"/>
          <w:szCs w:val="22"/>
          <w:lang w:val="es-ES"/>
        </w:rPr>
        <w:t xml:space="preserve">pero </w:t>
      </w:r>
      <w:r w:rsidR="00C623A9">
        <w:rPr>
          <w:rFonts w:ascii="Arial" w:hAnsi="Arial" w:cs="Arial"/>
          <w:sz w:val="22"/>
          <w:szCs w:val="22"/>
          <w:lang w:val="es-ES"/>
        </w:rPr>
        <w:t>para esa fecha el fallecido</w:t>
      </w:r>
      <w:r w:rsidR="003D098B">
        <w:rPr>
          <w:rFonts w:ascii="Arial" w:hAnsi="Arial" w:cs="Arial"/>
          <w:sz w:val="22"/>
          <w:szCs w:val="22"/>
          <w:lang w:val="es-ES"/>
        </w:rPr>
        <w:t xml:space="preserve"> no presentó </w:t>
      </w:r>
      <w:r w:rsidR="0060769C">
        <w:rPr>
          <w:rFonts w:ascii="Arial" w:hAnsi="Arial" w:cs="Arial"/>
          <w:sz w:val="22"/>
          <w:szCs w:val="22"/>
          <w:lang w:val="es-ES"/>
        </w:rPr>
        <w:t>síntomas alarmantes</w:t>
      </w:r>
      <w:r w:rsidR="003D098B">
        <w:rPr>
          <w:rFonts w:ascii="Arial" w:hAnsi="Arial" w:cs="Arial"/>
          <w:sz w:val="22"/>
          <w:szCs w:val="22"/>
          <w:lang w:val="es-ES"/>
        </w:rPr>
        <w:t xml:space="preserve"> que requirieran su hospitalización. Por otro lado, en esta etapa procesal no se ha acreditado que de haberse hospitalizado el resultado sería diferente para el fallecido. </w:t>
      </w:r>
      <w:r w:rsidR="00415A17">
        <w:rPr>
          <w:rFonts w:ascii="Arial" w:hAnsi="Arial" w:cs="Arial"/>
          <w:sz w:val="22"/>
          <w:szCs w:val="22"/>
          <w:lang w:val="es-ES"/>
        </w:rPr>
        <w:t xml:space="preserve">Por lo que es indispensable esperar </w:t>
      </w:r>
      <w:r w:rsidR="003552FC">
        <w:rPr>
          <w:rFonts w:ascii="Arial" w:hAnsi="Arial" w:cs="Arial"/>
          <w:sz w:val="22"/>
          <w:szCs w:val="22"/>
          <w:lang w:val="es-ES"/>
        </w:rPr>
        <w:t xml:space="preserve">y </w:t>
      </w:r>
      <w:r w:rsidR="009B753F">
        <w:rPr>
          <w:rFonts w:ascii="Arial" w:hAnsi="Arial" w:cs="Arial"/>
          <w:sz w:val="22"/>
          <w:szCs w:val="22"/>
          <w:lang w:val="es-ES"/>
        </w:rPr>
        <w:t xml:space="preserve">conocer el testimonio de los médicos especialistas </w:t>
      </w:r>
      <w:r w:rsidR="007A05AE">
        <w:rPr>
          <w:rFonts w:ascii="Arial" w:hAnsi="Arial" w:cs="Arial"/>
          <w:sz w:val="22"/>
          <w:szCs w:val="22"/>
          <w:lang w:val="es-ES"/>
        </w:rPr>
        <w:t>que atendieron al paciente</w:t>
      </w:r>
      <w:r w:rsidR="009B753F">
        <w:rPr>
          <w:rFonts w:ascii="Arial" w:hAnsi="Arial" w:cs="Arial"/>
          <w:sz w:val="22"/>
          <w:szCs w:val="22"/>
          <w:lang w:val="es-ES"/>
        </w:rPr>
        <w:t>,</w:t>
      </w:r>
      <w:r w:rsidR="003552FC">
        <w:rPr>
          <w:rFonts w:ascii="Arial" w:hAnsi="Arial" w:cs="Arial"/>
          <w:sz w:val="22"/>
          <w:szCs w:val="22"/>
          <w:lang w:val="es-ES"/>
        </w:rPr>
        <w:t xml:space="preserve"> especialmente el de psiquiatría</w:t>
      </w:r>
      <w:r w:rsidR="009B753F">
        <w:rPr>
          <w:rFonts w:ascii="Arial" w:hAnsi="Arial" w:cs="Arial"/>
          <w:sz w:val="22"/>
          <w:szCs w:val="22"/>
          <w:lang w:val="es-ES"/>
        </w:rPr>
        <w:t xml:space="preserve"> con el fin de </w:t>
      </w:r>
      <w:r w:rsidR="003552FC">
        <w:rPr>
          <w:rFonts w:ascii="Arial" w:hAnsi="Arial" w:cs="Arial"/>
          <w:sz w:val="22"/>
          <w:szCs w:val="22"/>
          <w:lang w:val="es-ES"/>
        </w:rPr>
        <w:t xml:space="preserve">determinar si existió o no responsabilidad del asegurado. </w:t>
      </w:r>
      <w:r w:rsidR="00E47BA2" w:rsidRPr="00E47BA2">
        <w:rPr>
          <w:rFonts w:ascii="Arial" w:hAnsi="Arial" w:cs="Arial"/>
          <w:sz w:val="22"/>
          <w:szCs w:val="22"/>
        </w:rPr>
        <w:t>Lo anterior sin perjuicio del carácter contingente del proceso.  </w:t>
      </w:r>
    </w:p>
    <w:p w14:paraId="34380050" w14:textId="77777777" w:rsidR="003552FC" w:rsidRDefault="003552FC" w:rsidP="00EA01F8">
      <w:pPr>
        <w:spacing w:after="0" w:line="312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A49BF39" w14:textId="3B26FBEB" w:rsidR="00EA01F8" w:rsidRDefault="00E47BA2" w:rsidP="00EA01F8">
      <w:pPr>
        <w:spacing w:after="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040BD">
        <w:rPr>
          <w:rFonts w:ascii="Arial" w:hAnsi="Arial" w:cs="Arial"/>
          <w:b/>
          <w:bCs/>
          <w:sz w:val="22"/>
          <w:szCs w:val="22"/>
          <w:lang w:val="es-ES"/>
        </w:rPr>
        <w:t>LIQUIDACIÓN OBJETIVA</w:t>
      </w:r>
      <w:r>
        <w:rPr>
          <w:rFonts w:ascii="Arial" w:hAnsi="Arial" w:cs="Arial"/>
          <w:sz w:val="22"/>
          <w:szCs w:val="22"/>
          <w:lang w:val="es-ES"/>
        </w:rPr>
        <w:t>:</w:t>
      </w:r>
      <w:r w:rsidR="00094EB7">
        <w:rPr>
          <w:rFonts w:ascii="Arial" w:hAnsi="Arial" w:cs="Arial"/>
          <w:sz w:val="22"/>
          <w:szCs w:val="22"/>
          <w:lang w:val="es-ES"/>
        </w:rPr>
        <w:t xml:space="preserve"> </w:t>
      </w:r>
      <w:r w:rsidR="00094EB7" w:rsidRPr="00094EB7">
        <w:rPr>
          <w:rFonts w:ascii="Arial" w:hAnsi="Arial" w:cs="Arial"/>
          <w:b/>
          <w:bCs/>
          <w:sz w:val="22"/>
          <w:szCs w:val="22"/>
          <w:u w:val="single"/>
          <w:lang w:val="es-ES"/>
        </w:rPr>
        <w:t>$331.</w:t>
      </w:r>
      <w:r w:rsidR="00094EB7">
        <w:rPr>
          <w:rFonts w:ascii="Arial" w:hAnsi="Arial" w:cs="Arial"/>
          <w:b/>
          <w:bCs/>
          <w:sz w:val="22"/>
          <w:szCs w:val="22"/>
          <w:u w:val="single"/>
          <w:lang w:val="es-ES"/>
        </w:rPr>
        <w:t>5</w:t>
      </w:r>
      <w:r w:rsidR="00094EB7" w:rsidRPr="00094EB7">
        <w:rPr>
          <w:rFonts w:ascii="Arial" w:hAnsi="Arial" w:cs="Arial"/>
          <w:b/>
          <w:bCs/>
          <w:sz w:val="22"/>
          <w:szCs w:val="22"/>
          <w:u w:val="single"/>
          <w:lang w:val="es-ES"/>
        </w:rPr>
        <w:t>00.000.</w:t>
      </w:r>
      <w:r>
        <w:rPr>
          <w:rFonts w:ascii="Arial" w:hAnsi="Arial" w:cs="Arial"/>
          <w:sz w:val="22"/>
          <w:szCs w:val="22"/>
          <w:lang w:val="es-ES"/>
        </w:rPr>
        <w:t xml:space="preserve"> Se llegó a este valor de la siguiente manera:</w:t>
      </w:r>
    </w:p>
    <w:p w14:paraId="45EDDCC9" w14:textId="77777777" w:rsidR="00E47BA2" w:rsidRDefault="00E47BA2" w:rsidP="00EA01F8">
      <w:pPr>
        <w:spacing w:after="0" w:line="312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577186C8" w14:textId="26554B15" w:rsidR="00C040BD" w:rsidRPr="00C040BD" w:rsidRDefault="00C040BD" w:rsidP="00C040BD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040BD">
        <w:rPr>
          <w:rFonts w:ascii="Arial" w:hAnsi="Arial" w:cs="Arial"/>
          <w:b/>
          <w:bCs/>
          <w:sz w:val="22"/>
          <w:szCs w:val="22"/>
        </w:rPr>
        <w:t>DAÑO MORAL:</w:t>
      </w:r>
      <w:r w:rsidRPr="00C040BD">
        <w:rPr>
          <w:rFonts w:ascii="Arial" w:hAnsi="Arial" w:cs="Arial"/>
          <w:sz w:val="22"/>
          <w:szCs w:val="22"/>
        </w:rPr>
        <w:t> </w:t>
      </w:r>
      <w:r w:rsidR="00E6662D">
        <w:rPr>
          <w:rFonts w:ascii="Arial" w:hAnsi="Arial" w:cs="Arial"/>
          <w:sz w:val="22"/>
          <w:szCs w:val="22"/>
        </w:rPr>
        <w:t>3</w:t>
      </w:r>
      <w:r w:rsidRPr="00C040BD">
        <w:rPr>
          <w:rFonts w:ascii="Arial" w:hAnsi="Arial" w:cs="Arial"/>
          <w:sz w:val="22"/>
          <w:szCs w:val="22"/>
        </w:rPr>
        <w:t xml:space="preserve">00SMLMV es decir $ </w:t>
      </w:r>
      <w:r w:rsidR="00E5146D">
        <w:rPr>
          <w:rFonts w:ascii="Arial" w:hAnsi="Arial" w:cs="Arial"/>
          <w:sz w:val="22"/>
          <w:szCs w:val="22"/>
        </w:rPr>
        <w:t>39</w:t>
      </w:r>
      <w:r w:rsidRPr="00C040BD">
        <w:rPr>
          <w:rFonts w:ascii="Arial" w:hAnsi="Arial" w:cs="Arial"/>
          <w:sz w:val="22"/>
          <w:szCs w:val="22"/>
        </w:rPr>
        <w:t>0.000.000 con SMLMV de año</w:t>
      </w:r>
      <w:r w:rsidR="002200EF">
        <w:rPr>
          <w:rFonts w:ascii="Arial" w:hAnsi="Arial" w:cs="Arial"/>
          <w:sz w:val="22"/>
          <w:szCs w:val="22"/>
        </w:rPr>
        <w:t xml:space="preserve"> 2024. </w:t>
      </w:r>
      <w:r w:rsidR="002200EF">
        <w:rPr>
          <w:rFonts w:ascii="Arial" w:hAnsi="Arial" w:cs="Arial"/>
          <w:sz w:val="22"/>
          <w:szCs w:val="22"/>
        </w:rPr>
        <w:br/>
      </w:r>
      <w:r w:rsidR="002200EF">
        <w:rPr>
          <w:rFonts w:ascii="Arial" w:hAnsi="Arial" w:cs="Arial"/>
          <w:sz w:val="22"/>
          <w:szCs w:val="22"/>
        </w:rPr>
        <w:br/>
        <w:t>Se liquida el valor,</w:t>
      </w:r>
      <w:r w:rsidRPr="00C040BD">
        <w:rPr>
          <w:rFonts w:ascii="Arial" w:hAnsi="Arial" w:cs="Arial"/>
          <w:sz w:val="22"/>
          <w:szCs w:val="22"/>
        </w:rPr>
        <w:t xml:space="preserve"> de acuerdo a la sentencia de unificación del H. Consejo de Estado</w:t>
      </w:r>
      <w:r w:rsidR="002200EF">
        <w:rPr>
          <w:rFonts w:ascii="Arial" w:hAnsi="Arial" w:cs="Arial"/>
          <w:sz w:val="22"/>
          <w:szCs w:val="22"/>
        </w:rPr>
        <w:t xml:space="preserve"> en la que</w:t>
      </w:r>
      <w:r w:rsidRPr="00C040BD">
        <w:rPr>
          <w:rFonts w:ascii="Arial" w:hAnsi="Arial" w:cs="Arial"/>
          <w:sz w:val="22"/>
          <w:szCs w:val="22"/>
        </w:rPr>
        <w:t xml:space="preserve"> se ha reconocido por daño moral en los casos de muerte la suma de 100 SMLMV para aquellos en el primer grado de consanguinidad (2 demandantes - </w:t>
      </w:r>
      <w:r w:rsidR="00A55C86">
        <w:rPr>
          <w:rFonts w:ascii="Arial" w:hAnsi="Arial" w:cs="Arial"/>
          <w:sz w:val="22"/>
          <w:szCs w:val="22"/>
        </w:rPr>
        <w:t>hijos</w:t>
      </w:r>
      <w:r w:rsidRPr="00C040BD">
        <w:rPr>
          <w:rFonts w:ascii="Arial" w:hAnsi="Arial" w:cs="Arial"/>
          <w:sz w:val="22"/>
          <w:szCs w:val="22"/>
        </w:rPr>
        <w:t>) equivalentes a 200SMLMV, igual a $260.000.000 (año 2024); 50SMLMV para aquellos en segundo grado de consanguinidad (</w:t>
      </w:r>
      <w:r w:rsidR="00BC5026">
        <w:rPr>
          <w:rFonts w:ascii="Arial" w:hAnsi="Arial" w:cs="Arial"/>
          <w:sz w:val="22"/>
          <w:szCs w:val="22"/>
        </w:rPr>
        <w:t>2</w:t>
      </w:r>
      <w:r w:rsidRPr="00C040BD">
        <w:rPr>
          <w:rFonts w:ascii="Arial" w:hAnsi="Arial" w:cs="Arial"/>
          <w:sz w:val="22"/>
          <w:szCs w:val="22"/>
        </w:rPr>
        <w:t xml:space="preserve"> demandantes </w:t>
      </w:r>
      <w:r w:rsidR="00BC5026">
        <w:rPr>
          <w:rFonts w:ascii="Arial" w:hAnsi="Arial" w:cs="Arial"/>
          <w:sz w:val="22"/>
          <w:szCs w:val="22"/>
        </w:rPr>
        <w:t>–</w:t>
      </w:r>
      <w:r w:rsidRPr="00C040BD">
        <w:rPr>
          <w:rFonts w:ascii="Arial" w:hAnsi="Arial" w:cs="Arial"/>
          <w:sz w:val="22"/>
          <w:szCs w:val="22"/>
        </w:rPr>
        <w:t xml:space="preserve"> </w:t>
      </w:r>
      <w:r w:rsidR="00BC5026">
        <w:rPr>
          <w:rFonts w:ascii="Arial" w:hAnsi="Arial" w:cs="Arial"/>
          <w:sz w:val="22"/>
          <w:szCs w:val="22"/>
        </w:rPr>
        <w:t>1 nieto y 1 hermano</w:t>
      </w:r>
      <w:r w:rsidRPr="00C040BD">
        <w:rPr>
          <w:rFonts w:ascii="Arial" w:hAnsi="Arial" w:cs="Arial"/>
          <w:sz w:val="22"/>
          <w:szCs w:val="22"/>
        </w:rPr>
        <w:t xml:space="preserve">) equivalente a </w:t>
      </w:r>
      <w:r w:rsidR="00BC5026">
        <w:rPr>
          <w:rFonts w:ascii="Arial" w:hAnsi="Arial" w:cs="Arial"/>
          <w:sz w:val="22"/>
          <w:szCs w:val="22"/>
        </w:rPr>
        <w:t>10</w:t>
      </w:r>
      <w:r w:rsidRPr="00C040BD">
        <w:rPr>
          <w:rFonts w:ascii="Arial" w:hAnsi="Arial" w:cs="Arial"/>
          <w:sz w:val="22"/>
          <w:szCs w:val="22"/>
        </w:rPr>
        <w:t>0SMLMV igual a $</w:t>
      </w:r>
      <w:r w:rsidR="00F80611">
        <w:rPr>
          <w:rFonts w:ascii="Arial" w:hAnsi="Arial" w:cs="Arial"/>
          <w:sz w:val="22"/>
          <w:szCs w:val="22"/>
        </w:rPr>
        <w:t>13</w:t>
      </w:r>
      <w:r w:rsidRPr="00C040BD">
        <w:rPr>
          <w:rFonts w:ascii="Arial" w:hAnsi="Arial" w:cs="Arial"/>
          <w:sz w:val="22"/>
          <w:szCs w:val="22"/>
        </w:rPr>
        <w:t>0.000.000 (año 2024)</w:t>
      </w:r>
      <w:r w:rsidR="00F80611">
        <w:rPr>
          <w:rFonts w:ascii="Arial" w:hAnsi="Arial" w:cs="Arial"/>
          <w:sz w:val="22"/>
          <w:szCs w:val="22"/>
        </w:rPr>
        <w:t>.</w:t>
      </w:r>
      <w:r w:rsidRPr="00C040BD">
        <w:rPr>
          <w:rFonts w:ascii="Arial" w:hAnsi="Arial" w:cs="Arial"/>
          <w:sz w:val="22"/>
          <w:szCs w:val="22"/>
        </w:rPr>
        <w:t>  </w:t>
      </w:r>
      <w:r w:rsidR="001050E0">
        <w:rPr>
          <w:rFonts w:ascii="Arial" w:hAnsi="Arial" w:cs="Arial"/>
          <w:sz w:val="22"/>
          <w:szCs w:val="22"/>
        </w:rPr>
        <w:t>S</w:t>
      </w:r>
      <w:r w:rsidR="001050E0" w:rsidRPr="00C040BD">
        <w:rPr>
          <w:rFonts w:ascii="Arial" w:hAnsi="Arial" w:cs="Arial"/>
          <w:sz w:val="22"/>
          <w:szCs w:val="22"/>
        </w:rPr>
        <w:t>entencia del 28 de agosto del 2014. rad. no. 66001-23-31-000-2001-00731-01 /26251. </w:t>
      </w:r>
    </w:p>
    <w:p w14:paraId="394C82AB" w14:textId="77777777" w:rsidR="00C040BD" w:rsidRPr="00C040BD" w:rsidRDefault="00C040BD" w:rsidP="00C040BD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473DB60F" w14:textId="43DBDEB5" w:rsidR="00C040BD" w:rsidRDefault="00C040BD" w:rsidP="00C040BD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040BD">
        <w:rPr>
          <w:rFonts w:ascii="Arial" w:hAnsi="Arial" w:cs="Arial"/>
          <w:b/>
          <w:bCs/>
          <w:sz w:val="22"/>
          <w:szCs w:val="22"/>
        </w:rPr>
        <w:lastRenderedPageBreak/>
        <w:t>Nota</w:t>
      </w:r>
      <w:r w:rsidRPr="00C040BD">
        <w:rPr>
          <w:rFonts w:ascii="Arial" w:hAnsi="Arial" w:cs="Arial"/>
          <w:sz w:val="22"/>
          <w:szCs w:val="22"/>
        </w:rPr>
        <w:t xml:space="preserve">: No se reconoce </w:t>
      </w:r>
      <w:r w:rsidR="00F80611">
        <w:rPr>
          <w:rFonts w:ascii="Arial" w:hAnsi="Arial" w:cs="Arial"/>
          <w:sz w:val="22"/>
          <w:szCs w:val="22"/>
        </w:rPr>
        <w:t xml:space="preserve">para </w:t>
      </w:r>
      <w:r w:rsidR="0077078E">
        <w:rPr>
          <w:rFonts w:ascii="Arial" w:hAnsi="Arial" w:cs="Arial"/>
          <w:sz w:val="22"/>
          <w:szCs w:val="22"/>
        </w:rPr>
        <w:t xml:space="preserve">la </w:t>
      </w:r>
      <w:r w:rsidR="0077078E" w:rsidRPr="00EE1E54">
        <w:rPr>
          <w:rFonts w:ascii="Arial" w:hAnsi="Arial" w:cs="Arial"/>
          <w:lang w:val="es-ES_tradnl" w:eastAsia="es-ES"/>
        </w:rPr>
        <w:t xml:space="preserve">señora </w:t>
      </w:r>
      <w:proofErr w:type="spellStart"/>
      <w:r w:rsidR="0077078E" w:rsidRPr="00EE1E54">
        <w:rPr>
          <w:rFonts w:ascii="Arial" w:eastAsia="Times New Roman" w:hAnsi="Arial" w:cs="Arial"/>
          <w:b/>
          <w:color w:val="000000"/>
          <w:lang w:eastAsia="es-ES"/>
        </w:rPr>
        <w:t>Edizabeth</w:t>
      </w:r>
      <w:proofErr w:type="spellEnd"/>
      <w:r w:rsidR="0077078E" w:rsidRPr="00EE1E54">
        <w:rPr>
          <w:rFonts w:ascii="Arial" w:eastAsia="Times New Roman" w:hAnsi="Arial" w:cs="Arial"/>
          <w:b/>
          <w:color w:val="000000"/>
          <w:lang w:eastAsia="es-ES"/>
        </w:rPr>
        <w:t xml:space="preserve"> Cabrera Solís</w:t>
      </w:r>
      <w:r w:rsidRPr="00C040BD">
        <w:rPr>
          <w:rFonts w:ascii="Arial" w:hAnsi="Arial" w:cs="Arial"/>
          <w:sz w:val="22"/>
          <w:szCs w:val="22"/>
        </w:rPr>
        <w:t xml:space="preserve"> </w:t>
      </w:r>
      <w:r w:rsidR="002200EF">
        <w:rPr>
          <w:rFonts w:ascii="Arial" w:hAnsi="Arial" w:cs="Arial"/>
          <w:sz w:val="22"/>
          <w:szCs w:val="22"/>
        </w:rPr>
        <w:t>toda vez que respecto del</w:t>
      </w:r>
      <w:r w:rsidRPr="00C040BD">
        <w:rPr>
          <w:rFonts w:ascii="Arial" w:hAnsi="Arial" w:cs="Arial"/>
          <w:sz w:val="22"/>
          <w:szCs w:val="22"/>
        </w:rPr>
        <w:t xml:space="preserve"> </w:t>
      </w:r>
      <w:r w:rsidR="0077078E">
        <w:rPr>
          <w:rFonts w:ascii="Arial" w:hAnsi="Arial" w:cs="Arial"/>
          <w:sz w:val="22"/>
          <w:szCs w:val="22"/>
        </w:rPr>
        <w:t>quinto</w:t>
      </w:r>
      <w:r w:rsidRPr="00C040BD">
        <w:rPr>
          <w:rFonts w:ascii="Arial" w:hAnsi="Arial" w:cs="Arial"/>
          <w:sz w:val="22"/>
          <w:szCs w:val="22"/>
        </w:rPr>
        <w:t xml:space="preserve"> grado de consanguinidad</w:t>
      </w:r>
      <w:r w:rsidR="002200EF">
        <w:rPr>
          <w:rFonts w:ascii="Arial" w:hAnsi="Arial" w:cs="Arial"/>
          <w:sz w:val="22"/>
          <w:szCs w:val="22"/>
        </w:rPr>
        <w:t xml:space="preserve"> y</w:t>
      </w:r>
      <w:r w:rsidR="0077078E">
        <w:rPr>
          <w:rFonts w:ascii="Arial" w:hAnsi="Arial" w:cs="Arial"/>
          <w:sz w:val="22"/>
          <w:szCs w:val="22"/>
        </w:rPr>
        <w:t>/o afinidad</w:t>
      </w:r>
      <w:r w:rsidRPr="00C040BD">
        <w:rPr>
          <w:rFonts w:ascii="Arial" w:hAnsi="Arial" w:cs="Arial"/>
          <w:sz w:val="22"/>
          <w:szCs w:val="22"/>
        </w:rPr>
        <w:t xml:space="preserve"> no existe presunción por consanguinidad</w:t>
      </w:r>
      <w:r w:rsidR="002200EF">
        <w:rPr>
          <w:rFonts w:ascii="Arial" w:hAnsi="Arial" w:cs="Arial"/>
          <w:sz w:val="22"/>
          <w:szCs w:val="22"/>
        </w:rPr>
        <w:t>,</w:t>
      </w:r>
      <w:r w:rsidRPr="00C040BD">
        <w:rPr>
          <w:rFonts w:ascii="Arial" w:hAnsi="Arial" w:cs="Arial"/>
          <w:sz w:val="22"/>
          <w:szCs w:val="22"/>
        </w:rPr>
        <w:t xml:space="preserve"> por lo que debe demostrarse la afectación moral por la causación del daño alegado</w:t>
      </w:r>
      <w:r w:rsidR="0077078E">
        <w:rPr>
          <w:rFonts w:ascii="Arial" w:hAnsi="Arial" w:cs="Arial"/>
          <w:sz w:val="22"/>
          <w:szCs w:val="22"/>
        </w:rPr>
        <w:t>, máxime cuando ni siquiera se ha acreditado que sea la nuera del fallecido.</w:t>
      </w:r>
      <w:r w:rsidRPr="00C040BD">
        <w:rPr>
          <w:rFonts w:ascii="Arial" w:hAnsi="Arial" w:cs="Arial"/>
          <w:sz w:val="22"/>
          <w:szCs w:val="22"/>
        </w:rPr>
        <w:t> </w:t>
      </w:r>
    </w:p>
    <w:p w14:paraId="3D98AF71" w14:textId="77777777" w:rsidR="004B2858" w:rsidRDefault="004B2858" w:rsidP="00C040BD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07FE88EB" w14:textId="7CFE87D0" w:rsidR="004B2858" w:rsidRPr="00C040BD" w:rsidRDefault="00E54FD0" w:rsidP="00C040BD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E54FD0">
        <w:rPr>
          <w:rFonts w:ascii="Arial" w:hAnsi="Arial" w:cs="Arial"/>
          <w:b/>
          <w:bCs/>
          <w:sz w:val="22"/>
          <w:szCs w:val="22"/>
        </w:rPr>
        <w:t>SUBLÍMITE DE PERJUICIOS EXTRAPATRIMONIALES</w:t>
      </w:r>
      <w:r w:rsidR="004B285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$</w:t>
      </w:r>
      <w:r w:rsidR="0042165D">
        <w:rPr>
          <w:rFonts w:ascii="Arial" w:hAnsi="Arial" w:cs="Arial"/>
          <w:sz w:val="22"/>
          <w:szCs w:val="22"/>
        </w:rPr>
        <w:t>400.000.000</w:t>
      </w:r>
    </w:p>
    <w:p w14:paraId="257E326B" w14:textId="77777777" w:rsidR="00C040BD" w:rsidRPr="00C040BD" w:rsidRDefault="00C040BD" w:rsidP="00C040BD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75610BF5" w14:textId="623AF914" w:rsidR="00C040BD" w:rsidRPr="00C040BD" w:rsidRDefault="00C040BD" w:rsidP="00C040BD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040BD">
        <w:rPr>
          <w:rFonts w:ascii="Arial" w:hAnsi="Arial" w:cs="Arial"/>
          <w:b/>
          <w:bCs/>
          <w:sz w:val="22"/>
          <w:szCs w:val="22"/>
        </w:rPr>
        <w:t>DEDUCIBLE:</w:t>
      </w:r>
      <w:r w:rsidRPr="00C040BD">
        <w:rPr>
          <w:rFonts w:ascii="Arial" w:hAnsi="Arial" w:cs="Arial"/>
          <w:sz w:val="22"/>
          <w:szCs w:val="22"/>
        </w:rPr>
        <w:t xml:space="preserve"> Se pactó un deducible de 1</w:t>
      </w:r>
      <w:r w:rsidR="006C59EB">
        <w:rPr>
          <w:rFonts w:ascii="Arial" w:hAnsi="Arial" w:cs="Arial"/>
          <w:sz w:val="22"/>
          <w:szCs w:val="22"/>
        </w:rPr>
        <w:t>5</w:t>
      </w:r>
      <w:r w:rsidRPr="00C040BD">
        <w:rPr>
          <w:rFonts w:ascii="Arial" w:hAnsi="Arial" w:cs="Arial"/>
          <w:sz w:val="22"/>
          <w:szCs w:val="22"/>
        </w:rPr>
        <w:t>% min $2</w:t>
      </w:r>
      <w:r w:rsidR="006C59EB">
        <w:rPr>
          <w:rFonts w:ascii="Arial" w:hAnsi="Arial" w:cs="Arial"/>
          <w:sz w:val="22"/>
          <w:szCs w:val="22"/>
        </w:rPr>
        <w:t>5</w:t>
      </w:r>
      <w:r w:rsidRPr="00C040BD">
        <w:rPr>
          <w:rFonts w:ascii="Arial" w:hAnsi="Arial" w:cs="Arial"/>
          <w:sz w:val="22"/>
          <w:szCs w:val="22"/>
        </w:rPr>
        <w:t>.000.000, por lo que se aplica el 1</w:t>
      </w:r>
      <w:r w:rsidR="000C408B">
        <w:rPr>
          <w:rFonts w:ascii="Arial" w:hAnsi="Arial" w:cs="Arial"/>
          <w:sz w:val="22"/>
          <w:szCs w:val="22"/>
        </w:rPr>
        <w:t>5</w:t>
      </w:r>
      <w:r w:rsidRPr="00C040BD">
        <w:rPr>
          <w:rFonts w:ascii="Arial" w:hAnsi="Arial" w:cs="Arial"/>
          <w:sz w:val="22"/>
          <w:szCs w:val="22"/>
        </w:rPr>
        <w:t>% por ser mayor:</w:t>
      </w:r>
    </w:p>
    <w:p w14:paraId="2714B516" w14:textId="77777777" w:rsidR="00C040BD" w:rsidRPr="00C040BD" w:rsidRDefault="00C040BD" w:rsidP="00C040BD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6073C2DD" w14:textId="17507D46" w:rsidR="00C040BD" w:rsidRPr="00C040BD" w:rsidRDefault="00C040BD" w:rsidP="00C040BD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040BD">
        <w:rPr>
          <w:rFonts w:ascii="Arial" w:hAnsi="Arial" w:cs="Arial"/>
          <w:sz w:val="22"/>
          <w:szCs w:val="22"/>
        </w:rPr>
        <w:t>$</w:t>
      </w:r>
      <w:r w:rsidR="006C59EB">
        <w:rPr>
          <w:rFonts w:ascii="Arial" w:hAnsi="Arial" w:cs="Arial"/>
          <w:sz w:val="22"/>
          <w:szCs w:val="22"/>
        </w:rPr>
        <w:t>390</w:t>
      </w:r>
      <w:r w:rsidRPr="00C040BD">
        <w:rPr>
          <w:rFonts w:ascii="Arial" w:hAnsi="Arial" w:cs="Arial"/>
          <w:sz w:val="22"/>
          <w:szCs w:val="22"/>
        </w:rPr>
        <w:t>.000.000 - 1</w:t>
      </w:r>
      <w:r w:rsidR="00A863BA">
        <w:rPr>
          <w:rFonts w:ascii="Arial" w:hAnsi="Arial" w:cs="Arial"/>
          <w:sz w:val="22"/>
          <w:szCs w:val="22"/>
        </w:rPr>
        <w:t>5</w:t>
      </w:r>
      <w:r w:rsidRPr="00C040BD">
        <w:rPr>
          <w:rFonts w:ascii="Arial" w:hAnsi="Arial" w:cs="Arial"/>
          <w:sz w:val="22"/>
          <w:szCs w:val="22"/>
        </w:rPr>
        <w:t>%</w:t>
      </w:r>
      <w:r w:rsidR="006361A7">
        <w:rPr>
          <w:rFonts w:ascii="Arial" w:hAnsi="Arial" w:cs="Arial"/>
          <w:sz w:val="22"/>
          <w:szCs w:val="22"/>
        </w:rPr>
        <w:t xml:space="preserve"> </w:t>
      </w:r>
      <w:r w:rsidRPr="00C040BD">
        <w:rPr>
          <w:rFonts w:ascii="Arial" w:hAnsi="Arial" w:cs="Arial"/>
          <w:sz w:val="22"/>
          <w:szCs w:val="22"/>
        </w:rPr>
        <w:t>($</w:t>
      </w:r>
      <w:r w:rsidR="0042165D">
        <w:rPr>
          <w:rFonts w:ascii="Arial" w:hAnsi="Arial" w:cs="Arial"/>
          <w:sz w:val="22"/>
          <w:szCs w:val="22"/>
        </w:rPr>
        <w:t>58</w:t>
      </w:r>
      <w:r w:rsidRPr="00C040BD">
        <w:rPr>
          <w:rFonts w:ascii="Arial" w:hAnsi="Arial" w:cs="Arial"/>
          <w:sz w:val="22"/>
          <w:szCs w:val="22"/>
        </w:rPr>
        <w:t>.</w:t>
      </w:r>
      <w:r w:rsidR="006C59EB">
        <w:rPr>
          <w:rFonts w:ascii="Arial" w:hAnsi="Arial" w:cs="Arial"/>
          <w:sz w:val="22"/>
          <w:szCs w:val="22"/>
        </w:rPr>
        <w:t>5</w:t>
      </w:r>
      <w:r w:rsidRPr="00C040BD">
        <w:rPr>
          <w:rFonts w:ascii="Arial" w:hAnsi="Arial" w:cs="Arial"/>
          <w:sz w:val="22"/>
          <w:szCs w:val="22"/>
        </w:rPr>
        <w:t>00.000) = $</w:t>
      </w:r>
      <w:r w:rsidR="006C59EB">
        <w:rPr>
          <w:rFonts w:ascii="Arial" w:hAnsi="Arial" w:cs="Arial"/>
          <w:sz w:val="22"/>
          <w:szCs w:val="22"/>
        </w:rPr>
        <w:t>331.500.000.</w:t>
      </w:r>
    </w:p>
    <w:p w14:paraId="54078920" w14:textId="77777777" w:rsidR="00C040BD" w:rsidRPr="00C040BD" w:rsidRDefault="00C040BD" w:rsidP="00C040BD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247258E9" w14:textId="77777777" w:rsidR="00C040BD" w:rsidRPr="00C040BD" w:rsidRDefault="00C040BD" w:rsidP="00C040BD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040BD">
        <w:rPr>
          <w:rFonts w:ascii="Arial" w:hAnsi="Arial" w:cs="Arial"/>
          <w:b/>
          <w:bCs/>
          <w:sz w:val="22"/>
          <w:szCs w:val="22"/>
        </w:rPr>
        <w:t>COASEGURO:</w:t>
      </w:r>
      <w:r w:rsidRPr="00C040BD">
        <w:rPr>
          <w:rFonts w:ascii="Arial" w:hAnsi="Arial" w:cs="Arial"/>
          <w:sz w:val="22"/>
          <w:szCs w:val="22"/>
        </w:rPr>
        <w:t xml:space="preserve"> Sin coaseguro. </w:t>
      </w:r>
    </w:p>
    <w:p w14:paraId="03BBC718" w14:textId="77777777" w:rsidR="00E47BA2" w:rsidRDefault="00E47BA2" w:rsidP="00EA01F8">
      <w:pPr>
        <w:spacing w:after="0" w:line="312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26D1A04" w14:textId="77777777" w:rsidR="00E47BA2" w:rsidRDefault="00E47BA2" w:rsidP="00EA01F8">
      <w:pPr>
        <w:spacing w:after="0" w:line="312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55F45488" w14:textId="31F956BB" w:rsidR="00762569" w:rsidRPr="00A239AD" w:rsidRDefault="00762569" w:rsidP="00EA01F8">
      <w:pPr>
        <w:spacing w:after="0" w:line="312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A239AD">
        <w:rPr>
          <w:rFonts w:ascii="Arial" w:hAnsi="Arial" w:cs="Arial"/>
          <w:b/>
          <w:bCs/>
          <w:sz w:val="22"/>
          <w:szCs w:val="22"/>
          <w:u w:val="single"/>
          <w:lang w:val="es-ES"/>
        </w:rPr>
        <w:t>DATOS A TENER EN CUENTA PARA LA CONTRADICCIÓN DEL DICTAMEN</w:t>
      </w:r>
    </w:p>
    <w:p w14:paraId="495E3002" w14:textId="77777777" w:rsidR="00762569" w:rsidRDefault="00762569" w:rsidP="00EA01F8">
      <w:pPr>
        <w:spacing w:after="0" w:line="312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57E27F7C" w14:textId="1C20167B" w:rsidR="00762569" w:rsidRPr="00FD1677" w:rsidRDefault="00762569" w:rsidP="00FD1677">
      <w:pPr>
        <w:pStyle w:val="Prrafodelista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  <w:lang w:val="es-ES"/>
        </w:rPr>
      </w:pPr>
      <w:r w:rsidRPr="00FD1677">
        <w:rPr>
          <w:rFonts w:ascii="Arial" w:hAnsi="Arial" w:cs="Arial"/>
          <w:sz w:val="22"/>
          <w:szCs w:val="22"/>
          <w:lang w:val="es-ES"/>
        </w:rPr>
        <w:t xml:space="preserve">No fue realizado por un experto en </w:t>
      </w:r>
      <w:r w:rsidR="00EB691D" w:rsidRPr="00FD1677">
        <w:rPr>
          <w:rFonts w:ascii="Arial" w:hAnsi="Arial" w:cs="Arial"/>
          <w:sz w:val="22"/>
          <w:szCs w:val="22"/>
          <w:lang w:val="es-ES"/>
        </w:rPr>
        <w:t>psiquiatría</w:t>
      </w:r>
      <w:r w:rsidRPr="00FD1677">
        <w:rPr>
          <w:rFonts w:ascii="Arial" w:hAnsi="Arial" w:cs="Arial"/>
          <w:sz w:val="22"/>
          <w:szCs w:val="22"/>
          <w:lang w:val="es-ES"/>
        </w:rPr>
        <w:t xml:space="preserve"> sino </w:t>
      </w:r>
      <w:r w:rsidR="00EB691D" w:rsidRPr="00FD1677">
        <w:rPr>
          <w:rFonts w:ascii="Arial" w:hAnsi="Arial" w:cs="Arial"/>
          <w:sz w:val="22"/>
          <w:szCs w:val="22"/>
          <w:lang w:val="es-ES"/>
        </w:rPr>
        <w:t>por una médica cirujana, especialista en derecho médico sanitario y especialista en administración en salud con énfasis en seguridad social y certificada como auditoría interna. Por lo que no tiene</w:t>
      </w:r>
      <w:r w:rsidR="00754A95" w:rsidRPr="00FD1677">
        <w:rPr>
          <w:rFonts w:ascii="Arial" w:hAnsi="Arial" w:cs="Arial"/>
          <w:sz w:val="22"/>
          <w:szCs w:val="22"/>
          <w:lang w:val="es-ES"/>
        </w:rPr>
        <w:t xml:space="preserve"> la experiencia profesional.</w:t>
      </w:r>
    </w:p>
    <w:p w14:paraId="459B2285" w14:textId="77777777" w:rsidR="00754A95" w:rsidRDefault="00754A95" w:rsidP="00FD1677">
      <w:p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  <w:lang w:val="es-ES"/>
        </w:rPr>
      </w:pPr>
    </w:p>
    <w:p w14:paraId="1C7E00FD" w14:textId="062254B8" w:rsidR="005767F5" w:rsidRPr="00FD1677" w:rsidRDefault="005767F5" w:rsidP="00FD1677">
      <w:pPr>
        <w:pStyle w:val="Prrafodelista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1677">
        <w:rPr>
          <w:rFonts w:ascii="Arial" w:hAnsi="Arial" w:cs="Arial"/>
          <w:sz w:val="22"/>
          <w:szCs w:val="22"/>
        </w:rPr>
        <w:t xml:space="preserve">Indagar si utilizó los protocolos de la ESE </w:t>
      </w:r>
      <w:r w:rsidR="003536C6" w:rsidRPr="00FD1677">
        <w:rPr>
          <w:rFonts w:ascii="Arial" w:hAnsi="Arial" w:cs="Arial"/>
          <w:sz w:val="22"/>
          <w:szCs w:val="22"/>
        </w:rPr>
        <w:t>p</w:t>
      </w:r>
      <w:r w:rsidRPr="00FD1677">
        <w:rPr>
          <w:rFonts w:ascii="Arial" w:hAnsi="Arial" w:cs="Arial"/>
          <w:sz w:val="22"/>
          <w:szCs w:val="22"/>
        </w:rPr>
        <w:t>ara la elaboración del dictamen</w:t>
      </w:r>
      <w:r w:rsidR="002200EF">
        <w:rPr>
          <w:rFonts w:ascii="Arial" w:hAnsi="Arial" w:cs="Arial"/>
          <w:sz w:val="22"/>
          <w:szCs w:val="22"/>
        </w:rPr>
        <w:t>.</w:t>
      </w:r>
    </w:p>
    <w:p w14:paraId="36B56682" w14:textId="77777777" w:rsidR="005767F5" w:rsidRDefault="005767F5" w:rsidP="00FD1677">
      <w:p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BA6262E" w14:textId="5C4818A3" w:rsidR="005767F5" w:rsidRPr="00FD1677" w:rsidRDefault="005767F5" w:rsidP="00FD1677">
      <w:pPr>
        <w:pStyle w:val="Prrafodelista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1677">
        <w:rPr>
          <w:rFonts w:ascii="Arial" w:hAnsi="Arial" w:cs="Arial"/>
          <w:sz w:val="22"/>
          <w:szCs w:val="22"/>
        </w:rPr>
        <w:t>Indagar si utilizó Manuales, Reglamentos o Protocolos del Ministerio utilizados para elaborar el dictamen.</w:t>
      </w:r>
    </w:p>
    <w:p w14:paraId="66613DA0" w14:textId="77777777" w:rsidR="005767F5" w:rsidRDefault="005767F5" w:rsidP="00FD1677">
      <w:p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28473D4" w14:textId="2C2A3D7D" w:rsidR="00754A95" w:rsidRPr="00FD1677" w:rsidRDefault="00754A95" w:rsidP="00FD1677">
      <w:pPr>
        <w:pStyle w:val="Prrafodelista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  <w:lang w:val="es-ES"/>
        </w:rPr>
      </w:pPr>
      <w:r w:rsidRPr="00FD1677">
        <w:rPr>
          <w:rFonts w:ascii="Arial" w:hAnsi="Arial" w:cs="Arial"/>
          <w:sz w:val="22"/>
          <w:szCs w:val="22"/>
          <w:lang w:val="es-ES"/>
        </w:rPr>
        <w:t>Señala que tiene experiencia en auditoría interna</w:t>
      </w:r>
      <w:r w:rsidR="00076895" w:rsidRPr="00FD1677">
        <w:rPr>
          <w:rFonts w:ascii="Arial" w:hAnsi="Arial" w:cs="Arial"/>
          <w:sz w:val="22"/>
          <w:szCs w:val="22"/>
          <w:lang w:val="es-ES"/>
        </w:rPr>
        <w:t xml:space="preserve"> pero no </w:t>
      </w:r>
      <w:r w:rsidR="005767F5" w:rsidRPr="00FD1677">
        <w:rPr>
          <w:rFonts w:ascii="Arial" w:hAnsi="Arial" w:cs="Arial"/>
          <w:sz w:val="22"/>
          <w:szCs w:val="22"/>
          <w:lang w:val="es-ES"/>
        </w:rPr>
        <w:t>los utilizó en el dictamen.</w:t>
      </w:r>
    </w:p>
    <w:p w14:paraId="1EEC4ED1" w14:textId="77777777" w:rsidR="00754A95" w:rsidRDefault="00754A95" w:rsidP="00FD1677">
      <w:p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  <w:lang w:val="es-ES"/>
        </w:rPr>
      </w:pPr>
    </w:p>
    <w:p w14:paraId="721D1572" w14:textId="291ACA21" w:rsidR="00EA01F8" w:rsidRPr="00FD1677" w:rsidRDefault="005767F5" w:rsidP="00FD1677">
      <w:pPr>
        <w:pStyle w:val="Prrafodelista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  <w:lang w:val="es-ES"/>
        </w:rPr>
      </w:pPr>
      <w:r w:rsidRPr="00FD1677">
        <w:rPr>
          <w:rFonts w:ascii="Arial" w:hAnsi="Arial" w:cs="Arial"/>
          <w:sz w:val="22"/>
          <w:szCs w:val="22"/>
          <w:lang w:val="es-ES"/>
        </w:rPr>
        <w:t xml:space="preserve">En la historia clínica dice que el señor </w:t>
      </w:r>
      <w:r w:rsidR="005E569D" w:rsidRPr="00FD1677">
        <w:rPr>
          <w:rFonts w:ascii="Arial" w:hAnsi="Arial" w:cs="Arial"/>
          <w:sz w:val="22"/>
          <w:szCs w:val="22"/>
          <w:lang w:val="es-ES"/>
        </w:rPr>
        <w:t>tenía</w:t>
      </w:r>
      <w:r w:rsidRPr="00FD1677">
        <w:rPr>
          <w:rFonts w:ascii="Arial" w:hAnsi="Arial" w:cs="Arial"/>
          <w:sz w:val="22"/>
          <w:szCs w:val="22"/>
          <w:lang w:val="es-ES"/>
        </w:rPr>
        <w:t xml:space="preserve"> demencia </w:t>
      </w:r>
      <w:r w:rsidR="003536C6" w:rsidRPr="00FD1677">
        <w:rPr>
          <w:rFonts w:ascii="Arial" w:hAnsi="Arial" w:cs="Arial"/>
          <w:sz w:val="22"/>
          <w:szCs w:val="22"/>
          <w:lang w:val="es-ES"/>
        </w:rPr>
        <w:t xml:space="preserve">cortical pero nunca se habla de demencia crónica. Pregunta: </w:t>
      </w:r>
      <w:r w:rsidR="00EA01F8" w:rsidRPr="00FD1677">
        <w:rPr>
          <w:rFonts w:ascii="Arial" w:hAnsi="Arial" w:cs="Arial"/>
          <w:sz w:val="22"/>
          <w:szCs w:val="22"/>
          <w:lang w:val="es-ES"/>
        </w:rPr>
        <w:t xml:space="preserve">¿En </w:t>
      </w:r>
      <w:r w:rsidR="00A239AD" w:rsidRPr="00FD1677">
        <w:rPr>
          <w:rFonts w:ascii="Arial" w:hAnsi="Arial" w:cs="Arial"/>
          <w:sz w:val="22"/>
          <w:szCs w:val="22"/>
          <w:lang w:val="es-ES"/>
        </w:rPr>
        <w:t>qué</w:t>
      </w:r>
      <w:r w:rsidR="00EA01F8" w:rsidRPr="00FD1677">
        <w:rPr>
          <w:rFonts w:ascii="Arial" w:hAnsi="Arial" w:cs="Arial"/>
          <w:sz w:val="22"/>
          <w:szCs w:val="22"/>
          <w:lang w:val="es-ES"/>
        </w:rPr>
        <w:t xml:space="preserve"> parte de la historia clínica dice que el señor </w:t>
      </w:r>
      <w:r w:rsidR="003536C6" w:rsidRPr="00FD1677">
        <w:rPr>
          <w:rFonts w:ascii="Arial" w:hAnsi="Arial" w:cs="Arial"/>
          <w:sz w:val="22"/>
          <w:szCs w:val="22"/>
          <w:lang w:val="es-ES"/>
        </w:rPr>
        <w:t>tenía</w:t>
      </w:r>
      <w:r w:rsidR="00EA01F8" w:rsidRPr="00FD1677">
        <w:rPr>
          <w:rFonts w:ascii="Arial" w:hAnsi="Arial" w:cs="Arial"/>
          <w:sz w:val="22"/>
          <w:szCs w:val="22"/>
          <w:lang w:val="es-ES"/>
        </w:rPr>
        <w:t xml:space="preserve"> demencia crónica?</w:t>
      </w:r>
    </w:p>
    <w:p w14:paraId="364E1B49" w14:textId="77777777" w:rsidR="00A239AD" w:rsidRDefault="00A239AD" w:rsidP="00FD1677">
      <w:p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  <w:lang w:val="es-ES"/>
        </w:rPr>
      </w:pPr>
    </w:p>
    <w:p w14:paraId="6D30EDC3" w14:textId="7F6CF8FF" w:rsidR="00A239AD" w:rsidRPr="00FD1677" w:rsidRDefault="00A239AD" w:rsidP="00FD1677">
      <w:pPr>
        <w:pStyle w:val="Prrafodelista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  <w:lang w:val="es-ES"/>
        </w:rPr>
      </w:pPr>
      <w:r w:rsidRPr="00FD1677">
        <w:rPr>
          <w:rFonts w:ascii="Arial" w:hAnsi="Arial" w:cs="Arial"/>
          <w:sz w:val="22"/>
          <w:szCs w:val="22"/>
          <w:lang w:val="es-ES"/>
        </w:rPr>
        <w:t xml:space="preserve">La demencia cortical tiene fases, como leve moderada y crónica, pero en la HC nunca se indicó el nivel. </w:t>
      </w:r>
      <w:r w:rsidR="0059616B">
        <w:rPr>
          <w:rFonts w:ascii="Arial" w:hAnsi="Arial" w:cs="Arial"/>
          <w:sz w:val="22"/>
          <w:szCs w:val="22"/>
          <w:lang w:val="es-ES"/>
        </w:rPr>
        <w:t>El perito a su juicio determino que era crónica. ¿Sin determinar por qué?</w:t>
      </w:r>
    </w:p>
    <w:p w14:paraId="0A18EA40" w14:textId="77777777" w:rsidR="00A239AD" w:rsidRDefault="00A239AD" w:rsidP="00FD1677">
      <w:p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  <w:lang w:val="es-ES"/>
        </w:rPr>
      </w:pPr>
    </w:p>
    <w:p w14:paraId="72F126AC" w14:textId="2484B251" w:rsidR="00EA01F8" w:rsidRPr="00357210" w:rsidRDefault="00564237" w:rsidP="00FD1677">
      <w:pPr>
        <w:pStyle w:val="Prrafodelista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  <w:lang w:val="es-ES"/>
        </w:rPr>
      </w:pPr>
      <w:r w:rsidRPr="00FD1677">
        <w:rPr>
          <w:rFonts w:ascii="Arial" w:hAnsi="Arial" w:cs="Arial"/>
          <w:sz w:val="22"/>
          <w:szCs w:val="22"/>
        </w:rPr>
        <w:lastRenderedPageBreak/>
        <w:t xml:space="preserve">Existe algún manual o procedimiento institucionalizado por el Ministerio de la Salud o autoridad en el área de la salud para establecer las valoraciones a las cuales debe someterse una persona que presente </w:t>
      </w:r>
      <w:r w:rsidR="00DD65F1">
        <w:rPr>
          <w:rFonts w:ascii="Arial" w:hAnsi="Arial" w:cs="Arial"/>
          <w:sz w:val="22"/>
          <w:szCs w:val="22"/>
        </w:rPr>
        <w:t xml:space="preserve">demencia </w:t>
      </w:r>
      <w:r w:rsidR="00357210">
        <w:rPr>
          <w:rFonts w:ascii="Arial" w:hAnsi="Arial" w:cs="Arial"/>
          <w:sz w:val="22"/>
          <w:szCs w:val="22"/>
        </w:rPr>
        <w:t>cortical.</w:t>
      </w:r>
    </w:p>
    <w:p w14:paraId="16CC15FC" w14:textId="77777777" w:rsidR="00357210" w:rsidRPr="00357210" w:rsidRDefault="00357210" w:rsidP="00357210">
      <w:pPr>
        <w:spacing w:after="0" w:line="312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4FB93C1" w14:textId="19277307" w:rsidR="002200EF" w:rsidRDefault="00DD65F1" w:rsidP="002200E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57210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Conoce usted cuál es el protocolo aplicable en relación con la patología de </w:t>
      </w:r>
      <w:r w:rsidR="00357210" w:rsidRPr="00357210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demencia cortical. </w:t>
      </w:r>
    </w:p>
    <w:p w14:paraId="19748EF7" w14:textId="77777777" w:rsidR="002200EF" w:rsidRPr="002200EF" w:rsidRDefault="002200EF" w:rsidP="002200EF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</w:p>
    <w:p w14:paraId="3831F092" w14:textId="6482B9E4" w:rsidR="002D7908" w:rsidRPr="002748A0" w:rsidRDefault="002200EF" w:rsidP="00FD1677">
      <w:pPr>
        <w:pStyle w:val="NormalWeb"/>
        <w:numPr>
          <w:ilvl w:val="0"/>
          <w:numId w:val="3"/>
        </w:numPr>
        <w:shd w:val="clear" w:color="auto" w:fill="FFFFFF"/>
        <w:spacing w:after="0" w:afterAutospacing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¿Porque determinó</w:t>
      </w:r>
      <w:r w:rsidR="00A25653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 que el paciente con demencia cortical </w:t>
      </w:r>
      <w:r w:rsidR="00FD1677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tenía</w:t>
      </w:r>
      <w:r w:rsidR="00A25653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 que ser hospitalizado, el 2</w:t>
      </w:r>
      <w:r w:rsidR="00FD1677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6</w:t>
      </w:r>
      <w:r w:rsidR="00A25653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 de mayo de 2021</w:t>
      </w:r>
      <w:r w:rsidR="00FD1677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, si usted no es experta en psiquiatría</w:t>
      </w:r>
      <w:r w:rsidR="00A25653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? </w:t>
      </w:r>
      <w:r w:rsidR="00FD1677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¿</w:t>
      </w:r>
      <w:r w:rsidR="005E569D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Qué</w:t>
      </w:r>
      <w:r w:rsidR="00FD1677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 métodos utilizó?</w:t>
      </w:r>
      <w:r w:rsidR="00A25653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 </w:t>
      </w:r>
      <w:r w:rsidR="00FD1677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¿Como llegó a esa conclusión?</w:t>
      </w:r>
    </w:p>
    <w:p w14:paraId="0D0654AF" w14:textId="77777777" w:rsidR="002D069B" w:rsidRPr="002D069B" w:rsidRDefault="002D069B" w:rsidP="00FD1677">
      <w:pPr>
        <w:pStyle w:val="NormalWeb"/>
        <w:shd w:val="clear" w:color="auto" w:fill="FFFFFF"/>
        <w:spacing w:before="0" w:beforeAutospacing="0" w:after="0" w:afterAutospacing="0" w:line="312" w:lineRule="auto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14:ligatures w14:val="none"/>
        </w:rPr>
      </w:pPr>
    </w:p>
    <w:p w14:paraId="23F45787" w14:textId="68AA03E4" w:rsidR="00DD65F1" w:rsidRPr="00DD65F1" w:rsidRDefault="00FD1677" w:rsidP="00DD65F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</w:pPr>
      <w:r w:rsidRPr="00FD1677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Indagar si ha rendido dictamen para este mismo apoderado de la parte actora.</w:t>
      </w:r>
      <w:r w:rsidR="00DD65F1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 </w:t>
      </w:r>
      <w:r w:rsidR="00DD65F1" w:rsidRPr="00DD65F1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 xml:space="preserve">Si es </w:t>
      </w:r>
      <w:r w:rsidR="005E569D" w:rsidRPr="00DD65F1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así</w:t>
      </w:r>
      <w:r w:rsidR="00DD65F1" w:rsidRPr="00DD65F1"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  <w:t>, porque no lo indicó en el dictamen.</w:t>
      </w:r>
      <w:bookmarkStart w:id="0" w:name="_GoBack"/>
      <w:bookmarkEnd w:id="0"/>
    </w:p>
    <w:p w14:paraId="581E4435" w14:textId="77777777" w:rsidR="00DD65F1" w:rsidRDefault="00DD65F1" w:rsidP="00DD65F1">
      <w:pPr>
        <w:pStyle w:val="Prrafodelista"/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</w:pPr>
    </w:p>
    <w:p w14:paraId="4249FF63" w14:textId="677D80E8" w:rsidR="00FD1677" w:rsidRPr="00FD1677" w:rsidRDefault="00FD1677" w:rsidP="002748A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14:ligatures w14:val="none"/>
        </w:rPr>
      </w:pPr>
    </w:p>
    <w:p w14:paraId="7ED29788" w14:textId="77777777" w:rsidR="00FD1677" w:rsidRPr="00FD1677" w:rsidRDefault="00FD1677" w:rsidP="002748A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14:ligatures w14:val="none"/>
        </w:rPr>
      </w:pPr>
    </w:p>
    <w:p w14:paraId="1DAFAB7E" w14:textId="77777777" w:rsidR="002D069B" w:rsidRPr="00FD1677" w:rsidRDefault="002D069B" w:rsidP="002748A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14:ligatures w14:val="none"/>
        </w:rPr>
      </w:pPr>
    </w:p>
    <w:sectPr w:rsidR="002D069B" w:rsidRPr="00FD16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126"/>
    <w:multiLevelType w:val="hybridMultilevel"/>
    <w:tmpl w:val="6276C1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70BC"/>
    <w:multiLevelType w:val="hybridMultilevel"/>
    <w:tmpl w:val="2E561228"/>
    <w:lvl w:ilvl="0" w:tplc="B170B21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D18A7"/>
    <w:multiLevelType w:val="hybridMultilevel"/>
    <w:tmpl w:val="C930D1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3C70"/>
    <w:multiLevelType w:val="hybridMultilevel"/>
    <w:tmpl w:val="26560C6E"/>
    <w:lvl w:ilvl="0" w:tplc="56E4CA0E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6751" w:hanging="360"/>
      </w:pPr>
    </w:lvl>
    <w:lvl w:ilvl="2" w:tplc="240A001B" w:tentative="1">
      <w:start w:val="1"/>
      <w:numFmt w:val="lowerRoman"/>
      <w:lvlText w:val="%3."/>
      <w:lvlJc w:val="right"/>
      <w:pPr>
        <w:ind w:left="7471" w:hanging="180"/>
      </w:pPr>
    </w:lvl>
    <w:lvl w:ilvl="3" w:tplc="240A000F" w:tentative="1">
      <w:start w:val="1"/>
      <w:numFmt w:val="decimal"/>
      <w:lvlText w:val="%4."/>
      <w:lvlJc w:val="left"/>
      <w:pPr>
        <w:ind w:left="8191" w:hanging="360"/>
      </w:pPr>
    </w:lvl>
    <w:lvl w:ilvl="4" w:tplc="240A0019" w:tentative="1">
      <w:start w:val="1"/>
      <w:numFmt w:val="lowerLetter"/>
      <w:lvlText w:val="%5."/>
      <w:lvlJc w:val="left"/>
      <w:pPr>
        <w:ind w:left="8911" w:hanging="360"/>
      </w:pPr>
    </w:lvl>
    <w:lvl w:ilvl="5" w:tplc="240A001B" w:tentative="1">
      <w:start w:val="1"/>
      <w:numFmt w:val="lowerRoman"/>
      <w:lvlText w:val="%6."/>
      <w:lvlJc w:val="right"/>
      <w:pPr>
        <w:ind w:left="9631" w:hanging="180"/>
      </w:pPr>
    </w:lvl>
    <w:lvl w:ilvl="6" w:tplc="240A000F" w:tentative="1">
      <w:start w:val="1"/>
      <w:numFmt w:val="decimal"/>
      <w:lvlText w:val="%7."/>
      <w:lvlJc w:val="left"/>
      <w:pPr>
        <w:ind w:left="10351" w:hanging="360"/>
      </w:pPr>
    </w:lvl>
    <w:lvl w:ilvl="7" w:tplc="240A0019" w:tentative="1">
      <w:start w:val="1"/>
      <w:numFmt w:val="lowerLetter"/>
      <w:lvlText w:val="%8."/>
      <w:lvlJc w:val="left"/>
      <w:pPr>
        <w:ind w:left="11071" w:hanging="360"/>
      </w:pPr>
    </w:lvl>
    <w:lvl w:ilvl="8" w:tplc="240A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83"/>
    <w:rsid w:val="00017B11"/>
    <w:rsid w:val="00063AB0"/>
    <w:rsid w:val="00076895"/>
    <w:rsid w:val="0007737B"/>
    <w:rsid w:val="00083025"/>
    <w:rsid w:val="00094EB7"/>
    <w:rsid w:val="000A61C0"/>
    <w:rsid w:val="000C408B"/>
    <w:rsid w:val="000D0ACD"/>
    <w:rsid w:val="000E62E4"/>
    <w:rsid w:val="001050E0"/>
    <w:rsid w:val="00116045"/>
    <w:rsid w:val="00130968"/>
    <w:rsid w:val="00151A8C"/>
    <w:rsid w:val="001978C0"/>
    <w:rsid w:val="001C60BF"/>
    <w:rsid w:val="001D088E"/>
    <w:rsid w:val="001E6D0B"/>
    <w:rsid w:val="001E6FE0"/>
    <w:rsid w:val="002200EF"/>
    <w:rsid w:val="002748A0"/>
    <w:rsid w:val="002B079B"/>
    <w:rsid w:val="002D069B"/>
    <w:rsid w:val="002D7908"/>
    <w:rsid w:val="002E03BE"/>
    <w:rsid w:val="002E35E0"/>
    <w:rsid w:val="002E4C9A"/>
    <w:rsid w:val="00342385"/>
    <w:rsid w:val="00342503"/>
    <w:rsid w:val="003536C6"/>
    <w:rsid w:val="003552FC"/>
    <w:rsid w:val="00357210"/>
    <w:rsid w:val="00396A82"/>
    <w:rsid w:val="003C7913"/>
    <w:rsid w:val="003D098B"/>
    <w:rsid w:val="003F393C"/>
    <w:rsid w:val="00415A17"/>
    <w:rsid w:val="0042165D"/>
    <w:rsid w:val="00423ED7"/>
    <w:rsid w:val="00432977"/>
    <w:rsid w:val="004466CB"/>
    <w:rsid w:val="00452483"/>
    <w:rsid w:val="00470F57"/>
    <w:rsid w:val="004739D1"/>
    <w:rsid w:val="004A0263"/>
    <w:rsid w:val="004B2858"/>
    <w:rsid w:val="00512474"/>
    <w:rsid w:val="005177F1"/>
    <w:rsid w:val="005440F9"/>
    <w:rsid w:val="0056024B"/>
    <w:rsid w:val="00564237"/>
    <w:rsid w:val="005767F5"/>
    <w:rsid w:val="0057703D"/>
    <w:rsid w:val="0059616B"/>
    <w:rsid w:val="005E569D"/>
    <w:rsid w:val="0060769C"/>
    <w:rsid w:val="006361A7"/>
    <w:rsid w:val="00651174"/>
    <w:rsid w:val="00651E72"/>
    <w:rsid w:val="0066533E"/>
    <w:rsid w:val="00672C85"/>
    <w:rsid w:val="00676371"/>
    <w:rsid w:val="00684026"/>
    <w:rsid w:val="00692C83"/>
    <w:rsid w:val="006C59EB"/>
    <w:rsid w:val="0070559B"/>
    <w:rsid w:val="00732793"/>
    <w:rsid w:val="007366E6"/>
    <w:rsid w:val="00754A95"/>
    <w:rsid w:val="00762569"/>
    <w:rsid w:val="0077078E"/>
    <w:rsid w:val="00784675"/>
    <w:rsid w:val="007A05AE"/>
    <w:rsid w:val="007F3813"/>
    <w:rsid w:val="00802876"/>
    <w:rsid w:val="00812F0B"/>
    <w:rsid w:val="008503C9"/>
    <w:rsid w:val="00861736"/>
    <w:rsid w:val="00866E6F"/>
    <w:rsid w:val="00887394"/>
    <w:rsid w:val="008A5377"/>
    <w:rsid w:val="008B33C1"/>
    <w:rsid w:val="008B770C"/>
    <w:rsid w:val="00942329"/>
    <w:rsid w:val="0095046D"/>
    <w:rsid w:val="00957A86"/>
    <w:rsid w:val="0096424D"/>
    <w:rsid w:val="00990FA6"/>
    <w:rsid w:val="009B753F"/>
    <w:rsid w:val="00A239AD"/>
    <w:rsid w:val="00A25653"/>
    <w:rsid w:val="00A42BFC"/>
    <w:rsid w:val="00A55C86"/>
    <w:rsid w:val="00A565F5"/>
    <w:rsid w:val="00A61184"/>
    <w:rsid w:val="00A863BA"/>
    <w:rsid w:val="00A875C3"/>
    <w:rsid w:val="00AD7E9F"/>
    <w:rsid w:val="00AF3F30"/>
    <w:rsid w:val="00AF7272"/>
    <w:rsid w:val="00B14928"/>
    <w:rsid w:val="00B30E54"/>
    <w:rsid w:val="00B43E2C"/>
    <w:rsid w:val="00B627DB"/>
    <w:rsid w:val="00B861BC"/>
    <w:rsid w:val="00BC5026"/>
    <w:rsid w:val="00BC787A"/>
    <w:rsid w:val="00BD0C45"/>
    <w:rsid w:val="00C040BD"/>
    <w:rsid w:val="00C45261"/>
    <w:rsid w:val="00C623A9"/>
    <w:rsid w:val="00C9016F"/>
    <w:rsid w:val="00C922A3"/>
    <w:rsid w:val="00CA60A8"/>
    <w:rsid w:val="00CC1084"/>
    <w:rsid w:val="00D100C8"/>
    <w:rsid w:val="00D257A5"/>
    <w:rsid w:val="00D35B94"/>
    <w:rsid w:val="00D63C0E"/>
    <w:rsid w:val="00DD65F1"/>
    <w:rsid w:val="00DE283C"/>
    <w:rsid w:val="00E23991"/>
    <w:rsid w:val="00E31F67"/>
    <w:rsid w:val="00E47BA2"/>
    <w:rsid w:val="00E5146D"/>
    <w:rsid w:val="00E54BD2"/>
    <w:rsid w:val="00E54FD0"/>
    <w:rsid w:val="00E6662D"/>
    <w:rsid w:val="00E7235B"/>
    <w:rsid w:val="00E774A0"/>
    <w:rsid w:val="00EA01F8"/>
    <w:rsid w:val="00EA6BF9"/>
    <w:rsid w:val="00EB12DC"/>
    <w:rsid w:val="00EB691D"/>
    <w:rsid w:val="00EE4091"/>
    <w:rsid w:val="00F31704"/>
    <w:rsid w:val="00F669C3"/>
    <w:rsid w:val="00F75465"/>
    <w:rsid w:val="00F80611"/>
    <w:rsid w:val="00F87FD0"/>
    <w:rsid w:val="00FA4777"/>
    <w:rsid w:val="00FA5A48"/>
    <w:rsid w:val="00FD1677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B916"/>
  <w15:chartTrackingRefBased/>
  <w15:docId w15:val="{80D4D6D7-ECBB-4DF3-A849-F59167C0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2E4"/>
  </w:style>
  <w:style w:type="paragraph" w:styleId="Ttulo1">
    <w:name w:val="heading 1"/>
    <w:basedOn w:val="Normal"/>
    <w:next w:val="Normal"/>
    <w:link w:val="Ttulo1Car"/>
    <w:uiPriority w:val="9"/>
    <w:qFormat/>
    <w:rsid w:val="00452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2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2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2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2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2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2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2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2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2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2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24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24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24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24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24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2483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452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5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2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2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2483"/>
    <w:rPr>
      <w:i/>
      <w:iCs/>
      <w:color w:val="404040" w:themeColor="text1" w:themeTint="BF"/>
    </w:rPr>
  </w:style>
  <w:style w:type="paragraph" w:styleId="Prrafodelista">
    <w:name w:val="List Paragraph"/>
    <w:aliases w:val="Bullets,titulo 3,List Paragraph,Ha,Nivel 1,Párrafo de lista1,Titulo 7,Párrafo de lista11"/>
    <w:basedOn w:val="Normal"/>
    <w:link w:val="PrrafodelistaCar"/>
    <w:uiPriority w:val="1"/>
    <w:qFormat/>
    <w:rsid w:val="004524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24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2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24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24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E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</w:rPr>
  </w:style>
  <w:style w:type="character" w:customStyle="1" w:styleId="markqfp7g8zay">
    <w:name w:val="markqfp7g8zay"/>
    <w:basedOn w:val="Fuentedeprrafopredeter"/>
    <w:rsid w:val="002E03BE"/>
  </w:style>
  <w:style w:type="character" w:customStyle="1" w:styleId="normaltextrun">
    <w:name w:val="normaltextrun"/>
    <w:basedOn w:val="Fuentedeprrafopredeter"/>
    <w:rsid w:val="004466CB"/>
  </w:style>
  <w:style w:type="character" w:customStyle="1" w:styleId="PrrafodelistaCar">
    <w:name w:val="Párrafo de lista Car"/>
    <w:aliases w:val="Bullets Car,titulo 3 Car,List Paragraph Car,Ha Car,Nivel 1 Car,Párrafo de lista1 Car,Titulo 7 Car,Párrafo de lista11 Car"/>
    <w:link w:val="Prrafodelista"/>
    <w:uiPriority w:val="1"/>
    <w:locked/>
    <w:rsid w:val="00B14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0138-DFC3-430F-A72D-B91C1D34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1189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Kennie Lorena García Madrid</dc:creator>
  <cp:keywords/>
  <dc:description/>
  <cp:lastModifiedBy>Gonzalo</cp:lastModifiedBy>
  <cp:revision>139</cp:revision>
  <dcterms:created xsi:type="dcterms:W3CDTF">2024-12-11T19:02:00Z</dcterms:created>
  <dcterms:modified xsi:type="dcterms:W3CDTF">2024-12-18T13:28:00Z</dcterms:modified>
</cp:coreProperties>
</file>