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E7F61" w:rsidRDefault="00906282" w:rsidP="008E7F61">
      <w:pPr>
        <w:pStyle w:val="Sinespaciado"/>
        <w:jc w:val="center"/>
        <w:rPr>
          <w:rFonts w:ascii="Century Gothic" w:hAnsi="Century Gothic"/>
          <w:b/>
          <w:bCs/>
        </w:rPr>
      </w:pPr>
      <w:r w:rsidRPr="008E7F61">
        <w:rPr>
          <w:rFonts w:ascii="Century Gothic" w:hAnsi="Century Gothic"/>
          <w:b/>
          <w:bCs/>
        </w:rPr>
        <w:t>INFORME PROCESOS JUDICIALES</w:t>
      </w:r>
    </w:p>
    <w:p w14:paraId="0720AAE0" w14:textId="77777777" w:rsidR="00375DE6" w:rsidRPr="00E27F6C" w:rsidRDefault="00375DE6" w:rsidP="00375DE6">
      <w:pPr>
        <w:spacing w:after="0"/>
        <w:rPr>
          <w:rFonts w:ascii="Century Gothic" w:hAnsi="Century Gothic"/>
          <w:b/>
        </w:rPr>
      </w:pPr>
    </w:p>
    <w:p w14:paraId="0B47FE9D" w14:textId="5BBC0F72" w:rsidR="00906282" w:rsidRPr="00E27F6C" w:rsidRDefault="00906282" w:rsidP="00906282">
      <w:pPr>
        <w:spacing w:line="360" w:lineRule="auto"/>
        <w:rPr>
          <w:rFonts w:ascii="Century Gothic" w:hAnsi="Century Gothic"/>
        </w:rPr>
      </w:pPr>
      <w:r w:rsidRPr="00E27F6C">
        <w:rPr>
          <w:rFonts w:ascii="Century Gothic" w:hAnsi="Century Gothic"/>
          <w:b/>
        </w:rPr>
        <w:t>Fecha Presentación del Informe</w:t>
      </w:r>
      <w:r w:rsidRPr="00E27F6C">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12-19T00:00:00Z">
            <w:dateFormat w:val="dd/MM/yyyy"/>
            <w:lid w:val="es-CO"/>
            <w:storeMappedDataAs w:val="dateTime"/>
            <w:calendar w:val="gregorian"/>
          </w:date>
        </w:sdtPr>
        <w:sdtEndPr>
          <w:rPr>
            <w:rStyle w:val="Fuentedeprrafopredeter"/>
            <w:rFonts w:asciiTheme="minorHAnsi" w:hAnsiTheme="minorHAnsi"/>
            <w:b/>
            <w:caps w:val="0"/>
          </w:rPr>
        </w:sdtEndPr>
        <w:sdtContent>
          <w:r w:rsidR="00000F1D" w:rsidRPr="00E27F6C">
            <w:rPr>
              <w:rStyle w:val="Estilo3"/>
              <w:b w:val="0"/>
              <w:bCs/>
            </w:rPr>
            <w:t>1</w:t>
          </w:r>
          <w:r w:rsidR="007D2FDE">
            <w:rPr>
              <w:rStyle w:val="Estilo3"/>
              <w:b w:val="0"/>
              <w:bCs/>
            </w:rPr>
            <w:t>9</w:t>
          </w:r>
          <w:r w:rsidR="00000F1D" w:rsidRPr="00E27F6C">
            <w:rPr>
              <w:rStyle w:val="Estilo3"/>
              <w:b w:val="0"/>
              <w:bCs/>
            </w:rPr>
            <w:t>/</w:t>
          </w:r>
          <w:r w:rsidR="007D2FDE">
            <w:rPr>
              <w:rStyle w:val="Estilo3"/>
              <w:b w:val="0"/>
              <w:bCs/>
            </w:rPr>
            <w:t>12</w:t>
          </w:r>
          <w:r w:rsidR="00000F1D" w:rsidRPr="00E27F6C">
            <w:rPr>
              <w:rStyle w:val="Estilo3"/>
              <w:b w:val="0"/>
              <w:bCs/>
            </w:rPr>
            <w:t>/2024</w:t>
          </w:r>
        </w:sdtContent>
      </w:sdt>
      <w:r w:rsidRPr="00E27F6C">
        <w:rPr>
          <w:rFonts w:ascii="Century Gothic" w:hAnsi="Century Gothic"/>
        </w:rPr>
        <w:t xml:space="preserve">                                       </w:t>
      </w:r>
    </w:p>
    <w:p w14:paraId="63FF7917" w14:textId="2FDA5BDE" w:rsidR="00906282" w:rsidRPr="007D2FDE" w:rsidRDefault="00906282" w:rsidP="00906282">
      <w:pPr>
        <w:spacing w:line="360" w:lineRule="auto"/>
        <w:rPr>
          <w:rFonts w:ascii="Century Gothic" w:hAnsi="Century Gothic"/>
          <w:color w:val="000000"/>
          <w:shd w:val="clear" w:color="auto" w:fill="FFFFFF"/>
        </w:rPr>
      </w:pPr>
      <w:r w:rsidRPr="00E27F6C">
        <w:rPr>
          <w:rFonts w:ascii="Century Gothic" w:hAnsi="Century Gothic"/>
          <w:b/>
        </w:rPr>
        <w:t>SGC</w:t>
      </w:r>
      <w:r w:rsidRPr="00E27F6C">
        <w:rPr>
          <w:rFonts w:ascii="Century Gothic" w:hAnsi="Century Gothic"/>
        </w:rPr>
        <w:t xml:space="preserve">: </w:t>
      </w:r>
      <w:r w:rsidR="008122C9" w:rsidRPr="00E27F6C">
        <w:rPr>
          <w:rFonts w:ascii="Century Gothic" w:hAnsi="Century Gothic"/>
          <w:color w:val="000000"/>
          <w:shd w:val="clear" w:color="auto" w:fill="FFFFFF"/>
        </w:rPr>
        <w:t> </w:t>
      </w:r>
      <w:r w:rsidR="007D2FDE" w:rsidRPr="007D2FDE">
        <w:rPr>
          <w:rFonts w:ascii="Century Gothic" w:hAnsi="Century Gothic"/>
          <w:color w:val="000000"/>
          <w:shd w:val="clear" w:color="auto" w:fill="FFFFFF"/>
        </w:rPr>
        <w:t>10717</w:t>
      </w:r>
    </w:p>
    <w:p w14:paraId="5AD56010" w14:textId="6F0DA34F" w:rsidR="00906282" w:rsidRPr="00E27F6C" w:rsidRDefault="00906282" w:rsidP="00906282">
      <w:pPr>
        <w:spacing w:line="360" w:lineRule="auto"/>
        <w:rPr>
          <w:rFonts w:ascii="Century Gothic" w:hAnsi="Century Gothic"/>
        </w:rPr>
      </w:pPr>
      <w:r w:rsidRPr="00E27F6C">
        <w:rPr>
          <w:rFonts w:ascii="Century Gothic" w:hAnsi="Century Gothic"/>
          <w:b/>
        </w:rPr>
        <w:t>Despacho Judicial</w:t>
      </w:r>
      <w:r w:rsidRPr="00E27F6C">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7D2FDE">
            <w:rPr>
              <w:rStyle w:val="Estilo3"/>
              <w:b w:val="0"/>
            </w:rPr>
            <w:t>57</w:t>
          </w:r>
        </w:sdtContent>
      </w:sdt>
      <w:r w:rsidRPr="00E27F6C">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21216" w:rsidRPr="00E27F6C">
            <w:rPr>
              <w:rStyle w:val="Estilo3"/>
              <w:b w:val="0"/>
            </w:rPr>
            <w:t>CIVIL DEL CIRCUITO</w:t>
          </w:r>
        </w:sdtContent>
      </w:sdt>
      <w:r w:rsidRPr="00E27F6C">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D2FDE">
            <w:rPr>
              <w:rStyle w:val="Estilo3"/>
              <w:b w:val="0"/>
            </w:rPr>
            <w:t>BOGOTÁ</w:t>
          </w:r>
        </w:sdtContent>
      </w:sdt>
    </w:p>
    <w:p w14:paraId="46D3378E" w14:textId="510DB9D9" w:rsidR="00906282" w:rsidRPr="00E27F6C" w:rsidRDefault="00906282" w:rsidP="00906282">
      <w:pPr>
        <w:spacing w:line="360" w:lineRule="auto"/>
        <w:rPr>
          <w:rFonts w:ascii="Century Gothic" w:hAnsi="Century Gothic"/>
        </w:rPr>
      </w:pPr>
      <w:r w:rsidRPr="00E27F6C">
        <w:rPr>
          <w:rFonts w:ascii="Century Gothic" w:hAnsi="Century Gothic"/>
          <w:b/>
        </w:rPr>
        <w:t>Radicado</w:t>
      </w:r>
      <w:r w:rsidRPr="00E27F6C">
        <w:rPr>
          <w:rFonts w:ascii="Century Gothic" w:hAnsi="Century Gothic"/>
        </w:rPr>
        <w:t>:</w:t>
      </w:r>
      <w:sdt>
        <w:sdtPr>
          <w:rPr>
            <w:rFonts w:ascii="Century Gothic" w:hAnsi="Century Gothic" w:cs="Arial"/>
          </w:rPr>
          <w:alias w:val="RADICADO"/>
          <w:tag w:val="RADICADO"/>
          <w:id w:val="-31735373"/>
          <w:placeholder>
            <w:docPart w:val="2A04DD0832104E9B9C6DF4825D091F15"/>
          </w:placeholder>
          <w:text/>
        </w:sdtPr>
        <w:sdtContent>
          <w:r w:rsidR="007D2FDE" w:rsidRPr="007D2FDE">
            <w:rPr>
              <w:rFonts w:ascii="Century Gothic" w:hAnsi="Century Gothic" w:cs="Arial"/>
            </w:rPr>
            <w:t>110013103045-2024-0018900</w:t>
          </w:r>
        </w:sdtContent>
      </w:sdt>
    </w:p>
    <w:p w14:paraId="59898224" w14:textId="547FED23" w:rsidR="00726FDE" w:rsidRPr="00E27F6C" w:rsidRDefault="00906282" w:rsidP="00E241DB">
      <w:pPr>
        <w:spacing w:line="360" w:lineRule="auto"/>
        <w:jc w:val="both"/>
        <w:rPr>
          <w:rStyle w:val="Estilo3"/>
          <w:b w:val="0"/>
          <w:bCs/>
        </w:rPr>
      </w:pPr>
      <w:r w:rsidRPr="00E27F6C">
        <w:rPr>
          <w:rFonts w:ascii="Century Gothic" w:hAnsi="Century Gothic"/>
          <w:b/>
        </w:rPr>
        <w:t>Demandante</w:t>
      </w:r>
      <w:r w:rsidRPr="00E27F6C">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7D2FDE">
            <w:rPr>
              <w:rStyle w:val="Estilo3"/>
              <w:b w:val="0"/>
              <w:bCs/>
            </w:rPr>
            <w:t>y</w:t>
          </w:r>
          <w:r w:rsidR="007D2FDE" w:rsidRPr="007D2FDE">
            <w:rPr>
              <w:rStyle w:val="Estilo3"/>
              <w:b w:val="0"/>
              <w:bCs/>
            </w:rPr>
            <w:t>olanda Tabares Henao, Freddy Hernán Pardo Vergara Y freddy Esteban Pardo Tabares</w:t>
          </w:r>
        </w:sdtContent>
      </w:sdt>
    </w:p>
    <w:p w14:paraId="1A4DA51E" w14:textId="38560286" w:rsidR="00906282" w:rsidRPr="00E27F6C" w:rsidRDefault="00906282" w:rsidP="008A73EA">
      <w:pPr>
        <w:spacing w:line="360" w:lineRule="auto"/>
        <w:jc w:val="both"/>
        <w:rPr>
          <w:rFonts w:ascii="Century Gothic" w:hAnsi="Century Gothic"/>
        </w:rPr>
      </w:pPr>
      <w:r w:rsidRPr="00E27F6C">
        <w:rPr>
          <w:rFonts w:ascii="Century Gothic" w:hAnsi="Century Gothic"/>
          <w:b/>
        </w:rPr>
        <w:t>Demandado</w:t>
      </w:r>
      <w:r w:rsidRPr="00E27F6C">
        <w:rPr>
          <w:rFonts w:ascii="Century Gothic" w:hAnsi="Century Gothic"/>
        </w:rPr>
        <w:t xml:space="preserve">:  </w:t>
      </w:r>
      <w:bookmarkStart w:id="0" w:name="_Hlk177055891"/>
      <w:sdt>
        <w:sdtPr>
          <w:rPr>
            <w:rStyle w:val="Estilo3"/>
            <w:b w:val="0"/>
            <w:bCs/>
          </w:rPr>
          <w:alias w:val="DEMANDADO"/>
          <w:tag w:val="DEMANDADO"/>
          <w:id w:val="-1253122746"/>
          <w:placeholder>
            <w:docPart w:val="386D94AF26E44C7FA7D6D77164D6A68F"/>
          </w:placeholder>
          <w:text/>
        </w:sdtPr>
        <w:sdtContent>
          <w:r w:rsidR="007D2FDE" w:rsidRPr="007D2FDE">
            <w:rPr>
              <w:rStyle w:val="Estilo3"/>
              <w:b w:val="0"/>
              <w:bCs/>
            </w:rPr>
            <w:t xml:space="preserve">Entidad Promotora De Salud Sanitas S.a. Y La Corporación </w:t>
          </w:r>
          <w:r w:rsidR="007D2FDE">
            <w:rPr>
              <w:rStyle w:val="Estilo3"/>
              <w:b w:val="0"/>
              <w:bCs/>
            </w:rPr>
            <w:t>hospitalaria</w:t>
          </w:r>
          <w:r w:rsidR="007D2FDE" w:rsidRPr="007D2FDE">
            <w:rPr>
              <w:rStyle w:val="Estilo3"/>
              <w:b w:val="0"/>
              <w:bCs/>
            </w:rPr>
            <w:t xml:space="preserve"> Juan Ciudad – Mederi</w:t>
          </w:r>
        </w:sdtContent>
      </w:sdt>
      <w:bookmarkEnd w:id="0"/>
    </w:p>
    <w:p w14:paraId="2FC4428C" w14:textId="7AD18BF7" w:rsidR="00906282" w:rsidRPr="00E27F6C" w:rsidRDefault="00906282" w:rsidP="00906282">
      <w:pPr>
        <w:spacing w:line="360" w:lineRule="auto"/>
        <w:rPr>
          <w:rFonts w:ascii="Century Gothic" w:hAnsi="Century Gothic"/>
        </w:rPr>
      </w:pPr>
      <w:r w:rsidRPr="00E27F6C">
        <w:rPr>
          <w:rFonts w:ascii="Century Gothic" w:hAnsi="Century Gothic"/>
          <w:b/>
        </w:rPr>
        <w:t>Llamados en Garantía</w:t>
      </w:r>
      <w:r w:rsidRPr="00E27F6C">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B555F7" w:rsidRPr="00E27F6C">
            <w:rPr>
              <w:rStyle w:val="Estilo3"/>
              <w:b w:val="0"/>
            </w:rPr>
            <w:t>LA EQUIDAD SEGUROS GENERALES</w:t>
          </w:r>
        </w:sdtContent>
      </w:sdt>
    </w:p>
    <w:p w14:paraId="1739B5C0" w14:textId="0308BCAD" w:rsidR="00906282" w:rsidRPr="00E27F6C" w:rsidRDefault="00906282" w:rsidP="00906282">
      <w:pPr>
        <w:spacing w:line="360" w:lineRule="auto"/>
        <w:rPr>
          <w:rFonts w:ascii="Century Gothic" w:hAnsi="Century Gothic"/>
        </w:rPr>
      </w:pPr>
      <w:r w:rsidRPr="00E27F6C">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E27F6C">
            <w:rPr>
              <w:rStyle w:val="Estilo3"/>
              <w:b w:val="0"/>
            </w:rPr>
            <w:t>LLAMADOS EN GARANTÍA</w:t>
          </w:r>
        </w:sdtContent>
      </w:sdt>
    </w:p>
    <w:p w14:paraId="1BFE45C4" w14:textId="11C60F7E" w:rsidR="00906282" w:rsidRPr="00E27F6C" w:rsidRDefault="00906282" w:rsidP="00906282">
      <w:pPr>
        <w:spacing w:line="360" w:lineRule="auto"/>
        <w:rPr>
          <w:rFonts w:ascii="Century Gothic" w:hAnsi="Century Gothic"/>
        </w:rPr>
      </w:pPr>
      <w:r w:rsidRPr="00E27F6C">
        <w:rPr>
          <w:rFonts w:ascii="Century Gothic" w:hAnsi="Century Gothic"/>
          <w:b/>
        </w:rPr>
        <w:t>Fecha Notificación</w:t>
      </w:r>
      <w:r w:rsidRPr="00E27F6C">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11-20T00:00:00Z">
            <w:dateFormat w:val="dd/MM/yyyy"/>
            <w:lid w:val="es-CO"/>
            <w:storeMappedDataAs w:val="dateTime"/>
            <w:calendar w:val="gregorian"/>
          </w:date>
        </w:sdtPr>
        <w:sdtEndPr>
          <w:rPr>
            <w:rStyle w:val="Fuentedeprrafopredeter"/>
            <w:rFonts w:asciiTheme="minorHAnsi" w:hAnsiTheme="minorHAnsi"/>
            <w:b/>
            <w:caps w:val="0"/>
          </w:rPr>
        </w:sdtEndPr>
        <w:sdtContent>
          <w:r w:rsidR="007D2FDE">
            <w:rPr>
              <w:rStyle w:val="Estilo3"/>
              <w:b w:val="0"/>
            </w:rPr>
            <w:t>20/11/2024</w:t>
          </w:r>
        </w:sdtContent>
      </w:sdt>
    </w:p>
    <w:p w14:paraId="04C740D4" w14:textId="05844271" w:rsidR="00906282" w:rsidRPr="00E27F6C" w:rsidRDefault="00906282" w:rsidP="00906282">
      <w:pPr>
        <w:spacing w:line="360" w:lineRule="auto"/>
        <w:rPr>
          <w:rFonts w:ascii="Century Gothic" w:hAnsi="Century Gothic"/>
        </w:rPr>
      </w:pPr>
      <w:r w:rsidRPr="00E27F6C">
        <w:rPr>
          <w:rFonts w:ascii="Century Gothic" w:hAnsi="Century Gothic"/>
          <w:b/>
        </w:rPr>
        <w:t>Fecha fin Término</w:t>
      </w:r>
      <w:r w:rsidRPr="00E27F6C">
        <w:rPr>
          <w:rFonts w:ascii="Century Gothic" w:hAnsi="Century Gothic"/>
        </w:rPr>
        <w:t xml:space="preserve">: </w:t>
      </w:r>
      <w:sdt>
        <w:sdtPr>
          <w:rPr>
            <w:rFonts w:ascii="Century Gothic" w:hAnsi="Century Gothic"/>
          </w:rPr>
          <w:id w:val="-62026635"/>
          <w:placeholder>
            <w:docPart w:val="058B5A2D546346938DE7ED9DE620076B"/>
          </w:placeholder>
          <w:date w:fullDate="2024-12-18T00:00:00Z">
            <w:dateFormat w:val="dd/MM/yyyy"/>
            <w:lid w:val="es-CO"/>
            <w:storeMappedDataAs w:val="dateTime"/>
            <w:calendar w:val="gregorian"/>
          </w:date>
        </w:sdtPr>
        <w:sdtContent>
          <w:r w:rsidR="007D2FDE">
            <w:rPr>
              <w:rFonts w:ascii="Century Gothic" w:hAnsi="Century Gothic"/>
            </w:rPr>
            <w:t>18/12/2024</w:t>
          </w:r>
        </w:sdtContent>
      </w:sdt>
    </w:p>
    <w:p w14:paraId="6B0EC993" w14:textId="1B75C7DC" w:rsidR="00906282" w:rsidRPr="00E27F6C" w:rsidRDefault="00906282" w:rsidP="00906282">
      <w:pPr>
        <w:spacing w:line="360" w:lineRule="auto"/>
        <w:rPr>
          <w:rFonts w:ascii="Century Gothic" w:hAnsi="Century Gothic"/>
        </w:rPr>
      </w:pPr>
      <w:r w:rsidRPr="00E27F6C">
        <w:rPr>
          <w:rFonts w:ascii="Century Gothic" w:hAnsi="Century Gothic"/>
          <w:b/>
        </w:rPr>
        <w:t>Fecha Siniestro</w:t>
      </w:r>
      <w:r w:rsidRPr="00E27F6C">
        <w:rPr>
          <w:rFonts w:ascii="Century Gothic" w:hAnsi="Century Gothic"/>
        </w:rPr>
        <w:t xml:space="preserve">:  </w:t>
      </w:r>
      <w:sdt>
        <w:sdtPr>
          <w:rPr>
            <w:rStyle w:val="Estilo3"/>
            <w:b w:val="0"/>
          </w:rPr>
          <w:alias w:val="FECHA"/>
          <w:tag w:val="FEHCA"/>
          <w:id w:val="1298109440"/>
          <w:placeholder>
            <w:docPart w:val="7B79A3F3CDAC4E69BBE8C2888BCC0E7C"/>
          </w:placeholder>
          <w:date w:fullDate="2019-11-01T00:00:00Z">
            <w:dateFormat w:val="dd/MM/yyyy"/>
            <w:lid w:val="es-CO"/>
            <w:storeMappedDataAs w:val="dateTime"/>
            <w:calendar w:val="gregorian"/>
          </w:date>
        </w:sdtPr>
        <w:sdtEndPr>
          <w:rPr>
            <w:rStyle w:val="Fuentedeprrafopredeter"/>
            <w:rFonts w:asciiTheme="minorHAnsi" w:hAnsiTheme="minorHAnsi"/>
            <w:b/>
            <w:caps w:val="0"/>
          </w:rPr>
        </w:sdtEndPr>
        <w:sdtContent>
          <w:r w:rsidR="007D2FDE">
            <w:rPr>
              <w:rStyle w:val="Estilo3"/>
              <w:b w:val="0"/>
            </w:rPr>
            <w:t>01/11/2019</w:t>
          </w:r>
        </w:sdtContent>
      </w:sdt>
    </w:p>
    <w:p w14:paraId="3157EDF6" w14:textId="6CC2F305" w:rsidR="00906282" w:rsidRPr="00E27F6C" w:rsidRDefault="00906282" w:rsidP="007D2FDE">
      <w:pPr>
        <w:spacing w:line="360" w:lineRule="auto"/>
        <w:jc w:val="both"/>
        <w:rPr>
          <w:rFonts w:ascii="Century Gothic" w:hAnsi="Century Gothic"/>
          <w:color w:val="FF0000"/>
        </w:rPr>
      </w:pPr>
      <w:r w:rsidRPr="00E27F6C">
        <w:rPr>
          <w:rFonts w:ascii="Century Gothic" w:hAnsi="Century Gothic"/>
          <w:b/>
        </w:rPr>
        <w:t>Hechos</w:t>
      </w:r>
      <w:r w:rsidRPr="00E27F6C">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7D2FDE" w:rsidRPr="007D2FDE">
            <w:rPr>
              <w:rFonts w:ascii="Century Gothic" w:hAnsi="Century Gothic"/>
            </w:rPr>
            <w:t xml:space="preserve">El 16 de febrero de 2016, la señora Yolanda Tabares Henao fue sometida a una cirugía ambulatoria para realizar una </w:t>
          </w:r>
          <w:proofErr w:type="spellStart"/>
          <w:r w:rsidR="007D2FDE" w:rsidRPr="007D2FDE">
            <w:rPr>
              <w:rFonts w:ascii="Century Gothic" w:hAnsi="Century Gothic"/>
            </w:rPr>
            <w:t>septoplastia</w:t>
          </w:r>
          <w:proofErr w:type="spellEnd"/>
          <w:r w:rsidR="007D2FDE" w:rsidRPr="007D2FDE">
            <w:rPr>
              <w:rFonts w:ascii="Century Gothic" w:hAnsi="Century Gothic"/>
            </w:rPr>
            <w:t xml:space="preserve">, </w:t>
          </w:r>
          <w:proofErr w:type="spellStart"/>
          <w:r w:rsidR="007D2FDE" w:rsidRPr="007D2FDE">
            <w:rPr>
              <w:rFonts w:ascii="Century Gothic" w:hAnsi="Century Gothic"/>
            </w:rPr>
            <w:t>turbinoplastia</w:t>
          </w:r>
          <w:proofErr w:type="spellEnd"/>
          <w:r w:rsidR="007D2FDE" w:rsidRPr="007D2FDE">
            <w:rPr>
              <w:rFonts w:ascii="Century Gothic" w:hAnsi="Century Gothic"/>
            </w:rPr>
            <w:t xml:space="preserve"> y </w:t>
          </w:r>
          <w:proofErr w:type="spellStart"/>
          <w:r w:rsidR="007D2FDE" w:rsidRPr="007D2FDE">
            <w:rPr>
              <w:rFonts w:ascii="Century Gothic" w:hAnsi="Century Gothic"/>
            </w:rPr>
            <w:t>etmoidectomía</w:t>
          </w:r>
          <w:proofErr w:type="spellEnd"/>
          <w:r w:rsidR="007D2FDE" w:rsidRPr="007D2FDE">
            <w:rPr>
              <w:rFonts w:ascii="Century Gothic" w:hAnsi="Century Gothic"/>
            </w:rPr>
            <w:t>. Durante el procedimiento, se presentaron complicaciones como sangrado severo y hallazgos de poliposis nasal severa con dehiscencia de la lámina papirácea derecha, documentados en la historia clínica. La paciente fue hospitalizada tras la cirugía debido a dolor intenso y episodios persistentes de vómito que no mejoraban con medicación.</w:t>
          </w:r>
          <w:r w:rsidR="007D2FDE">
            <w:rPr>
              <w:rFonts w:ascii="Century Gothic" w:hAnsi="Century Gothic"/>
            </w:rPr>
            <w:t xml:space="preserve"> </w:t>
          </w:r>
          <w:r w:rsidR="007D2FDE" w:rsidRPr="007D2FDE">
            <w:rPr>
              <w:rFonts w:ascii="Century Gothic" w:hAnsi="Century Gothic"/>
            </w:rPr>
            <w:t xml:space="preserve">El 20 de febrero de 2016, se realizó un seguimiento postquirúrgico donde se identificó un hematoma </w:t>
          </w:r>
          <w:proofErr w:type="spellStart"/>
          <w:r w:rsidR="007D2FDE" w:rsidRPr="007D2FDE">
            <w:rPr>
              <w:rFonts w:ascii="Century Gothic" w:hAnsi="Century Gothic"/>
            </w:rPr>
            <w:t>retrobulbar</w:t>
          </w:r>
          <w:proofErr w:type="spellEnd"/>
          <w:r w:rsidR="007D2FDE" w:rsidRPr="007D2FDE">
            <w:rPr>
              <w:rFonts w:ascii="Century Gothic" w:hAnsi="Century Gothic"/>
            </w:rPr>
            <w:t xml:space="preserve"> importante que desplazaba el nervio óptico derecho y músculos extraoculares. Este hallazgo fue confirmado mediante TAC de órbitas y posteriormente asociado a complicaciones del procedimiento quirúrgico.</w:t>
          </w:r>
          <w:r w:rsidR="007D2FDE">
            <w:rPr>
              <w:rFonts w:ascii="Century Gothic" w:hAnsi="Century Gothic"/>
            </w:rPr>
            <w:t xml:space="preserve"> </w:t>
          </w:r>
          <w:r w:rsidR="007D2FDE" w:rsidRPr="007D2FDE">
            <w:rPr>
              <w:rFonts w:ascii="Century Gothic" w:hAnsi="Century Gothic"/>
            </w:rPr>
            <w:t xml:space="preserve">El 23 de febrero de 2016, una junta </w:t>
          </w:r>
          <w:r w:rsidR="007D2FDE" w:rsidRPr="007D2FDE">
            <w:rPr>
              <w:rFonts w:ascii="Century Gothic" w:hAnsi="Century Gothic"/>
            </w:rPr>
            <w:lastRenderedPageBreak/>
            <w:t xml:space="preserve">médica determinó que no se debían realizar nuevas intervenciones quirúrgicas debido al riesgo de pérdida total de la visión en el ojo derecho. Se concluyó que la sección del III nervio craneal derecho y el hematoma </w:t>
          </w:r>
          <w:proofErr w:type="spellStart"/>
          <w:r w:rsidR="007D2FDE" w:rsidRPr="007D2FDE">
            <w:rPr>
              <w:rFonts w:ascii="Century Gothic" w:hAnsi="Century Gothic"/>
            </w:rPr>
            <w:t>retrobulbar</w:t>
          </w:r>
          <w:proofErr w:type="spellEnd"/>
          <w:r w:rsidR="007D2FDE" w:rsidRPr="007D2FDE">
            <w:rPr>
              <w:rFonts w:ascii="Century Gothic" w:hAnsi="Century Gothic"/>
            </w:rPr>
            <w:t xml:space="preserve"> eran complicaciones directas del procedimiento quirúrgico inicial.</w:t>
          </w:r>
          <w:r w:rsidR="007D2FDE">
            <w:rPr>
              <w:rFonts w:ascii="Century Gothic" w:hAnsi="Century Gothic"/>
            </w:rPr>
            <w:t xml:space="preserve"> </w:t>
          </w:r>
          <w:r w:rsidR="007D2FDE" w:rsidRPr="007D2FDE">
            <w:rPr>
              <w:rFonts w:ascii="Century Gothic" w:hAnsi="Century Gothic"/>
            </w:rPr>
            <w:t>El 12 de noviembre de 2016, la paciente fue diagnosticada con parálisis persistente del III nervio craneal derecho y caída total del párpado superior derecho. Este diagnóstico, junto con otros efectos secundarios como diplopía permanente, deformidad facial y limitación en los movimientos del ojo derecho, fue confirmado en sucesivas evaluaciones médicas y resonancias magnéticas.</w:t>
          </w:r>
          <w:r w:rsidR="007D2FDE">
            <w:rPr>
              <w:rFonts w:ascii="Century Gothic" w:hAnsi="Century Gothic"/>
            </w:rPr>
            <w:t xml:space="preserve"> </w:t>
          </w:r>
          <w:r w:rsidR="007D2FDE" w:rsidRPr="007D2FDE">
            <w:rPr>
              <w:rFonts w:ascii="Century Gothic" w:hAnsi="Century Gothic"/>
            </w:rPr>
            <w:t xml:space="preserve">El 16 de abril de 2018, un informe médico concluyó que la pérdida de capacidad laboral de la paciente era del 33.48%, estructurada desde el 16 de febrero de 2016, fecha de la cirugía. Las secuelas incluían fractura </w:t>
          </w:r>
          <w:proofErr w:type="spellStart"/>
          <w:r w:rsidR="007D2FDE" w:rsidRPr="007D2FDE">
            <w:rPr>
              <w:rFonts w:ascii="Century Gothic" w:hAnsi="Century Gothic"/>
            </w:rPr>
            <w:t>intraquirúrgica</w:t>
          </w:r>
          <w:proofErr w:type="spellEnd"/>
          <w:r w:rsidR="007D2FDE" w:rsidRPr="007D2FDE">
            <w:rPr>
              <w:rFonts w:ascii="Century Gothic" w:hAnsi="Century Gothic"/>
            </w:rPr>
            <w:t xml:space="preserve"> de la lámina papirácea, sección del III nervio craneal, deformidad facial, diplopía permanente y deterioro emocional diagnosticado como depresión leve.</w:t>
          </w:r>
        </w:sdtContent>
      </w:sdt>
    </w:p>
    <w:p w14:paraId="1550BD07" w14:textId="33ED5BC0" w:rsidR="00906282" w:rsidRPr="00E27F6C" w:rsidRDefault="00906282" w:rsidP="00906282">
      <w:pPr>
        <w:spacing w:line="360" w:lineRule="auto"/>
        <w:rPr>
          <w:rFonts w:ascii="Century Gothic" w:hAnsi="Century Gothic"/>
        </w:rPr>
      </w:pPr>
      <w:r w:rsidRPr="00E27F6C">
        <w:rPr>
          <w:rFonts w:ascii="Century Gothic" w:hAnsi="Century Gothic"/>
          <w:b/>
        </w:rPr>
        <w:t>Audiencia Prejudicial</w:t>
      </w:r>
      <w:r w:rsidRPr="00E27F6C">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657515" w:rsidRPr="00E27F6C">
            <w:rPr>
              <w:rStyle w:val="Estilo3"/>
              <w:b w:val="0"/>
            </w:rPr>
            <w:t>SI</w:t>
          </w:r>
        </w:sdtContent>
      </w:sdt>
    </w:p>
    <w:p w14:paraId="469A087A" w14:textId="4CCD56A5" w:rsidR="00E20E95" w:rsidRPr="005226B0" w:rsidRDefault="00906282" w:rsidP="007D2FDE">
      <w:pPr>
        <w:spacing w:line="360" w:lineRule="auto"/>
        <w:jc w:val="both"/>
        <w:rPr>
          <w:rFonts w:ascii="Century Gothic" w:hAnsi="Century Gothic"/>
        </w:rPr>
      </w:pPr>
      <w:r w:rsidRPr="00E27F6C">
        <w:rPr>
          <w:rFonts w:ascii="Century Gothic" w:hAnsi="Century Gothic"/>
          <w:b/>
        </w:rPr>
        <w:t>Pretensiones de la demanda</w:t>
      </w:r>
      <w:r w:rsidRPr="00E27F6C">
        <w:rPr>
          <w:rFonts w:ascii="Century Gothic" w:hAnsi="Century Gothic"/>
        </w:rPr>
        <w:t xml:space="preserve">:  </w:t>
      </w:r>
      <w:sdt>
        <w:sdtPr>
          <w:rPr>
            <w:rFonts w:ascii="Century Gothic" w:eastAsia="Times New Roman" w:hAnsi="Century Gothic" w:cs="Times New Roman"/>
          </w:rPr>
          <w:alias w:val="PRETENSIONES"/>
          <w:tag w:val="PRETENSIONES"/>
          <w:id w:val="-321507162"/>
          <w:placeholder>
            <w:docPart w:val="7057A85CA769434CB181176B5C5C151A"/>
          </w:placeholder>
          <w:text/>
        </w:sdtPr>
        <w:sdtContent>
          <w:r w:rsidR="007D2FDE" w:rsidRPr="007D2FDE">
            <w:rPr>
              <w:rFonts w:ascii="Century Gothic" w:eastAsia="Times New Roman" w:hAnsi="Century Gothic" w:cs="Times New Roman"/>
            </w:rPr>
            <w:t xml:space="preserve">Declarar la existencia de los contratos de prestación de servicios médicos y hospitalarios entre Yolanda Tabares Henao, la EPS Sanitas S.A. y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Declarar responsables a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y la EPS Sanitas S.A. por un error administrativo en los actos preparatorios a la cirugía realizada a Yolanda Tabares Henao.·         Declarar responsables solidariamente a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y la EPS Sanitas S.A. por los daños y perjuicios causados al patrimonio y salud de Yolanda Tabares Henao y los demandantes.·         Condenar a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y la EPS Sanitas S.A. al pago de las sumas necesarias para indemnizar los perjuicios materiales y morales.·         Condenar a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y la EPS Sanitas S.A. al pago de las sumas señaladas o demostradas en el proceso, actualizadas con corrección monetaria.·         Condenar a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y la EPS Sanitas S.A. al pago de </w:t>
          </w:r>
          <w:r w:rsidR="007D2FDE" w:rsidRPr="007D2FDE">
            <w:rPr>
              <w:rFonts w:ascii="Century Gothic" w:eastAsia="Times New Roman" w:hAnsi="Century Gothic" w:cs="Times New Roman"/>
            </w:rPr>
            <w:lastRenderedPageBreak/>
            <w:t>costas del proceso y agencias en derecho.</w:t>
          </w:r>
          <w:r w:rsidR="007D2FDE" w:rsidRPr="005226B0">
            <w:rPr>
              <w:rFonts w:ascii="Century Gothic" w:eastAsia="Times New Roman" w:hAnsi="Century Gothic" w:cs="Times New Roman"/>
            </w:rPr>
            <w:t xml:space="preserve">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$369.098.179 a favor de Yolanda Tabares Henao por pérdida de oportunidad. De condena: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$100.000.000 a favor de Yolanda Tabares Henao por pérdida de capacidad laboral.·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$3.000.000 a favor de Yolanda Tabares Henao por daño emergente.·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200 SMLMV a favor de Yolanda Tabares Henao por daños morales.·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100 SMLMV a favor de Freddy Hernán Pardo Verga y Freddy Esteban Pardo Tabares por daños morales.·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200 SMLMV a favor de Yolanda Tabares Henao, Freddy Hernán Pardo Verga y Freddy Esteban Pardo Tabares por daño a la vida en relación. Pretensiones subsidiarias: Declarar responsable a la EPS Sanitas S.A. por un error administrativo en los actos preparatorios a la cirugía realizada a Yolanda Tabares Henao.·         Declarar responsable a la EPS Sanitas S.A. por los daños y perjuicios causados al patrimonio y salud de los demandantes.·         Condenar a la EPS Sanitas S.A. al pago de las sumas necesarias para indemnizar los perjuicios materiales y morales.·         Condenar a la EPS Sanitas S.A. al pago de las sumas señaladas o demostradas, aplicando corrección monetaria. Pretensiones consecuenciales: Condenar a la EPS Sanitas S.A. al pago solidario de $369.098.179 a favor de Yolanda Tabares Henao por pérdida de oportunidad.·         Condenar a la EPS Sanitas S.A. al pago solidario de $100.000.000 a favor de Yolanda Tabares Henao por pérdida de capacidad laboral.·         Condenar a la EPS Sanitas S.A. al pago solidario de $3.000.000 a favor de Yolanda Tabares Henao por daño emergente.·         Condenar a la EPS Sanitas S.A. al pago solidario de 200 SMLMV a favor de Yolanda Tabares Henao por daños morales.·  Condenar a la EPS Sanitas S.A. al pago solidario de 100 SMLMV a favor </w:t>
          </w:r>
          <w:r w:rsidR="007D2FDE" w:rsidRPr="005226B0">
            <w:rPr>
              <w:rFonts w:ascii="Century Gothic" w:eastAsia="Times New Roman" w:hAnsi="Century Gothic" w:cs="Times New Roman"/>
            </w:rPr>
            <w:lastRenderedPageBreak/>
            <w:t>de Freddy Hernán Pardo Verga y Freddy Esteban Pardo Tabares por daños morales.·         Condenar a la EPS Sanitas S.A. al pago solidario de 200 SMLMV a favor de Yolanda Tabares Henao, Freddy Hernán Pardo Verga y Freddy Esteban Pardo Tabares por daño a la vida en relación.</w:t>
          </w:r>
        </w:sdtContent>
      </w:sdt>
    </w:p>
    <w:p w14:paraId="4D5CE540" w14:textId="77777777" w:rsidR="005206D1" w:rsidRPr="00E27F6C" w:rsidRDefault="00906282" w:rsidP="00613028">
      <w:pPr>
        <w:spacing w:line="360" w:lineRule="auto"/>
        <w:jc w:val="both"/>
        <w:rPr>
          <w:rFonts w:ascii="Century Gothic" w:hAnsi="Century Gothic"/>
          <w:b/>
        </w:rPr>
      </w:pPr>
      <w:r w:rsidRPr="00E27F6C">
        <w:rPr>
          <w:rFonts w:ascii="Century Gothic" w:hAnsi="Century Gothic"/>
          <w:b/>
        </w:rPr>
        <w:t xml:space="preserve">Liquidación objetivada de las pretensiones: </w:t>
      </w:r>
    </w:p>
    <w:p w14:paraId="4CCCFAA8" w14:textId="4259B0B6" w:rsidR="009C7C02" w:rsidRPr="00E27F6C" w:rsidRDefault="00D81C6B" w:rsidP="00657515">
      <w:pPr>
        <w:spacing w:line="360" w:lineRule="auto"/>
        <w:jc w:val="both"/>
        <w:rPr>
          <w:rFonts w:ascii="Century Gothic" w:hAnsi="Century Gothic"/>
          <w:bCs/>
        </w:rPr>
      </w:pPr>
      <w:r w:rsidRPr="00E27F6C">
        <w:rPr>
          <w:rFonts w:ascii="Century Gothic" w:hAnsi="Century Gothic"/>
          <w:bCs/>
        </w:rPr>
        <w:t>Como</w:t>
      </w:r>
      <w:r w:rsidR="00777CB6" w:rsidRPr="00E27F6C">
        <w:rPr>
          <w:rFonts w:ascii="Century Gothic" w:hAnsi="Century Gothic"/>
          <w:bCs/>
        </w:rPr>
        <w:t xml:space="preserve"> liquidación objetiva de perjuicios se ta</w:t>
      </w:r>
      <w:r w:rsidR="00587596" w:rsidRPr="00E27F6C">
        <w:rPr>
          <w:rFonts w:ascii="Century Gothic" w:hAnsi="Century Gothic"/>
          <w:bCs/>
        </w:rPr>
        <w:t>s</w:t>
      </w:r>
      <w:r w:rsidR="00777CB6" w:rsidRPr="00E27F6C">
        <w:rPr>
          <w:rFonts w:ascii="Century Gothic" w:hAnsi="Century Gothic"/>
          <w:bCs/>
        </w:rPr>
        <w:t xml:space="preserve">a la suma de </w:t>
      </w:r>
      <w:r w:rsidR="00F46DDB" w:rsidRPr="00F46DDB">
        <w:rPr>
          <w:rFonts w:ascii="Century Gothic" w:hAnsi="Century Gothic"/>
          <w:bCs/>
        </w:rPr>
        <w:t>$</w:t>
      </w:r>
      <w:r w:rsidR="008E7F61">
        <w:rPr>
          <w:rFonts w:ascii="Century Gothic" w:hAnsi="Century Gothic"/>
          <w:bCs/>
        </w:rPr>
        <w:t>59,257,213</w:t>
      </w:r>
      <w:r w:rsidR="00B3609D" w:rsidRPr="00E27F6C">
        <w:rPr>
          <w:rFonts w:ascii="Century Gothic" w:hAnsi="Century Gothic"/>
          <w:bCs/>
        </w:rPr>
        <w:t xml:space="preserve">. </w:t>
      </w:r>
      <w:r w:rsidR="00777CB6" w:rsidRPr="00E27F6C">
        <w:rPr>
          <w:rFonts w:ascii="Century Gothic" w:hAnsi="Century Gothic"/>
          <w:bCs/>
        </w:rPr>
        <w:t>Lo anterior, con base en los siguientes fundamentos:</w:t>
      </w:r>
      <w:bookmarkStart w:id="1" w:name="_Hlk142585138"/>
    </w:p>
    <w:p w14:paraId="26DC721C" w14:textId="0764BE1E" w:rsidR="00A866C9" w:rsidRPr="005A5A1A" w:rsidRDefault="009C7C02" w:rsidP="005A5A1A">
      <w:pPr>
        <w:pStyle w:val="Prrafodelista"/>
        <w:numPr>
          <w:ilvl w:val="0"/>
          <w:numId w:val="4"/>
        </w:numPr>
        <w:spacing w:line="360" w:lineRule="auto"/>
        <w:jc w:val="both"/>
        <w:rPr>
          <w:rFonts w:ascii="Century Gothic" w:hAnsi="Century Gothic"/>
        </w:rPr>
      </w:pPr>
      <w:bookmarkStart w:id="2" w:name="_Hlk177055791"/>
      <w:r w:rsidRPr="00E27F6C">
        <w:rPr>
          <w:rFonts w:ascii="Century Gothic" w:hAnsi="Century Gothic"/>
          <w:b/>
          <w:bCs/>
        </w:rPr>
        <w:t>Lucro cesante:</w:t>
      </w:r>
      <w:r w:rsidRPr="00E27F6C">
        <w:rPr>
          <w:rFonts w:ascii="Century Gothic" w:hAnsi="Century Gothic"/>
        </w:rPr>
        <w:t xml:space="preserve"> </w:t>
      </w:r>
      <w:r w:rsidR="008A73EA" w:rsidRPr="00E27F6C">
        <w:rPr>
          <w:rFonts w:ascii="Century Gothic" w:eastAsia="Times New Roman" w:hAnsi="Century Gothic" w:cs="Segoe UI"/>
          <w:color w:val="000000"/>
          <w:lang w:eastAsia="es-CO"/>
        </w:rPr>
        <w:t>$</w:t>
      </w:r>
      <w:r w:rsidR="00F46DDB">
        <w:rPr>
          <w:rFonts w:ascii="Century Gothic" w:eastAsia="Times New Roman" w:hAnsi="Century Gothic" w:cs="Segoe UI"/>
          <w:color w:val="000000"/>
          <w:lang w:eastAsia="es-CO"/>
        </w:rPr>
        <w:t>104.257.213</w:t>
      </w:r>
    </w:p>
    <w:p w14:paraId="665BEEF2" w14:textId="39359013" w:rsidR="00E73DD2" w:rsidRPr="00E27F6C" w:rsidRDefault="00E73DD2" w:rsidP="008A73EA">
      <w:pPr>
        <w:pStyle w:val="Prrafodelista"/>
        <w:shd w:val="clear" w:color="auto" w:fill="FFFFFF"/>
        <w:spacing w:beforeAutospacing="1" w:after="0" w:afterAutospacing="1" w:line="360" w:lineRule="auto"/>
        <w:jc w:val="both"/>
        <w:textAlignment w:val="baseline"/>
        <w:rPr>
          <w:rFonts w:ascii="Century Gothic" w:eastAsia="Times New Roman" w:hAnsi="Century Gothic" w:cs="Segoe UI"/>
          <w:color w:val="000000"/>
          <w:bdr w:val="none" w:sz="0" w:space="0" w:color="auto" w:frame="1"/>
          <w:lang w:eastAsia="es-CO"/>
        </w:rPr>
      </w:pPr>
      <w:r w:rsidRPr="00E27F6C">
        <w:rPr>
          <w:rFonts w:ascii="Century Gothic" w:eastAsia="Times New Roman" w:hAnsi="Century Gothic" w:cs="Segoe UI"/>
          <w:color w:val="000000"/>
          <w:lang w:eastAsia="es-CO"/>
        </w:rPr>
        <w:t>Se tendrá en cuenta la suma de: $</w:t>
      </w:r>
      <w:r w:rsidR="00F46DDB">
        <w:rPr>
          <w:rFonts w:ascii="Century Gothic" w:eastAsia="Times New Roman" w:hAnsi="Century Gothic" w:cs="Segoe UI"/>
          <w:color w:val="000000"/>
          <w:lang w:eastAsia="es-CO"/>
        </w:rPr>
        <w:t>50.984.704</w:t>
      </w:r>
      <w:r w:rsidRPr="00E27F6C">
        <w:rPr>
          <w:rFonts w:ascii="Century Gothic" w:eastAsia="Times New Roman" w:hAnsi="Century Gothic" w:cs="Segoe UI"/>
          <w:color w:val="000000"/>
          <w:lang w:eastAsia="es-CO"/>
        </w:rPr>
        <w:t xml:space="preserve"> por concepto de lucro cesante consolidado</w:t>
      </w:r>
      <w:r w:rsidR="00F46DDB">
        <w:rPr>
          <w:rFonts w:ascii="Century Gothic" w:eastAsia="Times New Roman" w:hAnsi="Century Gothic" w:cs="Segoe UI"/>
          <w:color w:val="000000"/>
          <w:lang w:eastAsia="es-CO"/>
        </w:rPr>
        <w:t xml:space="preserve"> y $53.272.509 por concepto de lucro cesante futuro</w:t>
      </w:r>
      <w:r w:rsidRPr="00E27F6C">
        <w:rPr>
          <w:rFonts w:ascii="Century Gothic" w:eastAsia="Times New Roman" w:hAnsi="Century Gothic" w:cs="Segoe UI"/>
          <w:color w:val="000000"/>
          <w:lang w:eastAsia="es-CO"/>
        </w:rPr>
        <w:t>. Al respecto, resulta necesario indicar que siguiendo los lineamientos de la sentencia SC20950-2017 con ponencia del doctor Ariel Salazar Ramírez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 como quiera que el extremo actor no acreditó con la presentación de la demanda el valor de los ingresos de</w:t>
      </w:r>
      <w:r w:rsidR="008A73EA" w:rsidRPr="00E27F6C">
        <w:rPr>
          <w:rFonts w:ascii="Century Gothic" w:eastAsia="Times New Roman" w:hAnsi="Century Gothic" w:cs="Segoe UI"/>
          <w:color w:val="000000"/>
          <w:lang w:eastAsia="es-CO"/>
        </w:rPr>
        <w:t xml:space="preserve"> la</w:t>
      </w:r>
      <w:r w:rsidRPr="00E27F6C">
        <w:rPr>
          <w:rFonts w:ascii="Century Gothic" w:eastAsia="Times New Roman" w:hAnsi="Century Gothic" w:cs="Segoe UI"/>
          <w:color w:val="000000"/>
          <w:lang w:eastAsia="es-CO"/>
        </w:rPr>
        <w:t xml:space="preserve"> señor</w:t>
      </w:r>
      <w:r w:rsidR="008A73EA" w:rsidRPr="00E27F6C">
        <w:rPr>
          <w:rFonts w:ascii="Century Gothic" w:eastAsia="Times New Roman" w:hAnsi="Century Gothic" w:cs="Segoe UI"/>
          <w:color w:val="000000"/>
          <w:lang w:eastAsia="es-CO"/>
        </w:rPr>
        <w:t>a</w:t>
      </w:r>
      <w:r w:rsidRPr="00E27F6C">
        <w:rPr>
          <w:rFonts w:ascii="Century Gothic" w:eastAsia="Times New Roman" w:hAnsi="Century Gothic" w:cs="Segoe UI"/>
          <w:color w:val="000000"/>
          <w:lang w:eastAsia="es-CO"/>
        </w:rPr>
        <w:t xml:space="preserve"> </w:t>
      </w:r>
      <w:r w:rsidR="008A73EA" w:rsidRPr="00E27F6C">
        <w:rPr>
          <w:rFonts w:ascii="Century Gothic" w:eastAsia="Times New Roman" w:hAnsi="Century Gothic" w:cs="Segoe UI"/>
          <w:color w:val="000000"/>
          <w:lang w:eastAsia="es-CO"/>
        </w:rPr>
        <w:t xml:space="preserve">Yolanda </w:t>
      </w:r>
      <w:r w:rsidR="005226B0">
        <w:rPr>
          <w:rFonts w:ascii="Century Gothic" w:eastAsia="Times New Roman" w:hAnsi="Century Gothic" w:cs="Segoe UI"/>
          <w:color w:val="000000"/>
          <w:lang w:eastAsia="es-CO"/>
        </w:rPr>
        <w:t>Tabares</w:t>
      </w:r>
      <w:r w:rsidRPr="00E27F6C">
        <w:rPr>
          <w:rFonts w:ascii="Century Gothic" w:eastAsia="Times New Roman" w:hAnsi="Century Gothic" w:cs="Segoe UI"/>
          <w:color w:val="000000"/>
          <w:lang w:eastAsia="es-CO"/>
        </w:rPr>
        <w:t xml:space="preserve">. En virtud de lo expuesto y siguiendo los lineamientos de la Corte, la suma a reconocer sería de </w:t>
      </w:r>
      <w:r w:rsidR="00F46DDB" w:rsidRPr="00E27F6C">
        <w:rPr>
          <w:rFonts w:ascii="Century Gothic" w:eastAsia="Times New Roman" w:hAnsi="Century Gothic" w:cs="Segoe UI"/>
          <w:color w:val="000000"/>
          <w:lang w:eastAsia="es-CO"/>
        </w:rPr>
        <w:t>$</w:t>
      </w:r>
      <w:r w:rsidR="00F46DDB">
        <w:rPr>
          <w:rFonts w:ascii="Century Gothic" w:eastAsia="Times New Roman" w:hAnsi="Century Gothic" w:cs="Segoe UI"/>
          <w:color w:val="000000"/>
          <w:lang w:eastAsia="es-CO"/>
        </w:rPr>
        <w:t xml:space="preserve">104.257.213 </w:t>
      </w:r>
      <w:r w:rsidRPr="00E27F6C">
        <w:rPr>
          <w:rFonts w:ascii="Century Gothic" w:eastAsia="Times New Roman" w:hAnsi="Century Gothic" w:cs="Segoe UI"/>
          <w:color w:val="000000"/>
          <w:lang w:eastAsia="es-CO"/>
        </w:rPr>
        <w:t xml:space="preserve">por lucro cesante consolidado. </w:t>
      </w:r>
    </w:p>
    <w:p w14:paraId="13C07217" w14:textId="77777777" w:rsidR="00CA757D" w:rsidRPr="00E27F6C" w:rsidRDefault="00CA757D" w:rsidP="00CA757D">
      <w:pPr>
        <w:pStyle w:val="Prrafodelista"/>
        <w:spacing w:line="360" w:lineRule="auto"/>
        <w:jc w:val="both"/>
        <w:rPr>
          <w:rFonts w:ascii="Century Gothic" w:hAnsi="Century Gothic"/>
        </w:rPr>
      </w:pPr>
    </w:p>
    <w:p w14:paraId="4CDA6EE7" w14:textId="5CE1438C" w:rsidR="00A866C9" w:rsidRPr="00E27F6C" w:rsidRDefault="004A2149" w:rsidP="00A866C9">
      <w:pPr>
        <w:pStyle w:val="Prrafodelista"/>
        <w:numPr>
          <w:ilvl w:val="0"/>
          <w:numId w:val="4"/>
        </w:numPr>
        <w:spacing w:line="360" w:lineRule="auto"/>
        <w:jc w:val="both"/>
        <w:rPr>
          <w:rFonts w:ascii="Century Gothic" w:hAnsi="Century Gothic"/>
        </w:rPr>
      </w:pPr>
      <w:r w:rsidRPr="00E27F6C">
        <w:rPr>
          <w:rFonts w:ascii="Century Gothic" w:hAnsi="Century Gothic"/>
          <w:b/>
          <w:bCs/>
        </w:rPr>
        <w:t>Daño moral</w:t>
      </w:r>
      <w:r w:rsidR="0029437D" w:rsidRPr="00E27F6C">
        <w:rPr>
          <w:rFonts w:ascii="Century Gothic" w:hAnsi="Century Gothic"/>
          <w:b/>
          <w:bCs/>
        </w:rPr>
        <w:t>:</w:t>
      </w:r>
      <w:r w:rsidR="0029437D" w:rsidRPr="00E27F6C">
        <w:rPr>
          <w:rFonts w:ascii="Century Gothic" w:hAnsi="Century Gothic"/>
        </w:rPr>
        <w:t xml:space="preserve"> </w:t>
      </w:r>
      <w:r w:rsidR="00A866C9" w:rsidRPr="00E27F6C">
        <w:rPr>
          <w:rFonts w:ascii="Century Gothic" w:hAnsi="Century Gothic"/>
        </w:rPr>
        <w:t>$</w:t>
      </w:r>
      <w:r w:rsidR="008E7F61">
        <w:rPr>
          <w:rFonts w:ascii="Century Gothic" w:hAnsi="Century Gothic"/>
        </w:rPr>
        <w:t>75</w:t>
      </w:r>
      <w:r w:rsidR="005A5A1A">
        <w:rPr>
          <w:rFonts w:ascii="Century Gothic" w:hAnsi="Century Gothic"/>
        </w:rPr>
        <w:t>.000.000</w:t>
      </w:r>
    </w:p>
    <w:p w14:paraId="7DFD7783" w14:textId="0961F550" w:rsidR="00A866C9" w:rsidRPr="00E27F6C" w:rsidRDefault="00D472EF" w:rsidP="00A866C9">
      <w:pPr>
        <w:pStyle w:val="Prrafodelista"/>
        <w:spacing w:line="360" w:lineRule="auto"/>
        <w:jc w:val="both"/>
        <w:rPr>
          <w:rFonts w:ascii="Century Gothic" w:hAnsi="Century Gothic"/>
        </w:rPr>
      </w:pPr>
      <w:r w:rsidRPr="00E27F6C">
        <w:rPr>
          <w:rFonts w:ascii="Century Gothic" w:hAnsi="Century Gothic"/>
        </w:rPr>
        <w:t>Se tomó como daño moral la suma de $</w:t>
      </w:r>
      <w:r w:rsidR="007A12B4">
        <w:rPr>
          <w:rFonts w:ascii="Century Gothic" w:hAnsi="Century Gothic"/>
        </w:rPr>
        <w:t>3</w:t>
      </w:r>
      <w:r w:rsidR="005A5A1A">
        <w:rPr>
          <w:rFonts w:ascii="Century Gothic" w:hAnsi="Century Gothic"/>
        </w:rPr>
        <w:t>0</w:t>
      </w:r>
      <w:r w:rsidR="00657515" w:rsidRPr="00E27F6C">
        <w:rPr>
          <w:rFonts w:ascii="Century Gothic" w:hAnsi="Century Gothic"/>
        </w:rPr>
        <w:t>.000.000</w:t>
      </w:r>
      <w:r w:rsidR="00C93FC4" w:rsidRPr="00E27F6C">
        <w:rPr>
          <w:rFonts w:ascii="Century Gothic" w:hAnsi="Century Gothic"/>
        </w:rPr>
        <w:t xml:space="preserve"> para </w:t>
      </w:r>
      <w:r w:rsidR="008F22B1" w:rsidRPr="00E27F6C">
        <w:rPr>
          <w:rFonts w:ascii="Century Gothic" w:hAnsi="Century Gothic"/>
        </w:rPr>
        <w:t xml:space="preserve">la señora </w:t>
      </w:r>
      <w:r w:rsidR="00657515" w:rsidRPr="00E27F6C">
        <w:rPr>
          <w:rFonts w:ascii="Century Gothic" w:hAnsi="Century Gothic"/>
        </w:rPr>
        <w:t xml:space="preserve">YOLANDA </w:t>
      </w:r>
      <w:r w:rsidR="005A5A1A">
        <w:rPr>
          <w:rFonts w:ascii="Century Gothic" w:hAnsi="Century Gothic"/>
        </w:rPr>
        <w:t>TABARES HENAO</w:t>
      </w:r>
      <w:r w:rsidR="00C93FC4" w:rsidRPr="00E27F6C">
        <w:rPr>
          <w:rFonts w:ascii="Century Gothic" w:hAnsi="Century Gothic"/>
        </w:rPr>
        <w:t xml:space="preserve">, </w:t>
      </w:r>
      <w:r w:rsidR="00657515" w:rsidRPr="00E27F6C">
        <w:rPr>
          <w:rFonts w:ascii="Century Gothic" w:hAnsi="Century Gothic"/>
        </w:rPr>
        <w:t xml:space="preserve">y </w:t>
      </w:r>
      <w:r w:rsidR="00C93FC4" w:rsidRPr="00E27F6C">
        <w:rPr>
          <w:rFonts w:ascii="Century Gothic" w:hAnsi="Century Gothic"/>
        </w:rPr>
        <w:t>$</w:t>
      </w:r>
      <w:r w:rsidR="007A12B4">
        <w:rPr>
          <w:rFonts w:ascii="Century Gothic" w:hAnsi="Century Gothic"/>
        </w:rPr>
        <w:t>15</w:t>
      </w:r>
      <w:r w:rsidR="00C93FC4" w:rsidRPr="00E27F6C">
        <w:rPr>
          <w:rFonts w:ascii="Century Gothic" w:hAnsi="Century Gothic"/>
        </w:rPr>
        <w:t>.</w:t>
      </w:r>
      <w:r w:rsidR="005A5A1A">
        <w:rPr>
          <w:rFonts w:ascii="Century Gothic" w:hAnsi="Century Gothic"/>
        </w:rPr>
        <w:t>0</w:t>
      </w:r>
      <w:r w:rsidR="00C93FC4" w:rsidRPr="00E27F6C">
        <w:rPr>
          <w:rFonts w:ascii="Century Gothic" w:hAnsi="Century Gothic"/>
        </w:rPr>
        <w:t>00.000 para</w:t>
      </w:r>
      <w:r w:rsidR="008F22B1" w:rsidRPr="00E27F6C">
        <w:rPr>
          <w:rFonts w:ascii="Century Gothic" w:hAnsi="Century Gothic"/>
        </w:rPr>
        <w:t xml:space="preserve"> </w:t>
      </w:r>
      <w:r w:rsidR="005A5A1A">
        <w:rPr>
          <w:rFonts w:ascii="Century Gothic" w:hAnsi="Century Gothic"/>
        </w:rPr>
        <w:t>FREDY HERNAN PARDO</w:t>
      </w:r>
      <w:r w:rsidR="005A5A1A" w:rsidRPr="00E27F6C">
        <w:rPr>
          <w:rFonts w:ascii="Century Gothic" w:hAnsi="Century Gothic"/>
        </w:rPr>
        <w:t xml:space="preserve"> </w:t>
      </w:r>
      <w:r w:rsidR="00657515" w:rsidRPr="00E27F6C">
        <w:rPr>
          <w:rFonts w:ascii="Century Gothic" w:hAnsi="Century Gothic"/>
        </w:rPr>
        <w:t>(</w:t>
      </w:r>
      <w:r w:rsidR="00624B85" w:rsidRPr="00E27F6C">
        <w:rPr>
          <w:rFonts w:ascii="Century Gothic" w:hAnsi="Century Gothic"/>
        </w:rPr>
        <w:t>cónyuge</w:t>
      </w:r>
      <w:r w:rsidR="00657515" w:rsidRPr="00E27F6C">
        <w:rPr>
          <w:rFonts w:ascii="Century Gothic" w:hAnsi="Century Gothic"/>
        </w:rPr>
        <w:t>), MICHAEL JORDYN OSPITIA (Hijo) y JUAN SEBASTIÁN OSPITIA (Hijo)</w:t>
      </w:r>
      <w:r w:rsidR="00A6662A" w:rsidRPr="00E27F6C">
        <w:rPr>
          <w:rFonts w:ascii="Century Gothic" w:hAnsi="Century Gothic"/>
        </w:rPr>
        <w:t xml:space="preserve"> </w:t>
      </w:r>
      <w:r w:rsidR="00624B85" w:rsidRPr="00E27F6C">
        <w:rPr>
          <w:rFonts w:ascii="Century Gothic" w:hAnsi="Century Gothic"/>
        </w:rPr>
        <w:t xml:space="preserve">a </w:t>
      </w:r>
      <w:r w:rsidR="00A6662A" w:rsidRPr="00E27F6C">
        <w:rPr>
          <w:rFonts w:ascii="Century Gothic" w:hAnsi="Century Gothic"/>
        </w:rPr>
        <w:t>cada uno</w:t>
      </w:r>
      <w:r w:rsidR="00C93FC4" w:rsidRPr="00E27F6C">
        <w:rPr>
          <w:rFonts w:ascii="Century Gothic" w:hAnsi="Century Gothic"/>
        </w:rPr>
        <w:t xml:space="preserve">, siguiendo el criterio jurisprudencial de la sentencia </w:t>
      </w:r>
      <w:r w:rsidR="00657515" w:rsidRPr="00E27F6C">
        <w:rPr>
          <w:rFonts w:ascii="Century Gothic" w:hAnsi="Century Gothic"/>
        </w:rPr>
        <w:t>SC780-2020 (</w:t>
      </w:r>
      <w:r w:rsidR="00C93FC4" w:rsidRPr="00E27F6C">
        <w:rPr>
          <w:rFonts w:ascii="Century Gothic" w:hAnsi="Century Gothic"/>
        </w:rPr>
        <w:t>M.P. Ariel Salazar Ramírez</w:t>
      </w:r>
      <w:r w:rsidR="00657515" w:rsidRPr="00E27F6C">
        <w:rPr>
          <w:rFonts w:ascii="Century Gothic" w:hAnsi="Century Gothic"/>
        </w:rPr>
        <w:t>)</w:t>
      </w:r>
      <w:r w:rsidR="00C93FC4" w:rsidRPr="00E27F6C">
        <w:rPr>
          <w:rFonts w:ascii="Century Gothic" w:hAnsi="Century Gothic"/>
        </w:rPr>
        <w:t xml:space="preserve">, que </w:t>
      </w:r>
      <w:r w:rsidR="00657515" w:rsidRPr="00E27F6C">
        <w:rPr>
          <w:rFonts w:ascii="Century Gothic" w:hAnsi="Century Gothic"/>
        </w:rPr>
        <w:t xml:space="preserve">otorgó </w:t>
      </w:r>
      <w:r w:rsidR="00A6662A" w:rsidRPr="00E27F6C">
        <w:rPr>
          <w:rFonts w:ascii="Century Gothic" w:hAnsi="Century Gothic"/>
        </w:rPr>
        <w:t>la suma de $</w:t>
      </w:r>
      <w:r w:rsidR="00E11B77">
        <w:rPr>
          <w:rFonts w:ascii="Century Gothic" w:hAnsi="Century Gothic"/>
        </w:rPr>
        <w:t>30</w:t>
      </w:r>
      <w:r w:rsidR="00A6662A" w:rsidRPr="00E27F6C">
        <w:rPr>
          <w:rFonts w:ascii="Century Gothic" w:hAnsi="Century Gothic"/>
        </w:rPr>
        <w:t>.000.000</w:t>
      </w:r>
      <w:r w:rsidR="00657515" w:rsidRPr="00E27F6C">
        <w:rPr>
          <w:rFonts w:ascii="Century Gothic" w:hAnsi="Century Gothic"/>
        </w:rPr>
        <w:t xml:space="preserve"> a </w:t>
      </w:r>
      <w:r w:rsidR="00A6662A" w:rsidRPr="00E27F6C">
        <w:rPr>
          <w:rFonts w:ascii="Century Gothic" w:hAnsi="Century Gothic"/>
        </w:rPr>
        <w:t xml:space="preserve">la </w:t>
      </w:r>
      <w:r w:rsidR="00657515" w:rsidRPr="00E27F6C">
        <w:rPr>
          <w:rFonts w:ascii="Century Gothic" w:hAnsi="Century Gothic"/>
        </w:rPr>
        <w:t xml:space="preserve">pasajera </w:t>
      </w:r>
      <w:r w:rsidR="00A6662A" w:rsidRPr="00E27F6C">
        <w:rPr>
          <w:rFonts w:ascii="Century Gothic" w:hAnsi="Century Gothic"/>
        </w:rPr>
        <w:t>de</w:t>
      </w:r>
      <w:r w:rsidR="00657515" w:rsidRPr="00E27F6C">
        <w:rPr>
          <w:rFonts w:ascii="Century Gothic" w:hAnsi="Century Gothic"/>
        </w:rPr>
        <w:t xml:space="preserve"> un vehículo</w:t>
      </w:r>
      <w:r w:rsidR="00A6662A" w:rsidRPr="00E27F6C">
        <w:rPr>
          <w:rFonts w:ascii="Century Gothic" w:hAnsi="Century Gothic"/>
        </w:rPr>
        <w:t>,</w:t>
      </w:r>
      <w:r w:rsidR="00657515" w:rsidRPr="00E27F6C">
        <w:rPr>
          <w:rFonts w:ascii="Century Gothic" w:hAnsi="Century Gothic"/>
        </w:rPr>
        <w:t xml:space="preserve"> </w:t>
      </w:r>
      <w:r w:rsidR="00A6662A" w:rsidRPr="00E27F6C">
        <w:rPr>
          <w:rFonts w:ascii="Century Gothic" w:hAnsi="Century Gothic"/>
        </w:rPr>
        <w:t>quien sufrió</w:t>
      </w:r>
      <w:r w:rsidR="00657515" w:rsidRPr="00E27F6C">
        <w:rPr>
          <w:rFonts w:ascii="Century Gothic" w:hAnsi="Century Gothic"/>
        </w:rPr>
        <w:t xml:space="preserve"> trauma craneano y fractura frontal</w:t>
      </w:r>
      <w:r w:rsidR="00C93FC4" w:rsidRPr="00E27F6C">
        <w:rPr>
          <w:rFonts w:ascii="Century Gothic" w:hAnsi="Century Gothic"/>
        </w:rPr>
        <w:t xml:space="preserve">. Considerando que </w:t>
      </w:r>
      <w:r w:rsidR="008F22B1" w:rsidRPr="00E27F6C">
        <w:rPr>
          <w:rFonts w:ascii="Century Gothic" w:hAnsi="Century Gothic"/>
        </w:rPr>
        <w:t xml:space="preserve">la señora </w:t>
      </w:r>
      <w:r w:rsidR="00657515" w:rsidRPr="00E27F6C">
        <w:rPr>
          <w:rFonts w:ascii="Century Gothic" w:hAnsi="Century Gothic"/>
        </w:rPr>
        <w:t>Ávila solo sufrió de una fractura en el humero</w:t>
      </w:r>
      <w:r w:rsidR="00BA3A58" w:rsidRPr="00E27F6C">
        <w:rPr>
          <w:rFonts w:ascii="Century Gothic" w:hAnsi="Century Gothic"/>
        </w:rPr>
        <w:t xml:space="preserve">, es pertinente </w:t>
      </w:r>
      <w:r w:rsidR="00BA3A58" w:rsidRPr="00E27F6C">
        <w:rPr>
          <w:rFonts w:ascii="Century Gothic" w:hAnsi="Century Gothic"/>
        </w:rPr>
        <w:lastRenderedPageBreak/>
        <w:t xml:space="preserve">reconocer </w:t>
      </w:r>
      <w:r w:rsidR="00657515" w:rsidRPr="00E27F6C">
        <w:rPr>
          <w:rFonts w:ascii="Century Gothic" w:hAnsi="Century Gothic"/>
        </w:rPr>
        <w:t>la mitad de aquella</w:t>
      </w:r>
      <w:r w:rsidR="00BA3A58" w:rsidRPr="00E27F6C">
        <w:rPr>
          <w:rFonts w:ascii="Century Gothic" w:hAnsi="Century Gothic"/>
        </w:rPr>
        <w:t xml:space="preserve"> suma</w:t>
      </w:r>
      <w:r w:rsidR="00624B85" w:rsidRPr="00E27F6C">
        <w:rPr>
          <w:rFonts w:ascii="Century Gothic" w:hAnsi="Century Gothic"/>
        </w:rPr>
        <w:t xml:space="preserve"> para la víctima directa, y ésta reducida en un 50% para cada uno de los familiares en primer grado.</w:t>
      </w:r>
    </w:p>
    <w:p w14:paraId="03801A98" w14:textId="77777777" w:rsidR="00A866C9" w:rsidRPr="00E27F6C" w:rsidRDefault="00A866C9" w:rsidP="00A866C9">
      <w:pPr>
        <w:pStyle w:val="Prrafodelista"/>
        <w:spacing w:line="360" w:lineRule="auto"/>
        <w:jc w:val="both"/>
        <w:rPr>
          <w:rFonts w:ascii="Century Gothic" w:hAnsi="Century Gothic"/>
        </w:rPr>
      </w:pPr>
    </w:p>
    <w:p w14:paraId="72AE28B0" w14:textId="2C59112B" w:rsidR="00A866C9" w:rsidRPr="00E27F6C" w:rsidRDefault="00B3609D" w:rsidP="00B3609D">
      <w:pPr>
        <w:pStyle w:val="Prrafodelista"/>
        <w:numPr>
          <w:ilvl w:val="0"/>
          <w:numId w:val="4"/>
        </w:numPr>
        <w:spacing w:line="360" w:lineRule="auto"/>
        <w:jc w:val="both"/>
        <w:rPr>
          <w:rFonts w:ascii="Century Gothic" w:hAnsi="Century Gothic"/>
        </w:rPr>
      </w:pPr>
      <w:r w:rsidRPr="00E27F6C">
        <w:rPr>
          <w:rFonts w:ascii="Century Gothic" w:hAnsi="Century Gothic"/>
          <w:b/>
          <w:bCs/>
        </w:rPr>
        <w:t>Daño a la vida en relación:</w:t>
      </w:r>
      <w:r w:rsidRPr="00E27F6C">
        <w:rPr>
          <w:rFonts w:ascii="Century Gothic" w:hAnsi="Century Gothic"/>
        </w:rPr>
        <w:t xml:space="preserve"> </w:t>
      </w:r>
      <w:r w:rsidR="00C93FC4" w:rsidRPr="00E27F6C">
        <w:rPr>
          <w:rFonts w:ascii="Century Gothic" w:hAnsi="Century Gothic"/>
        </w:rPr>
        <w:t>$</w:t>
      </w:r>
      <w:r w:rsidR="00F46DDB">
        <w:rPr>
          <w:rFonts w:ascii="Century Gothic" w:hAnsi="Century Gothic"/>
        </w:rPr>
        <w:t>3</w:t>
      </w:r>
      <w:r w:rsidR="00A6662A" w:rsidRPr="00E27F6C">
        <w:rPr>
          <w:rFonts w:ascii="Century Gothic" w:hAnsi="Century Gothic"/>
        </w:rPr>
        <w:t>0.000.000</w:t>
      </w:r>
      <w:r w:rsidR="00C93FC4" w:rsidRPr="00E27F6C">
        <w:rPr>
          <w:rFonts w:ascii="Century Gothic" w:hAnsi="Century Gothic"/>
        </w:rPr>
        <w:t xml:space="preserve"> </w:t>
      </w:r>
    </w:p>
    <w:p w14:paraId="3D28AC25" w14:textId="0F6807EF" w:rsidR="00B92724" w:rsidRDefault="00A866C9" w:rsidP="007A12B4">
      <w:pPr>
        <w:pStyle w:val="Prrafodelista"/>
        <w:spacing w:line="360" w:lineRule="auto"/>
        <w:jc w:val="both"/>
        <w:rPr>
          <w:rFonts w:ascii="Century Gothic" w:hAnsi="Century Gothic"/>
        </w:rPr>
      </w:pPr>
      <w:r w:rsidRPr="00E27F6C">
        <w:rPr>
          <w:rFonts w:ascii="Century Gothic" w:hAnsi="Century Gothic"/>
        </w:rPr>
        <w:t xml:space="preserve">Se reconoce la suma </w:t>
      </w:r>
      <w:r w:rsidR="0031273C" w:rsidRPr="00E27F6C">
        <w:rPr>
          <w:rFonts w:ascii="Century Gothic" w:hAnsi="Century Gothic"/>
        </w:rPr>
        <w:t>de $</w:t>
      </w:r>
      <w:r w:rsidR="00F46DDB">
        <w:rPr>
          <w:rFonts w:ascii="Century Gothic" w:hAnsi="Century Gothic"/>
        </w:rPr>
        <w:t>3</w:t>
      </w:r>
      <w:r w:rsidR="0031273C" w:rsidRPr="00E27F6C">
        <w:rPr>
          <w:rFonts w:ascii="Century Gothic" w:hAnsi="Century Gothic"/>
        </w:rPr>
        <w:t>0.000.000</w:t>
      </w:r>
      <w:r w:rsidRPr="00E27F6C">
        <w:rPr>
          <w:rFonts w:ascii="Century Gothic" w:hAnsi="Century Gothic"/>
        </w:rPr>
        <w:t xml:space="preserve"> a favor </w:t>
      </w:r>
      <w:r w:rsidR="00BA3A58" w:rsidRPr="00E27F6C">
        <w:rPr>
          <w:rFonts w:ascii="Century Gothic" w:hAnsi="Century Gothic"/>
        </w:rPr>
        <w:t xml:space="preserve">de la señora </w:t>
      </w:r>
      <w:r w:rsidR="00E73DD2" w:rsidRPr="00E27F6C">
        <w:rPr>
          <w:rFonts w:ascii="Century Gothic" w:hAnsi="Century Gothic"/>
        </w:rPr>
        <w:t xml:space="preserve">Yolanda </w:t>
      </w:r>
      <w:r w:rsidR="00E11B77">
        <w:rPr>
          <w:rFonts w:ascii="Century Gothic" w:hAnsi="Century Gothic"/>
        </w:rPr>
        <w:t>Tabares</w:t>
      </w:r>
      <w:r w:rsidR="008B0AFE" w:rsidRPr="00E27F6C">
        <w:rPr>
          <w:rFonts w:ascii="Century Gothic" w:hAnsi="Century Gothic"/>
        </w:rPr>
        <w:t>,</w:t>
      </w:r>
      <w:r w:rsidR="00A207C1" w:rsidRPr="00E27F6C">
        <w:rPr>
          <w:rFonts w:ascii="Century Gothic" w:hAnsi="Century Gothic"/>
        </w:rPr>
        <w:t xml:space="preserve"> p</w:t>
      </w:r>
      <w:r w:rsidR="00C93FC4" w:rsidRPr="00E27F6C">
        <w:rPr>
          <w:rFonts w:ascii="Century Gothic" w:hAnsi="Century Gothic"/>
        </w:rPr>
        <w:t xml:space="preserve">or cuanto </w:t>
      </w:r>
      <w:r w:rsidR="008B0AFE" w:rsidRPr="00E27F6C">
        <w:rPr>
          <w:rFonts w:ascii="Century Gothic" w:hAnsi="Century Gothic"/>
        </w:rPr>
        <w:t xml:space="preserve">la pérdida de movilidad en </w:t>
      </w:r>
      <w:r w:rsidR="00E11B77">
        <w:rPr>
          <w:rFonts w:ascii="Century Gothic" w:hAnsi="Century Gothic"/>
        </w:rPr>
        <w:t>el párpado de su ojo</w:t>
      </w:r>
      <w:r w:rsidR="008B0AFE" w:rsidRPr="00E27F6C">
        <w:rPr>
          <w:rFonts w:ascii="Century Gothic" w:hAnsi="Century Gothic"/>
        </w:rPr>
        <w:t xml:space="preserve"> derecho, como consecuencia de</w:t>
      </w:r>
      <w:r w:rsidR="00E11B77">
        <w:rPr>
          <w:rFonts w:ascii="Century Gothic" w:hAnsi="Century Gothic"/>
        </w:rPr>
        <w:t>l procedimiento realizado por la medico Andrea Mora Vera</w:t>
      </w:r>
      <w:r w:rsidR="008B0AFE" w:rsidRPr="00E27F6C">
        <w:rPr>
          <w:rFonts w:ascii="Century Gothic" w:hAnsi="Century Gothic"/>
        </w:rPr>
        <w:t xml:space="preserve">, </w:t>
      </w:r>
      <w:r w:rsidR="00C93FC4" w:rsidRPr="00E27F6C">
        <w:rPr>
          <w:rFonts w:ascii="Century Gothic" w:hAnsi="Century Gothic"/>
        </w:rPr>
        <w:t xml:space="preserve">sus condiciones </w:t>
      </w:r>
      <w:r w:rsidR="00C93FC4" w:rsidRPr="00E27F6C">
        <w:rPr>
          <w:rFonts w:ascii="Century Gothic" w:hAnsi="Century Gothic"/>
          <w:lang w:val="es-MX"/>
        </w:rPr>
        <w:t>de existencia y su integridad psicofísica</w:t>
      </w:r>
      <w:r w:rsidR="008B0AFE" w:rsidRPr="00E27F6C">
        <w:rPr>
          <w:rFonts w:ascii="Century Gothic" w:hAnsi="Century Gothic"/>
          <w:lang w:val="es-MX"/>
        </w:rPr>
        <w:t>,</w:t>
      </w:r>
      <w:r w:rsidR="00C93FC4" w:rsidRPr="00E27F6C">
        <w:rPr>
          <w:rFonts w:ascii="Century Gothic" w:hAnsi="Century Gothic"/>
          <w:lang w:val="es-MX"/>
        </w:rPr>
        <w:t xml:space="preserve"> de manera que no </w:t>
      </w:r>
      <w:r w:rsidR="008B0AFE" w:rsidRPr="00E27F6C">
        <w:rPr>
          <w:rFonts w:ascii="Century Gothic" w:hAnsi="Century Gothic"/>
          <w:lang w:val="es-MX"/>
        </w:rPr>
        <w:t>pudo</w:t>
      </w:r>
      <w:r w:rsidR="00BA3A58" w:rsidRPr="00E27F6C">
        <w:rPr>
          <w:rFonts w:ascii="Century Gothic" w:hAnsi="Century Gothic"/>
          <w:lang w:val="es-MX"/>
        </w:rPr>
        <w:t xml:space="preserve"> realizar una gran cantidad de actividades cotidianas</w:t>
      </w:r>
      <w:r w:rsidR="00C93FC4" w:rsidRPr="00E27F6C">
        <w:rPr>
          <w:rFonts w:ascii="Century Gothic" w:hAnsi="Century Gothic"/>
          <w:lang w:val="es-MX"/>
        </w:rPr>
        <w:t xml:space="preserve"> (</w:t>
      </w:r>
      <w:r w:rsidR="00C93FC4" w:rsidRPr="00E27F6C">
        <w:rPr>
          <w:rFonts w:ascii="Century Gothic" w:hAnsi="Century Gothic"/>
        </w:rPr>
        <w:t>Sentencia SC562-2020 M.P. Ariel Salazar Ramírez)</w:t>
      </w:r>
      <w:r w:rsidR="00BA3A58" w:rsidRPr="00E27F6C">
        <w:rPr>
          <w:rFonts w:ascii="Century Gothic" w:hAnsi="Century Gothic"/>
        </w:rPr>
        <w:t>.</w:t>
      </w:r>
      <w:r w:rsidR="0059648E" w:rsidRPr="00E27F6C">
        <w:rPr>
          <w:rFonts w:ascii="Century Gothic" w:hAnsi="Century Gothic"/>
        </w:rPr>
        <w:t xml:space="preserve"> </w:t>
      </w:r>
      <w:bookmarkEnd w:id="2"/>
    </w:p>
    <w:p w14:paraId="2B64B6C3" w14:textId="77777777" w:rsidR="007A12B4" w:rsidRPr="007A12B4" w:rsidRDefault="007A12B4" w:rsidP="007A12B4">
      <w:pPr>
        <w:pStyle w:val="Prrafodelista"/>
        <w:spacing w:line="360" w:lineRule="auto"/>
        <w:jc w:val="both"/>
        <w:rPr>
          <w:rFonts w:ascii="Century Gothic" w:hAnsi="Century Gothic"/>
        </w:rPr>
      </w:pPr>
    </w:p>
    <w:p w14:paraId="7B6E7AC4" w14:textId="1975F757" w:rsidR="004A2149" w:rsidRPr="00E27F6C" w:rsidRDefault="00777CB6" w:rsidP="00A47ECC">
      <w:pPr>
        <w:pStyle w:val="Prrafodelista"/>
        <w:numPr>
          <w:ilvl w:val="0"/>
          <w:numId w:val="4"/>
        </w:numPr>
        <w:spacing w:line="360" w:lineRule="auto"/>
        <w:jc w:val="both"/>
        <w:rPr>
          <w:rFonts w:ascii="Century Gothic" w:hAnsi="Century Gothic"/>
        </w:rPr>
      </w:pPr>
      <w:r w:rsidRPr="00E27F6C">
        <w:rPr>
          <w:rFonts w:ascii="Century Gothic" w:hAnsi="Century Gothic"/>
          <w:b/>
          <w:bCs/>
        </w:rPr>
        <w:t xml:space="preserve">Deducible: </w:t>
      </w:r>
      <w:r w:rsidR="00F46DDB">
        <w:rPr>
          <w:rFonts w:ascii="Century Gothic" w:hAnsi="Century Gothic"/>
        </w:rPr>
        <w:t xml:space="preserve">Se contempla un deducible del 10% para cada caso, mínimo en la suma de $150.000.000. Frente a ello, es importante resaltar que las pretensiones ascienden a un valor total de </w:t>
      </w:r>
      <w:r w:rsidR="00F46DDB" w:rsidRPr="00F46DDB">
        <w:rPr>
          <w:rFonts w:ascii="Century Gothic" w:hAnsi="Century Gothic"/>
          <w:bCs/>
        </w:rPr>
        <w:t>$</w:t>
      </w:r>
      <w:r w:rsidR="008E7F61">
        <w:rPr>
          <w:rFonts w:ascii="Century Gothic" w:hAnsi="Century Gothic"/>
          <w:bCs/>
        </w:rPr>
        <w:t>209,257,213</w:t>
      </w:r>
      <w:r w:rsidR="00F46DDB">
        <w:rPr>
          <w:rFonts w:ascii="Century Gothic" w:hAnsi="Century Gothic"/>
          <w:bCs/>
        </w:rPr>
        <w:t xml:space="preserve">, de modo que aplicando el deducible antes mencionado, la totalidad de las pretensiones ascienden a la suma de </w:t>
      </w:r>
      <w:r w:rsidR="00F46DDB" w:rsidRPr="00F46DDB">
        <w:rPr>
          <w:rFonts w:ascii="Century Gothic" w:hAnsi="Century Gothic"/>
          <w:bCs/>
        </w:rPr>
        <w:t>$</w:t>
      </w:r>
      <w:r w:rsidR="008E7F61">
        <w:rPr>
          <w:rFonts w:ascii="Century Gothic" w:hAnsi="Century Gothic"/>
          <w:bCs/>
        </w:rPr>
        <w:t>59,257,213.</w:t>
      </w:r>
    </w:p>
    <w:bookmarkEnd w:id="1"/>
    <w:p w14:paraId="5066E994" w14:textId="77777777" w:rsidR="00FD07C5" w:rsidRPr="00E27F6C" w:rsidRDefault="00906282" w:rsidP="00A47ECC">
      <w:pPr>
        <w:spacing w:line="360" w:lineRule="auto"/>
        <w:jc w:val="both"/>
        <w:rPr>
          <w:rFonts w:ascii="Century Gothic" w:hAnsi="Century Gothic"/>
        </w:rPr>
      </w:pPr>
      <w:r w:rsidRPr="00E27F6C">
        <w:rPr>
          <w:rFonts w:ascii="Century Gothic" w:hAnsi="Century Gothic"/>
          <w:b/>
        </w:rPr>
        <w:t>Excepciones</w:t>
      </w:r>
      <w:r w:rsidRPr="00E27F6C">
        <w:rPr>
          <w:rFonts w:ascii="Century Gothic" w:hAnsi="Century Gothic"/>
        </w:rPr>
        <w:t>:</w:t>
      </w:r>
    </w:p>
    <w:p w14:paraId="32829821" w14:textId="54CFC1DF" w:rsidR="00DD5505" w:rsidRPr="00E27F6C" w:rsidRDefault="00DD5505" w:rsidP="00DD5505">
      <w:pPr>
        <w:pStyle w:val="Prrafodelista"/>
        <w:numPr>
          <w:ilvl w:val="0"/>
          <w:numId w:val="5"/>
        </w:numPr>
        <w:spacing w:line="360" w:lineRule="auto"/>
        <w:jc w:val="both"/>
        <w:rPr>
          <w:rFonts w:ascii="Century Gothic" w:hAnsi="Century Gothic"/>
          <w:b/>
          <w:bCs/>
        </w:rPr>
      </w:pPr>
      <w:r w:rsidRPr="00E27F6C">
        <w:rPr>
          <w:rFonts w:ascii="Century Gothic" w:hAnsi="Century Gothic"/>
          <w:b/>
          <w:bCs/>
        </w:rPr>
        <w:t xml:space="preserve">EXCEPCIONES DE FONDO FRENTE A LA DEMANDA: </w:t>
      </w:r>
    </w:p>
    <w:p w14:paraId="5712FC69" w14:textId="77777777" w:rsidR="00DD5505" w:rsidRPr="00E27F6C" w:rsidRDefault="00DD5505" w:rsidP="00ED652F">
      <w:pPr>
        <w:pStyle w:val="Prrafodelista"/>
        <w:numPr>
          <w:ilvl w:val="1"/>
          <w:numId w:val="5"/>
        </w:numPr>
        <w:spacing w:line="360" w:lineRule="auto"/>
        <w:jc w:val="both"/>
        <w:rPr>
          <w:rFonts w:ascii="Century Gothic" w:hAnsi="Century Gothic"/>
        </w:rPr>
      </w:pPr>
      <w:r w:rsidRPr="00E27F6C">
        <w:rPr>
          <w:rFonts w:ascii="Century Gothic" w:hAnsi="Century Gothic"/>
        </w:rPr>
        <w:t xml:space="preserve">EXCEPCIONES PLANTEADAS POR QUIEN FORMULÓ EL LLAMAMIENTO EN GARANTÍA A MI REPRESENTADA. </w:t>
      </w:r>
    </w:p>
    <w:p w14:paraId="5C1C30C3"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 xml:space="preserve">INEXISTENCIA DE RESPONSABILIDAD DE EPS SANITAS COMO CONSECUENCIA DEL CUMPLIMIENTO DE LAS OBLIGACIONES LEGALES QUE LE CORRESPONDEN COMO ENTIDAD PROMOTORA DE SALUD. </w:t>
      </w:r>
    </w:p>
    <w:p w14:paraId="120B449F"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INEXISTENCIA DE FALLA MÉDICA Y DE RESPONSABILIDAD DEBIDO A LA PRESTACIÓN Y TRATAMIENTO ADECUADO, DILIGENTE, CUIDADOSO Y  CARENTE DE CULPA Y REALIZADO POR EL EXTREMO PASIVO.</w:t>
      </w:r>
    </w:p>
    <w:p w14:paraId="11B17140" w14:textId="7B50ADB1" w:rsidR="00DD5505" w:rsidRPr="00E27F6C"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 xml:space="preserve">IMPROCEDENCIA DEL RECONOCIMIENTO DEL DAÑO EMERGENTE </w:t>
      </w:r>
      <w:r w:rsidR="00DD5505" w:rsidRPr="00E27F6C">
        <w:rPr>
          <w:rFonts w:ascii="Century Gothic" w:hAnsi="Century Gothic"/>
        </w:rPr>
        <w:t>IMPROCEDENCIA DEL RECONOCIMIENTO DE LUCRO CESANTE</w:t>
      </w:r>
    </w:p>
    <w:p w14:paraId="426E9966"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lastRenderedPageBreak/>
        <w:t>IMPROCEDENCIA DEL RECONOCIMIENTO Y TASACIÓN EXORBITANTE DEL DAÑO MORAL.</w:t>
      </w:r>
    </w:p>
    <w:p w14:paraId="73E858A8" w14:textId="77777777" w:rsidR="00DD5505" w:rsidRPr="00E27F6C" w:rsidRDefault="00DD5505" w:rsidP="00ED652F">
      <w:pPr>
        <w:pStyle w:val="Prrafodelista"/>
        <w:numPr>
          <w:ilvl w:val="1"/>
          <w:numId w:val="5"/>
        </w:numPr>
        <w:spacing w:line="360" w:lineRule="auto"/>
        <w:rPr>
          <w:rFonts w:ascii="Century Gothic" w:hAnsi="Century Gothic"/>
        </w:rPr>
      </w:pPr>
      <w:r w:rsidRPr="00E27F6C">
        <w:rPr>
          <w:rFonts w:ascii="Century Gothic" w:hAnsi="Century Gothic"/>
        </w:rPr>
        <w:t>IMPROCEDENCIA DE RECONOCIMIENTO DEL DAÑO A LA VIDA EN RELACIÓN</w:t>
      </w:r>
    </w:p>
    <w:p w14:paraId="51022ED7" w14:textId="77777777" w:rsidR="00DD5505" w:rsidRPr="00E27F6C" w:rsidRDefault="00DD5505" w:rsidP="00ED652F">
      <w:pPr>
        <w:pStyle w:val="Prrafodelista"/>
        <w:numPr>
          <w:ilvl w:val="1"/>
          <w:numId w:val="5"/>
        </w:numPr>
        <w:spacing w:line="360" w:lineRule="auto"/>
        <w:jc w:val="both"/>
        <w:rPr>
          <w:rFonts w:ascii="Century Gothic" w:hAnsi="Century Gothic"/>
        </w:rPr>
      </w:pPr>
      <w:r w:rsidRPr="00E27F6C">
        <w:rPr>
          <w:rFonts w:ascii="Century Gothic" w:hAnsi="Century Gothic"/>
        </w:rPr>
        <w:t>GENÉRICA O INNOMINADA.</w:t>
      </w:r>
    </w:p>
    <w:p w14:paraId="5BCBDFFF" w14:textId="77777777" w:rsidR="00DD5505" w:rsidRPr="00E27F6C" w:rsidRDefault="00DD5505" w:rsidP="00DD5505">
      <w:pPr>
        <w:pStyle w:val="Prrafodelista"/>
        <w:spacing w:line="360" w:lineRule="auto"/>
        <w:ind w:left="1080"/>
        <w:jc w:val="both"/>
        <w:rPr>
          <w:rFonts w:ascii="Century Gothic" w:hAnsi="Century Gothic"/>
        </w:rPr>
      </w:pPr>
    </w:p>
    <w:p w14:paraId="375D1713" w14:textId="12066FA4" w:rsidR="00DD5505" w:rsidRPr="00E27F6C" w:rsidRDefault="00DD5505" w:rsidP="00DD5505">
      <w:pPr>
        <w:pStyle w:val="Prrafodelista"/>
        <w:numPr>
          <w:ilvl w:val="0"/>
          <w:numId w:val="5"/>
        </w:numPr>
        <w:spacing w:line="360" w:lineRule="auto"/>
        <w:jc w:val="both"/>
        <w:rPr>
          <w:rFonts w:ascii="Century Gothic" w:hAnsi="Century Gothic"/>
          <w:b/>
          <w:bCs/>
        </w:rPr>
      </w:pPr>
      <w:r w:rsidRPr="00E27F6C">
        <w:rPr>
          <w:rFonts w:ascii="Century Gothic" w:hAnsi="Century Gothic"/>
          <w:b/>
          <w:bCs/>
        </w:rPr>
        <w:t xml:space="preserve">EXCEPCIONES DE FONDO FRENTE </w:t>
      </w:r>
      <w:r w:rsidR="00ED652F">
        <w:rPr>
          <w:rFonts w:ascii="Century Gothic" w:hAnsi="Century Gothic"/>
          <w:b/>
          <w:bCs/>
        </w:rPr>
        <w:t>AL LLAMAMIENTO EN GARANTÍA</w:t>
      </w:r>
      <w:r w:rsidRPr="00E27F6C">
        <w:rPr>
          <w:rFonts w:ascii="Century Gothic" w:hAnsi="Century Gothic"/>
          <w:b/>
          <w:bCs/>
        </w:rPr>
        <w:t xml:space="preserve"> </w:t>
      </w:r>
    </w:p>
    <w:p w14:paraId="29670910"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PRESCRIPCIÓN DE LA ACCIÓN DERIVADA DEL CONTRATO DE SEGURO.</w:t>
      </w:r>
    </w:p>
    <w:p w14:paraId="5BFE711B"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FALTA DE COBERTURA MATERIAL AL ESTAR ANTE RIESGOS EXPRESAMENTE EXCLUIDOS DE AMPARO – NUMERAL 9 DEL LITERAL C “EXCLUSIONES APLICABLES A TODAS LAS COBETURAS”</w:t>
      </w:r>
    </w:p>
    <w:p w14:paraId="084BA7A3"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NO EXISTE OBLIGACIÓN INDEMNIZATORIA A CARGO DE LA EQUIDAD SEGUROS O.C., TODA VEZ QUE NO SE HA REALIZADO EL RIESGO ASEGURADO</w:t>
      </w:r>
    </w:p>
    <w:p w14:paraId="341B0132"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RIESGOS EXPRESAMENTE EXCLUIDOS EN LA PÓLIZA DE RESPONSABILIDAD CIVIL PROFESIONAL CLÍNICAS Y HOSPITALES No. AA195705</w:t>
      </w:r>
    </w:p>
    <w:p w14:paraId="44E858E9"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CARÁCTER MERAMENTE INDEMNIZATORIO QUE REVISTEN LOS CONTRATOS DE SEGUROS.</w:t>
      </w:r>
    </w:p>
    <w:p w14:paraId="722A8B56"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EN CUALQUIER CASO, DE NINGUNA FORMA SE PODRÁ EXCEDER EL LÍMITE DEL VALOR ASEGURADO EN LA PÓLIZA No. AA195705.</w:t>
      </w:r>
    </w:p>
    <w:p w14:paraId="62F11491" w14:textId="77777777" w:rsid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LIMITES MÁXIMOS DE RESPONSABILIDAD DEL ASEGURADOR EN LO ATINENTE AL DEDUCIBLE PACTADO EN LA PÓLIZA No. AA195705</w:t>
      </w:r>
    </w:p>
    <w:p w14:paraId="0C11D6AF" w14:textId="1718E721" w:rsid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DISPONIBILIDAD DEL VALOR ASEGURADO.</w:t>
      </w:r>
    </w:p>
    <w:p w14:paraId="2EF4429B" w14:textId="030F16DD"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SUJECIÓN A LAS CONDICIONES PARTICULARES Y GENERALES DEL CONTRATO DE SEGURO, EN LA QUE SE IDENTIFICA LA PÓLIZA No. AA195705, EL CLAUSULADO Y LOS AMPAROS.</w:t>
      </w:r>
    </w:p>
    <w:p w14:paraId="64D80A72" w14:textId="77777777" w:rsidR="00DD5505" w:rsidRPr="00E27F6C" w:rsidRDefault="00DD5505" w:rsidP="00ED652F">
      <w:pPr>
        <w:pStyle w:val="Prrafodelista"/>
        <w:numPr>
          <w:ilvl w:val="1"/>
          <w:numId w:val="5"/>
        </w:numPr>
        <w:spacing w:line="360" w:lineRule="auto"/>
        <w:jc w:val="both"/>
        <w:rPr>
          <w:rFonts w:ascii="Century Gothic" w:hAnsi="Century Gothic"/>
        </w:rPr>
      </w:pPr>
      <w:r w:rsidRPr="00E27F6C">
        <w:rPr>
          <w:rFonts w:ascii="Century Gothic" w:hAnsi="Century Gothic"/>
        </w:rPr>
        <w:t>GENÉRICA O INNOMINADA.</w:t>
      </w:r>
    </w:p>
    <w:p w14:paraId="5188F42D" w14:textId="77777777" w:rsidR="00DD5505" w:rsidRPr="00ED652F" w:rsidRDefault="00DD5505" w:rsidP="00ED652F">
      <w:pPr>
        <w:spacing w:line="360" w:lineRule="auto"/>
        <w:jc w:val="both"/>
        <w:rPr>
          <w:rFonts w:ascii="Century Gothic" w:hAnsi="Century Gothic"/>
        </w:rPr>
      </w:pPr>
    </w:p>
    <w:p w14:paraId="035C3E82" w14:textId="4BD50355" w:rsidR="00906282" w:rsidRPr="00E27F6C" w:rsidRDefault="00906282" w:rsidP="00DD5505">
      <w:pPr>
        <w:pStyle w:val="Prrafodelista"/>
        <w:numPr>
          <w:ilvl w:val="0"/>
          <w:numId w:val="5"/>
        </w:numPr>
        <w:spacing w:line="360" w:lineRule="auto"/>
        <w:jc w:val="both"/>
        <w:rPr>
          <w:rFonts w:ascii="Century Gothic" w:hAnsi="Century Gothic"/>
        </w:rPr>
      </w:pPr>
      <w:r w:rsidRPr="00E27F6C">
        <w:rPr>
          <w:rFonts w:ascii="Century Gothic" w:hAnsi="Century Gothic"/>
          <w:b/>
        </w:rPr>
        <w:t>Siniestro</w:t>
      </w:r>
      <w:r w:rsidRPr="00E27F6C">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CA01DF" w:rsidRPr="00E27F6C">
            <w:rPr>
              <w:rFonts w:ascii="Century Gothic" w:hAnsi="Century Gothic"/>
              <w:color w:val="000000"/>
              <w:shd w:val="clear" w:color="auto" w:fill="FFFFFF"/>
            </w:rPr>
            <w:t>PENDIENTE</w:t>
          </w:r>
        </w:sdtContent>
      </w:sdt>
    </w:p>
    <w:p w14:paraId="04D6BA07" w14:textId="3BBACFE0" w:rsidR="00906282" w:rsidRPr="00E27F6C" w:rsidRDefault="00906282" w:rsidP="00877CAA">
      <w:pPr>
        <w:spacing w:line="360" w:lineRule="auto"/>
        <w:jc w:val="both"/>
        <w:rPr>
          <w:rFonts w:ascii="Century Gothic" w:hAnsi="Century Gothic"/>
        </w:rPr>
      </w:pPr>
      <w:r w:rsidRPr="00E27F6C">
        <w:rPr>
          <w:rFonts w:ascii="Century Gothic" w:hAnsi="Century Gothic"/>
          <w:b/>
        </w:rPr>
        <w:lastRenderedPageBreak/>
        <w:t>Póliza</w:t>
      </w:r>
      <w:r w:rsidRPr="00E27F6C">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A6662A" w:rsidRPr="00E27F6C">
            <w:rPr>
              <w:rStyle w:val="Estilo3"/>
              <w:b w:val="0"/>
              <w:bCs/>
            </w:rPr>
            <w:t>POLIZA RC</w:t>
          </w:r>
          <w:r w:rsidR="00ED652F">
            <w:rPr>
              <w:rStyle w:val="Estilo3"/>
              <w:b w:val="0"/>
              <w:bCs/>
            </w:rPr>
            <w:t xml:space="preserve"> PROFESIONAL CLÍNICAS</w:t>
          </w:r>
        </w:sdtContent>
      </w:sdt>
    </w:p>
    <w:p w14:paraId="3CAB45E1" w14:textId="00B3FCE4" w:rsidR="00906282" w:rsidRPr="00E27F6C" w:rsidRDefault="00906282" w:rsidP="00FD07C5">
      <w:pPr>
        <w:spacing w:line="360" w:lineRule="auto"/>
        <w:rPr>
          <w:rFonts w:ascii="Century Gothic" w:hAnsi="Century Gothic"/>
        </w:rPr>
      </w:pPr>
      <w:r w:rsidRPr="00E27F6C">
        <w:rPr>
          <w:rFonts w:ascii="Century Gothic" w:hAnsi="Century Gothic"/>
          <w:b/>
        </w:rPr>
        <w:t>Vigencia Afectada</w:t>
      </w:r>
      <w:r w:rsidRPr="00E27F6C">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ED652F">
            <w:rPr>
              <w:rFonts w:ascii="Century Gothic" w:hAnsi="Century Gothic"/>
            </w:rPr>
            <w:t>30/08/2019</w:t>
          </w:r>
        </w:sdtContent>
      </w:sdt>
      <w:r w:rsidRPr="00E27F6C">
        <w:rPr>
          <w:rFonts w:ascii="Century Gothic" w:hAnsi="Century Gothic"/>
        </w:rPr>
        <w:t xml:space="preserve"> al </w:t>
      </w:r>
      <w:sdt>
        <w:sdtPr>
          <w:rPr>
            <w:rFonts w:ascii="Century Gothic" w:hAnsi="Century Gothic"/>
          </w:rPr>
          <w:id w:val="-1195382093"/>
          <w:placeholder>
            <w:docPart w:val="0840BF8604D14C35874A893D390FBAE9"/>
          </w:placeholder>
          <w:date w:fullDate="2020-08-30T00:00:00Z">
            <w:dateFormat w:val="dd/MM/yyyy"/>
            <w:lid w:val="es-CO"/>
            <w:storeMappedDataAs w:val="dateTime"/>
            <w:calendar w:val="gregorian"/>
          </w:date>
        </w:sdtPr>
        <w:sdtContent>
          <w:r w:rsidR="00ED652F">
            <w:rPr>
              <w:rFonts w:ascii="Century Gothic" w:hAnsi="Century Gothic"/>
            </w:rPr>
            <w:t>30/08/2020</w:t>
          </w:r>
        </w:sdtContent>
      </w:sdt>
    </w:p>
    <w:p w14:paraId="11A4B071" w14:textId="61B80C49" w:rsidR="00906282" w:rsidRPr="00E27F6C" w:rsidRDefault="00906282" w:rsidP="00906282">
      <w:pPr>
        <w:spacing w:line="360" w:lineRule="auto"/>
        <w:rPr>
          <w:rFonts w:ascii="Century Gothic" w:hAnsi="Century Gothic"/>
        </w:rPr>
      </w:pPr>
      <w:r w:rsidRPr="00E27F6C">
        <w:rPr>
          <w:rFonts w:ascii="Century Gothic" w:hAnsi="Century Gothic"/>
          <w:b/>
        </w:rPr>
        <w:t>Ramo</w:t>
      </w:r>
      <w:r w:rsidRPr="00E27F6C">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ED652F">
            <w:rPr>
              <w:rStyle w:val="Estilo3"/>
              <w:b w:val="0"/>
              <w:bCs/>
            </w:rPr>
            <w:t>RC SALUD</w:t>
          </w:r>
        </w:sdtContent>
      </w:sdt>
    </w:p>
    <w:p w14:paraId="7611A182" w14:textId="227EC1BE" w:rsidR="00906282" w:rsidRPr="00E27F6C" w:rsidRDefault="00906282" w:rsidP="00906282">
      <w:pPr>
        <w:spacing w:line="360" w:lineRule="auto"/>
        <w:rPr>
          <w:rFonts w:ascii="Century Gothic" w:hAnsi="Century Gothic"/>
        </w:rPr>
      </w:pPr>
      <w:r w:rsidRPr="00E27F6C">
        <w:rPr>
          <w:rFonts w:ascii="Century Gothic" w:hAnsi="Century Gothic"/>
          <w:b/>
        </w:rPr>
        <w:t>Agencia Expide</w:t>
      </w:r>
      <w:r w:rsidRPr="00E27F6C">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ED652F">
            <w:rPr>
              <w:rStyle w:val="Estilo3"/>
              <w:b w:val="0"/>
            </w:rPr>
            <w:t>100001 BOGOTA CALLE 100</w:t>
          </w:r>
        </w:sdtContent>
      </w:sdt>
    </w:p>
    <w:p w14:paraId="1D6DFCDA" w14:textId="4573B9DA" w:rsidR="00906282" w:rsidRPr="00E27F6C" w:rsidRDefault="00906282" w:rsidP="00906282">
      <w:pPr>
        <w:spacing w:line="360" w:lineRule="auto"/>
        <w:rPr>
          <w:rFonts w:ascii="Century Gothic" w:hAnsi="Century Gothic"/>
        </w:rPr>
      </w:pPr>
      <w:r w:rsidRPr="00E27F6C">
        <w:rPr>
          <w:rFonts w:ascii="Century Gothic" w:hAnsi="Century Gothic"/>
          <w:b/>
        </w:rPr>
        <w:t>Placa</w:t>
      </w:r>
      <w:r w:rsidRPr="00E27F6C">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ED652F">
            <w:rPr>
              <w:rStyle w:val="Estilo3"/>
              <w:b w:val="0"/>
              <w:bCs/>
            </w:rPr>
            <w:t>N/A</w:t>
          </w:r>
        </w:sdtContent>
      </w:sdt>
    </w:p>
    <w:p w14:paraId="1F89FE28" w14:textId="517B91B0" w:rsidR="00906282" w:rsidRPr="00E27F6C" w:rsidRDefault="00906282" w:rsidP="00906282">
      <w:pPr>
        <w:spacing w:line="360" w:lineRule="auto"/>
        <w:rPr>
          <w:rFonts w:ascii="Century Gothic" w:hAnsi="Century Gothic"/>
        </w:rPr>
      </w:pPr>
      <w:r w:rsidRPr="00E27F6C">
        <w:rPr>
          <w:rFonts w:ascii="Century Gothic" w:hAnsi="Century Gothic"/>
          <w:b/>
        </w:rPr>
        <w:t>Valor Asegurado</w:t>
      </w:r>
      <w:r w:rsidRPr="00E27F6C">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ED652F">
            <w:rPr>
              <w:rFonts w:ascii="Century Gothic" w:hAnsi="Century Gothic"/>
            </w:rPr>
            <w:t>4500000000</w:t>
          </w:r>
        </w:sdtContent>
      </w:sdt>
    </w:p>
    <w:p w14:paraId="0BE7F889" w14:textId="172A786D" w:rsidR="00906282" w:rsidRPr="00E27F6C" w:rsidRDefault="00906282" w:rsidP="00906282">
      <w:pPr>
        <w:spacing w:line="360" w:lineRule="auto"/>
        <w:rPr>
          <w:rFonts w:ascii="Century Gothic" w:hAnsi="Century Gothic"/>
        </w:rPr>
      </w:pPr>
      <w:r w:rsidRPr="00E27F6C">
        <w:rPr>
          <w:rFonts w:ascii="Century Gothic" w:hAnsi="Century Gothic"/>
          <w:b/>
        </w:rPr>
        <w:t>Deducible</w:t>
      </w:r>
      <w:r w:rsidRPr="00E27F6C">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ED652F">
            <w:rPr>
              <w:rStyle w:val="Estilo3"/>
              <w:b w:val="0"/>
            </w:rPr>
            <w:t>10</w:t>
          </w:r>
          <w:r w:rsidRPr="00E27F6C">
            <w:rPr>
              <w:rStyle w:val="Estilo3"/>
              <w:b w:val="0"/>
            </w:rPr>
            <w:t xml:space="preserve"> </w:t>
          </w:r>
        </w:sdtContent>
      </w:sdt>
      <w:r w:rsidRPr="00E27F6C">
        <w:rPr>
          <w:rFonts w:ascii="Century Gothic" w:hAnsi="Century Gothic"/>
        </w:rPr>
        <w:t>%</w:t>
      </w:r>
      <w:r w:rsidR="00ED652F">
        <w:rPr>
          <w:rFonts w:ascii="Century Gothic" w:hAnsi="Century Gothic"/>
        </w:rPr>
        <w:t xml:space="preserve"> MÍNIMO $150.000.000</w:t>
      </w:r>
    </w:p>
    <w:p w14:paraId="5D36557E" w14:textId="089888CF" w:rsidR="00906282" w:rsidRPr="00E27F6C" w:rsidRDefault="00906282" w:rsidP="00970CC7">
      <w:pPr>
        <w:spacing w:line="360" w:lineRule="auto"/>
        <w:jc w:val="both"/>
        <w:rPr>
          <w:rFonts w:ascii="Century Gothic" w:hAnsi="Century Gothic"/>
        </w:rPr>
      </w:pPr>
      <w:r w:rsidRPr="00E27F6C">
        <w:rPr>
          <w:rFonts w:ascii="Century Gothic" w:hAnsi="Century Gothic"/>
          <w:b/>
        </w:rPr>
        <w:t>Exceso</w:t>
      </w:r>
      <w:r w:rsidRPr="00E27F6C">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E27F6C">
            <w:rPr>
              <w:rStyle w:val="Estilo3"/>
              <w:b w:val="0"/>
            </w:rPr>
            <w:t>NO</w:t>
          </w:r>
        </w:sdtContent>
      </w:sdt>
    </w:p>
    <w:p w14:paraId="087AA5AF" w14:textId="42F20ACE" w:rsidR="00906282" w:rsidRPr="00E27F6C" w:rsidRDefault="00906282" w:rsidP="00906282">
      <w:pPr>
        <w:spacing w:line="360" w:lineRule="auto"/>
        <w:rPr>
          <w:rFonts w:ascii="Century Gothic" w:hAnsi="Century Gothic"/>
        </w:rPr>
      </w:pPr>
      <w:r w:rsidRPr="00E27F6C">
        <w:rPr>
          <w:rFonts w:ascii="Century Gothic" w:hAnsi="Century Gothic"/>
          <w:b/>
        </w:rPr>
        <w:t>Contingencia</w:t>
      </w:r>
      <w:r w:rsidRPr="00E27F6C">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7A10DD">
            <w:rPr>
              <w:rStyle w:val="Estilo3"/>
              <w:b w:val="0"/>
            </w:rPr>
            <w:t>REMOTA</w:t>
          </w:r>
        </w:sdtContent>
      </w:sdt>
    </w:p>
    <w:p w14:paraId="0D2479EB" w14:textId="56D0AA05" w:rsidR="00906282" w:rsidRPr="00E27F6C" w:rsidRDefault="00906282" w:rsidP="00906282">
      <w:pPr>
        <w:spacing w:line="360" w:lineRule="auto"/>
        <w:jc w:val="both"/>
        <w:rPr>
          <w:rFonts w:ascii="Century Gothic" w:hAnsi="Century Gothic"/>
        </w:rPr>
      </w:pPr>
      <w:r w:rsidRPr="00E27F6C">
        <w:rPr>
          <w:rFonts w:ascii="Century Gothic" w:hAnsi="Century Gothic"/>
          <w:b/>
        </w:rPr>
        <w:t>Reserva sugerida</w:t>
      </w:r>
      <w:r w:rsidRPr="00E27F6C">
        <w:rPr>
          <w:rFonts w:ascii="Century Gothic" w:hAnsi="Century Gothic"/>
        </w:rPr>
        <w:t>:</w:t>
      </w:r>
      <w:r w:rsidR="00AC00CB" w:rsidRPr="00E27F6C">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ED652F" w:rsidRPr="00ED652F">
            <w:rPr>
              <w:rFonts w:ascii="Century Gothic" w:hAnsi="Century Gothic"/>
            </w:rPr>
            <w:t>$</w:t>
          </w:r>
          <w:bookmarkStart w:id="3" w:name="_Hlk177055828"/>
          <w:r w:rsidR="00ED652F" w:rsidRPr="00ED652F">
            <w:rPr>
              <w:rFonts w:ascii="Century Gothic" w:hAnsi="Century Gothic"/>
            </w:rPr>
            <w:t xml:space="preserve"> </w:t>
          </w:r>
          <w:r w:rsidR="008E7F61">
            <w:rPr>
              <w:rFonts w:ascii="Century Gothic" w:hAnsi="Century Gothic"/>
            </w:rPr>
            <w:t>47,405,770</w:t>
          </w:r>
        </w:sdtContent>
      </w:sdt>
      <w:bookmarkEnd w:id="3"/>
    </w:p>
    <w:p w14:paraId="2B838E92" w14:textId="3CC2990C" w:rsidR="00E63391" w:rsidRPr="00E27F6C" w:rsidRDefault="00906282" w:rsidP="00B84BF0">
      <w:pPr>
        <w:spacing w:line="360" w:lineRule="auto"/>
        <w:jc w:val="both"/>
        <w:rPr>
          <w:rFonts w:ascii="Century Gothic" w:hAnsi="Century Gothic"/>
          <w:bCs/>
        </w:rPr>
      </w:pPr>
      <w:r w:rsidRPr="00E27F6C">
        <w:rPr>
          <w:rFonts w:ascii="Century Gothic" w:hAnsi="Century Gothic"/>
          <w:b/>
          <w:bCs/>
        </w:rPr>
        <w:t>Concepto del Apoderado designado para el caso</w:t>
      </w:r>
      <w:r w:rsidRPr="00E27F6C">
        <w:rPr>
          <w:rFonts w:ascii="Century Gothic" w:hAnsi="Century Gothic"/>
          <w:bCs/>
        </w:rPr>
        <w:t xml:space="preserve">:  </w:t>
      </w:r>
      <w:bookmarkStart w:id="4" w:name="_Hlk142487042"/>
      <w:r w:rsidR="00920681" w:rsidRPr="00A00AEB">
        <w:rPr>
          <w:rFonts w:ascii="Century Gothic" w:hAnsi="Century Gothic"/>
          <w:bCs/>
        </w:rPr>
        <w:t xml:space="preserve">La contingencia se califica como </w:t>
      </w:r>
      <w:r w:rsidR="00B97506">
        <w:rPr>
          <w:rFonts w:ascii="Century Gothic" w:hAnsi="Century Gothic"/>
          <w:bCs/>
        </w:rPr>
        <w:t>REMOTA</w:t>
      </w:r>
      <w:r w:rsidR="00920681" w:rsidRPr="00A00AEB">
        <w:rPr>
          <w:rFonts w:ascii="Century Gothic" w:hAnsi="Century Gothic"/>
          <w:bCs/>
        </w:rPr>
        <w:t xml:space="preserve">, </w:t>
      </w:r>
      <w:r w:rsidR="00D76DE7">
        <w:rPr>
          <w:rFonts w:ascii="Century Gothic" w:hAnsi="Century Gothic"/>
          <w:bCs/>
        </w:rPr>
        <w:t>pues si bien</w:t>
      </w:r>
      <w:r w:rsidR="00920681" w:rsidRPr="00A00AEB">
        <w:rPr>
          <w:rFonts w:ascii="Century Gothic" w:hAnsi="Century Gothic"/>
          <w:bCs/>
        </w:rPr>
        <w:t xml:space="preserve"> la póliza </w:t>
      </w:r>
      <w:r w:rsidR="00920681">
        <w:rPr>
          <w:rStyle w:val="Estilo3"/>
          <w:b w:val="0"/>
          <w:bCs/>
        </w:rPr>
        <w:t xml:space="preserve">AA195705 </w:t>
      </w:r>
      <w:r w:rsidR="00920681" w:rsidRPr="00A00AEB">
        <w:rPr>
          <w:rFonts w:ascii="Century Gothic" w:hAnsi="Century Gothic"/>
          <w:bCs/>
        </w:rPr>
        <w:t>presta cobertura temporal y material</w:t>
      </w:r>
      <w:r w:rsidR="00D76DE7">
        <w:rPr>
          <w:rFonts w:ascii="Century Gothic" w:hAnsi="Century Gothic"/>
          <w:bCs/>
        </w:rPr>
        <w:t>, lo cierto es que frente al asegurado la acción derivada del contrato de seguro se encuentra prescrita.</w:t>
      </w:r>
    </w:p>
    <w:p w14:paraId="36DF8BCA" w14:textId="4C05F63E" w:rsidR="008E1441" w:rsidRDefault="008E1441" w:rsidP="00624B85">
      <w:pPr>
        <w:spacing w:line="360" w:lineRule="auto"/>
        <w:jc w:val="both"/>
        <w:rPr>
          <w:rFonts w:ascii="Century Gothic" w:hAnsi="Century Gothic"/>
          <w:bCs/>
        </w:rPr>
      </w:pPr>
      <w:r w:rsidRPr="00A00AEB">
        <w:rPr>
          <w:rFonts w:ascii="Century Gothic" w:hAnsi="Century Gothic"/>
          <w:bCs/>
        </w:rPr>
        <w:t xml:space="preserve">Lo primero que debe tomarse en consideración es que la Póliza </w:t>
      </w:r>
      <w:r>
        <w:rPr>
          <w:rStyle w:val="Estilo3"/>
          <w:b w:val="0"/>
          <w:bCs/>
        </w:rPr>
        <w:t xml:space="preserve">AA195705 </w:t>
      </w:r>
      <w:r w:rsidRPr="00A00AEB">
        <w:rPr>
          <w:rFonts w:ascii="Century Gothic" w:hAnsi="Century Gothic"/>
          <w:bCs/>
        </w:rPr>
        <w:t xml:space="preserve">cuyo tomador y asegurado es </w:t>
      </w:r>
      <w:r>
        <w:rPr>
          <w:rFonts w:ascii="Century Gothic" w:hAnsi="Century Gothic"/>
          <w:bCs/>
        </w:rPr>
        <w:t>Entidad Promotora de Salud Sanitas S.A</w:t>
      </w:r>
      <w:r w:rsidRPr="00A00AEB">
        <w:rPr>
          <w:rFonts w:ascii="Century Gothic" w:hAnsi="Century Gothic"/>
          <w:bCs/>
        </w:rPr>
        <w:t>. presta cobertura</w:t>
      </w:r>
      <w:r>
        <w:rPr>
          <w:rFonts w:ascii="Century Gothic" w:hAnsi="Century Gothic"/>
          <w:bCs/>
        </w:rPr>
        <w:t xml:space="preserve"> material y temporal de conformidad con los hechos y pretensiones de la demanda. Frente a la cobertura material, debe mencionarse que la póliza ampara la responsabilidad civil profesional, pretensión que se endilga a la EPS asegurada. Frente a la cobertura temporal, debe decirse que su modalidad </w:t>
      </w:r>
      <w:r w:rsidRPr="00A00AEB">
        <w:rPr>
          <w:rFonts w:ascii="Century Gothic" w:hAnsi="Century Gothic"/>
          <w:bCs/>
        </w:rPr>
        <w:t>de cobertura</w:t>
      </w:r>
      <w:r>
        <w:rPr>
          <w:rFonts w:ascii="Century Gothic" w:hAnsi="Century Gothic"/>
          <w:bCs/>
        </w:rPr>
        <w:t xml:space="preserve"> es</w:t>
      </w:r>
      <w:r w:rsidRPr="00A00AEB">
        <w:rPr>
          <w:rFonts w:ascii="Century Gothic" w:hAnsi="Century Gothic"/>
          <w:bCs/>
        </w:rPr>
        <w:t xml:space="preserve"> </w:t>
      </w:r>
      <w:proofErr w:type="spellStart"/>
      <w:r w:rsidRPr="00A00AEB">
        <w:rPr>
          <w:rFonts w:ascii="Century Gothic" w:hAnsi="Century Gothic"/>
          <w:bCs/>
        </w:rPr>
        <w:t>Claims</w:t>
      </w:r>
      <w:proofErr w:type="spellEnd"/>
      <w:r w:rsidRPr="00A00AEB">
        <w:rPr>
          <w:rFonts w:ascii="Century Gothic" w:hAnsi="Century Gothic"/>
          <w:bCs/>
        </w:rPr>
        <w:t xml:space="preserve"> </w:t>
      </w:r>
      <w:proofErr w:type="spellStart"/>
      <w:r w:rsidRPr="00A00AEB">
        <w:rPr>
          <w:rFonts w:ascii="Century Gothic" w:hAnsi="Century Gothic"/>
          <w:bCs/>
        </w:rPr>
        <w:t>Made</w:t>
      </w:r>
      <w:proofErr w:type="spellEnd"/>
      <w:r w:rsidRPr="00A00AEB">
        <w:rPr>
          <w:rFonts w:ascii="Century Gothic" w:hAnsi="Century Gothic"/>
          <w:bCs/>
        </w:rPr>
        <w:t>,</w:t>
      </w:r>
      <w:r>
        <w:rPr>
          <w:rFonts w:ascii="Century Gothic" w:hAnsi="Century Gothic"/>
          <w:bCs/>
        </w:rPr>
        <w:t xml:space="preserve"> la cual ampara las indemnizaciones por las reclamaciones escritas presentadas por terceros afectados y, por primera vez al asegurado o a la aseguradora durante la vigencia de la póliza, por hechos ocurridos durante la misma vigencia o desde las vigencias anteriores contadas a partir del 1 de julio de 2006. De ese modo, debe tenerse en cuenta que la vigencia de la póliza está comprendida </w:t>
      </w:r>
      <w:r w:rsidRPr="00A00AEB">
        <w:rPr>
          <w:rFonts w:ascii="Century Gothic" w:hAnsi="Century Gothic"/>
          <w:bCs/>
        </w:rPr>
        <w:t xml:space="preserve">desde el </w:t>
      </w:r>
      <w:r>
        <w:rPr>
          <w:rFonts w:ascii="Century Gothic" w:hAnsi="Century Gothic"/>
          <w:bCs/>
        </w:rPr>
        <w:t>30</w:t>
      </w:r>
      <w:r w:rsidRPr="00A00AEB">
        <w:rPr>
          <w:rFonts w:ascii="Century Gothic" w:hAnsi="Century Gothic"/>
          <w:bCs/>
        </w:rPr>
        <w:t xml:space="preserve"> de </w:t>
      </w:r>
      <w:r>
        <w:rPr>
          <w:rFonts w:ascii="Century Gothic" w:hAnsi="Century Gothic"/>
          <w:bCs/>
        </w:rPr>
        <w:t xml:space="preserve">agosto </w:t>
      </w:r>
      <w:r w:rsidRPr="00A00AEB">
        <w:rPr>
          <w:rFonts w:ascii="Century Gothic" w:hAnsi="Century Gothic"/>
          <w:bCs/>
        </w:rPr>
        <w:t>de 20</w:t>
      </w:r>
      <w:r>
        <w:rPr>
          <w:rFonts w:ascii="Century Gothic" w:hAnsi="Century Gothic"/>
          <w:bCs/>
        </w:rPr>
        <w:t>19</w:t>
      </w:r>
      <w:r w:rsidRPr="00A00AEB">
        <w:rPr>
          <w:rFonts w:ascii="Century Gothic" w:hAnsi="Century Gothic"/>
          <w:bCs/>
        </w:rPr>
        <w:t xml:space="preserve"> hasta el </w:t>
      </w:r>
      <w:r>
        <w:rPr>
          <w:rFonts w:ascii="Century Gothic" w:hAnsi="Century Gothic"/>
          <w:bCs/>
        </w:rPr>
        <w:t>30</w:t>
      </w:r>
      <w:r w:rsidRPr="00A00AEB">
        <w:rPr>
          <w:rFonts w:ascii="Century Gothic" w:hAnsi="Century Gothic"/>
          <w:bCs/>
        </w:rPr>
        <w:t xml:space="preserve"> de </w:t>
      </w:r>
      <w:r>
        <w:rPr>
          <w:rFonts w:ascii="Century Gothic" w:hAnsi="Century Gothic"/>
          <w:bCs/>
        </w:rPr>
        <w:t xml:space="preserve">agosto </w:t>
      </w:r>
      <w:r w:rsidRPr="00A00AEB">
        <w:rPr>
          <w:rFonts w:ascii="Century Gothic" w:hAnsi="Century Gothic"/>
          <w:bCs/>
        </w:rPr>
        <w:t>de 202</w:t>
      </w:r>
      <w:r>
        <w:rPr>
          <w:rFonts w:ascii="Century Gothic" w:hAnsi="Century Gothic"/>
          <w:bCs/>
        </w:rPr>
        <w:t xml:space="preserve">0. Ahora </w:t>
      </w:r>
      <w:r>
        <w:rPr>
          <w:rFonts w:ascii="Century Gothic" w:hAnsi="Century Gothic"/>
          <w:bCs/>
        </w:rPr>
        <w:lastRenderedPageBreak/>
        <w:t xml:space="preserve">bien, como la primera reclamación al asegurado </w:t>
      </w:r>
      <w:r w:rsidR="003374D1">
        <w:rPr>
          <w:rFonts w:ascii="Century Gothic" w:hAnsi="Century Gothic"/>
          <w:bCs/>
        </w:rPr>
        <w:t>tuvo lugar</w:t>
      </w:r>
      <w:r>
        <w:rPr>
          <w:rFonts w:ascii="Century Gothic" w:hAnsi="Century Gothic"/>
          <w:bCs/>
        </w:rPr>
        <w:t xml:space="preserve"> con la </w:t>
      </w:r>
      <w:r w:rsidR="003374D1">
        <w:rPr>
          <w:rFonts w:ascii="Century Gothic" w:hAnsi="Century Gothic"/>
          <w:bCs/>
        </w:rPr>
        <w:t xml:space="preserve">citación a la </w:t>
      </w:r>
      <w:r>
        <w:rPr>
          <w:rFonts w:ascii="Century Gothic" w:hAnsi="Century Gothic"/>
          <w:bCs/>
        </w:rPr>
        <w:t xml:space="preserve">audiencia de conciliación extrajudicial </w:t>
      </w:r>
      <w:r w:rsidR="003374D1">
        <w:rPr>
          <w:rFonts w:ascii="Century Gothic" w:hAnsi="Century Gothic"/>
          <w:bCs/>
        </w:rPr>
        <w:t xml:space="preserve">que fue recibida el </w:t>
      </w:r>
      <w:r>
        <w:rPr>
          <w:rFonts w:ascii="Century Gothic" w:hAnsi="Century Gothic"/>
          <w:bCs/>
        </w:rPr>
        <w:t>1 de noviembre de 201</w:t>
      </w:r>
      <w:r w:rsidR="003374D1">
        <w:rPr>
          <w:rFonts w:ascii="Century Gothic" w:hAnsi="Century Gothic"/>
          <w:bCs/>
        </w:rPr>
        <w:t>9</w:t>
      </w:r>
      <w:r>
        <w:rPr>
          <w:rFonts w:ascii="Century Gothic" w:hAnsi="Century Gothic"/>
          <w:bCs/>
        </w:rPr>
        <w:t>,</w:t>
      </w:r>
      <w:r w:rsidR="003374D1">
        <w:rPr>
          <w:rFonts w:ascii="Century Gothic" w:hAnsi="Century Gothic"/>
          <w:bCs/>
        </w:rPr>
        <w:t xml:space="preserve"> </w:t>
      </w:r>
      <w:r>
        <w:rPr>
          <w:rFonts w:ascii="Century Gothic" w:hAnsi="Century Gothic"/>
          <w:bCs/>
        </w:rPr>
        <w:t>esto es, dentro de la delimitación temporal de la póliza</w:t>
      </w:r>
      <w:r w:rsidRPr="00A00AEB">
        <w:rPr>
          <w:rFonts w:ascii="Century Gothic" w:hAnsi="Century Gothic"/>
          <w:bCs/>
        </w:rPr>
        <w:t xml:space="preserve"> </w:t>
      </w:r>
      <w:r>
        <w:rPr>
          <w:rFonts w:ascii="Century Gothic" w:hAnsi="Century Gothic"/>
          <w:bCs/>
        </w:rPr>
        <w:t>y</w:t>
      </w:r>
      <w:r w:rsidRPr="00A00AEB">
        <w:rPr>
          <w:rFonts w:ascii="Century Gothic" w:hAnsi="Century Gothic"/>
          <w:bCs/>
        </w:rPr>
        <w:t xml:space="preserve"> los actos médicos reputados acaecieron </w:t>
      </w:r>
      <w:r w:rsidR="00305F43">
        <w:rPr>
          <w:rFonts w:ascii="Century Gothic" w:hAnsi="Century Gothic"/>
          <w:bCs/>
        </w:rPr>
        <w:t>el 16 de febrero de 2016, es decir</w:t>
      </w:r>
      <w:r w:rsidRPr="00A00AEB">
        <w:rPr>
          <w:rFonts w:ascii="Century Gothic" w:hAnsi="Century Gothic"/>
          <w:bCs/>
        </w:rPr>
        <w:t xml:space="preserve">, </w:t>
      </w:r>
      <w:r>
        <w:rPr>
          <w:rFonts w:ascii="Century Gothic" w:hAnsi="Century Gothic"/>
          <w:bCs/>
        </w:rPr>
        <w:t>dentro d</w:t>
      </w:r>
      <w:r w:rsidRPr="00A00AEB">
        <w:rPr>
          <w:rFonts w:ascii="Century Gothic" w:hAnsi="Century Gothic"/>
          <w:bCs/>
        </w:rPr>
        <w:t>el periodo de retroactividad pactado desde el 1 de julio de 2006</w:t>
      </w:r>
      <w:r>
        <w:rPr>
          <w:rFonts w:ascii="Century Gothic" w:hAnsi="Century Gothic"/>
          <w:bCs/>
        </w:rPr>
        <w:t>, es claro que presta cobertura temporal</w:t>
      </w:r>
      <w:r w:rsidRPr="00A00AEB">
        <w:rPr>
          <w:rFonts w:ascii="Century Gothic" w:hAnsi="Century Gothic"/>
          <w:bCs/>
        </w:rPr>
        <w:t>.</w:t>
      </w:r>
    </w:p>
    <w:p w14:paraId="6E432080" w14:textId="22D92F24" w:rsidR="00305F43" w:rsidRPr="00A00AEB" w:rsidRDefault="003374D1" w:rsidP="00305F43">
      <w:pPr>
        <w:spacing w:line="360" w:lineRule="auto"/>
        <w:jc w:val="both"/>
        <w:rPr>
          <w:rFonts w:ascii="Century Gothic" w:hAnsi="Century Gothic"/>
          <w:bCs/>
        </w:rPr>
      </w:pPr>
      <w:bookmarkStart w:id="5" w:name="_Hlk142487052"/>
      <w:bookmarkEnd w:id="4"/>
      <w:r>
        <w:rPr>
          <w:rFonts w:ascii="Century Gothic" w:hAnsi="Century Gothic"/>
          <w:bCs/>
        </w:rPr>
        <w:t>Por otro lado</w:t>
      </w:r>
      <w:r w:rsidR="00B97506">
        <w:rPr>
          <w:rFonts w:ascii="Century Gothic" w:hAnsi="Century Gothic"/>
          <w:bCs/>
        </w:rPr>
        <w:t xml:space="preserve">, </w:t>
      </w:r>
      <w:r>
        <w:rPr>
          <w:rFonts w:ascii="Century Gothic" w:hAnsi="Century Gothic"/>
          <w:bCs/>
        </w:rPr>
        <w:t xml:space="preserve">frente a la responsabilidad del </w:t>
      </w:r>
      <w:r w:rsidR="00AB331D">
        <w:rPr>
          <w:rFonts w:ascii="Century Gothic" w:hAnsi="Century Gothic"/>
          <w:bCs/>
        </w:rPr>
        <w:t xml:space="preserve">asegurado y </w:t>
      </w:r>
      <w:r>
        <w:rPr>
          <w:rFonts w:ascii="Century Gothic" w:hAnsi="Century Gothic"/>
          <w:bCs/>
        </w:rPr>
        <w:t>del asegurador, se debe</w:t>
      </w:r>
      <w:r w:rsidR="00B97506">
        <w:rPr>
          <w:rFonts w:ascii="Century Gothic" w:hAnsi="Century Gothic"/>
          <w:bCs/>
        </w:rPr>
        <w:t xml:space="preserve"> resaltar que</w:t>
      </w:r>
      <w:r w:rsidR="00AB331D">
        <w:rPr>
          <w:rFonts w:ascii="Century Gothic" w:hAnsi="Century Gothic"/>
          <w:bCs/>
        </w:rPr>
        <w:t xml:space="preserve"> </w:t>
      </w:r>
      <w:r w:rsidR="00AB331D">
        <w:rPr>
          <w:rFonts w:ascii="Century Gothic" w:hAnsi="Century Gothic"/>
          <w:bCs/>
        </w:rPr>
        <w:t xml:space="preserve">aunque pueden existir elementos que </w:t>
      </w:r>
      <w:r w:rsidR="00AB331D">
        <w:rPr>
          <w:rFonts w:ascii="Century Gothic" w:hAnsi="Century Gothic"/>
          <w:bCs/>
        </w:rPr>
        <w:t xml:space="preserve">para el juzgador podrían </w:t>
      </w:r>
      <w:r w:rsidR="00AB331D">
        <w:rPr>
          <w:rFonts w:ascii="Century Gothic" w:hAnsi="Century Gothic"/>
          <w:bCs/>
        </w:rPr>
        <w:t>probar la responsabilidad médica</w:t>
      </w:r>
      <w:r w:rsidR="00AB331D">
        <w:rPr>
          <w:rFonts w:ascii="Century Gothic" w:hAnsi="Century Gothic"/>
          <w:bCs/>
        </w:rPr>
        <w:t xml:space="preserve"> en el procedimiento de </w:t>
      </w:r>
      <w:proofErr w:type="spellStart"/>
      <w:r w:rsidR="00AB331D">
        <w:rPr>
          <w:rFonts w:ascii="Century Gothic" w:hAnsi="Century Gothic"/>
          <w:bCs/>
        </w:rPr>
        <w:t>septoplastia</w:t>
      </w:r>
      <w:proofErr w:type="spellEnd"/>
      <w:r w:rsidR="00AB331D">
        <w:rPr>
          <w:rFonts w:ascii="Century Gothic" w:hAnsi="Century Gothic"/>
          <w:bCs/>
        </w:rPr>
        <w:t xml:space="preserve"> y </w:t>
      </w:r>
      <w:proofErr w:type="spellStart"/>
      <w:r w:rsidR="00AB331D">
        <w:rPr>
          <w:rFonts w:ascii="Century Gothic" w:hAnsi="Century Gothic"/>
          <w:bCs/>
        </w:rPr>
        <w:t>turbinoplastia</w:t>
      </w:r>
      <w:proofErr w:type="spellEnd"/>
      <w:r w:rsidR="00AB331D">
        <w:rPr>
          <w:rFonts w:ascii="Century Gothic" w:hAnsi="Century Gothic"/>
          <w:bCs/>
        </w:rPr>
        <w:t xml:space="preserve">, en donde se comprometió el 3 nervio craneal derecho, que generó la lesión que llevó a la parálisis del párpado y dificultad visual del ojo derecho, de todas maneras debe decirse que </w:t>
      </w:r>
      <w:r w:rsidR="00B97506">
        <w:rPr>
          <w:rFonts w:ascii="Century Gothic" w:hAnsi="Century Gothic"/>
          <w:bCs/>
        </w:rPr>
        <w:t xml:space="preserve"> la acción derivada del contrato de seguro se encuentra prescrita por la vía ordinari</w:t>
      </w:r>
      <w:r w:rsidR="00CF1538">
        <w:rPr>
          <w:rFonts w:ascii="Century Gothic" w:hAnsi="Century Gothic"/>
          <w:bCs/>
        </w:rPr>
        <w:t>a</w:t>
      </w:r>
      <w:r w:rsidR="00B97506">
        <w:rPr>
          <w:rFonts w:ascii="Century Gothic" w:hAnsi="Century Gothic"/>
          <w:bCs/>
        </w:rPr>
        <w:t>. Lo anterior, considerando que de conformidad con el artículo 1131 del Código de Comercio, f</w:t>
      </w:r>
      <w:r w:rsidR="00B97506" w:rsidRPr="00B97506">
        <w:rPr>
          <w:rFonts w:ascii="Century Gothic" w:hAnsi="Century Gothic"/>
          <w:bCs/>
        </w:rPr>
        <w:t>rente al asegurado</w:t>
      </w:r>
      <w:r w:rsidR="00B97506">
        <w:rPr>
          <w:rFonts w:ascii="Century Gothic" w:hAnsi="Century Gothic"/>
          <w:bCs/>
        </w:rPr>
        <w:t>,</w:t>
      </w:r>
      <w:r w:rsidR="00B97506" w:rsidRPr="00B97506">
        <w:rPr>
          <w:rFonts w:ascii="Century Gothic" w:hAnsi="Century Gothic"/>
          <w:bCs/>
        </w:rPr>
        <w:t xml:space="preserve"> el</w:t>
      </w:r>
      <w:r w:rsidR="00B97506">
        <w:rPr>
          <w:rFonts w:ascii="Century Gothic" w:hAnsi="Century Gothic"/>
          <w:bCs/>
        </w:rPr>
        <w:t xml:space="preserve"> siniestro</w:t>
      </w:r>
      <w:r w:rsidR="00B97506" w:rsidRPr="00B97506">
        <w:rPr>
          <w:rFonts w:ascii="Century Gothic" w:hAnsi="Century Gothic"/>
          <w:bCs/>
        </w:rPr>
        <w:t xml:space="preserve"> ocurr</w:t>
      </w:r>
      <w:r w:rsidR="00B97506">
        <w:rPr>
          <w:rFonts w:ascii="Century Gothic" w:hAnsi="Century Gothic"/>
          <w:bCs/>
        </w:rPr>
        <w:t>e</w:t>
      </w:r>
      <w:r w:rsidR="00B97506" w:rsidRPr="00B97506">
        <w:rPr>
          <w:rFonts w:ascii="Century Gothic" w:hAnsi="Century Gothic"/>
          <w:bCs/>
        </w:rPr>
        <w:t xml:space="preserve"> desde cuando la víctima le formula la petición judicial o extrajudicial</w:t>
      </w:r>
      <w:r w:rsidR="00B97506">
        <w:rPr>
          <w:rFonts w:ascii="Century Gothic" w:hAnsi="Century Gothic"/>
          <w:bCs/>
        </w:rPr>
        <w:t xml:space="preserve">, lo que ocurrió el 1 de noviembre de 2019 con la recepción de la convocatoria a conciliación por los hoy demandantes, de modo que el asegurado tenía hasta el 1 de noviembre de 2021 para formular el llamamiento en garantía, no obstante, el mismo fue formulado el 29 de agosto de 2024, es decir, dos años y nueve meses después de configurada la prescripción, sin obrar en el expediente escrito que interrumpiera el término prescriptivo. </w:t>
      </w:r>
      <w:r w:rsidR="00CF1538">
        <w:rPr>
          <w:rFonts w:ascii="Century Gothic" w:hAnsi="Century Gothic"/>
          <w:bCs/>
        </w:rPr>
        <w:t>En mérito de lo expuesto</w:t>
      </w:r>
      <w:r w:rsidR="00B97506">
        <w:rPr>
          <w:rFonts w:ascii="Century Gothic" w:hAnsi="Century Gothic"/>
          <w:bCs/>
        </w:rPr>
        <w:t>, la contingencia se califica como REMOTA.</w:t>
      </w:r>
    </w:p>
    <w:p w14:paraId="4768CEEF" w14:textId="0150B4A1" w:rsidR="000D503C" w:rsidRPr="00E27F6C" w:rsidRDefault="000D503C" w:rsidP="00624B85">
      <w:pPr>
        <w:spacing w:line="360" w:lineRule="auto"/>
        <w:jc w:val="both"/>
        <w:rPr>
          <w:rFonts w:ascii="Century Gothic" w:hAnsi="Century Gothic"/>
          <w:bCs/>
        </w:rPr>
      </w:pPr>
      <w:r w:rsidRPr="00E27F6C">
        <w:rPr>
          <w:rFonts w:ascii="Century Gothic" w:hAnsi="Century Gothic"/>
          <w:bCs/>
        </w:rPr>
        <w:t>Lo anterior, sin perjuicio del carácter contingente del proceso.</w:t>
      </w:r>
    </w:p>
    <w:bookmarkEnd w:id="5"/>
    <w:p w14:paraId="49EDDE08" w14:textId="3E4A64DC" w:rsidR="00906282" w:rsidRPr="00E27F6C" w:rsidRDefault="00906282" w:rsidP="00DB1B28">
      <w:pPr>
        <w:spacing w:line="360" w:lineRule="auto"/>
        <w:jc w:val="both"/>
        <w:rPr>
          <w:rFonts w:ascii="Century Gothic" w:hAnsi="Century Gothic"/>
          <w:bCs/>
        </w:rPr>
      </w:pPr>
      <w:r w:rsidRPr="00E27F6C">
        <w:rPr>
          <w:rFonts w:ascii="Century Gothic" w:hAnsi="Century Gothic"/>
          <w:b/>
          <w:bCs/>
        </w:rPr>
        <w:t>Solicitud Autorización</w:t>
      </w:r>
      <w:r w:rsidR="00AC00CB" w:rsidRPr="00E27F6C">
        <w:rPr>
          <w:rFonts w:ascii="Century Gothic" w:hAnsi="Century Gothic"/>
          <w:b/>
          <w:bCs/>
        </w:rPr>
        <w:t xml:space="preserve">: </w:t>
      </w:r>
      <w:r w:rsidRPr="00E27F6C">
        <w:rPr>
          <w:rFonts w:ascii="Century Gothic" w:hAnsi="Century Gothic"/>
          <w:b/>
          <w:bCs/>
        </w:rPr>
        <w:t>Se deben indicar los argumentos que justifican la solicitud</w:t>
      </w:r>
    </w:p>
    <w:p w14:paraId="0F9D0826" w14:textId="749DE522" w:rsidR="003F3828" w:rsidRPr="00E27F6C" w:rsidRDefault="00236A83" w:rsidP="003F3828">
      <w:pPr>
        <w:spacing w:line="360" w:lineRule="auto"/>
        <w:jc w:val="both"/>
        <w:rPr>
          <w:rFonts w:ascii="Century Gothic" w:hAnsi="Century Gothic" w:cs="Arial"/>
          <w:bCs/>
        </w:rPr>
      </w:pPr>
      <w:r w:rsidRPr="00E27F6C">
        <w:rPr>
          <w:rFonts w:ascii="Century Gothic" w:hAnsi="Century Gothic" w:cs="Arial"/>
          <w:bCs/>
        </w:rPr>
        <w:t xml:space="preserve">Firma: </w:t>
      </w:r>
    </w:p>
    <w:p w14:paraId="06526756" w14:textId="1A9442C8" w:rsidR="000F0821" w:rsidRPr="008A73EA" w:rsidRDefault="00236A83" w:rsidP="003F3828">
      <w:pPr>
        <w:spacing w:line="360" w:lineRule="auto"/>
        <w:jc w:val="both"/>
        <w:rPr>
          <w:rFonts w:ascii="Century Gothic" w:eastAsia="Times New Roman" w:hAnsi="Century Gothic"/>
          <w:color w:val="000000"/>
        </w:rPr>
      </w:pPr>
      <w:r w:rsidRPr="00E27F6C">
        <w:rPr>
          <w:rFonts w:ascii="Century Gothic" w:hAnsi="Century Gothic" w:cs="Arial"/>
          <w:bCs/>
        </w:rPr>
        <w:t>GHA Abogados &amp; Asociados</w:t>
      </w:r>
    </w:p>
    <w:sectPr w:rsidR="000F0821" w:rsidRPr="008A73EA"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9A060" w14:textId="77777777" w:rsidR="002A40A1" w:rsidRDefault="002A40A1" w:rsidP="00F361C1">
      <w:pPr>
        <w:spacing w:after="0" w:line="240" w:lineRule="auto"/>
      </w:pPr>
      <w:r>
        <w:separator/>
      </w:r>
    </w:p>
  </w:endnote>
  <w:endnote w:type="continuationSeparator" w:id="0">
    <w:p w14:paraId="64C9362B" w14:textId="77777777" w:rsidR="002A40A1" w:rsidRDefault="002A40A1"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169F0" w14:textId="77777777" w:rsidR="002A40A1" w:rsidRDefault="002A40A1" w:rsidP="00F361C1">
      <w:pPr>
        <w:spacing w:after="0" w:line="240" w:lineRule="auto"/>
      </w:pPr>
      <w:r>
        <w:separator/>
      </w:r>
    </w:p>
  </w:footnote>
  <w:footnote w:type="continuationSeparator" w:id="0">
    <w:p w14:paraId="2CA64EBA" w14:textId="77777777" w:rsidR="002A40A1" w:rsidRDefault="002A40A1"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9327E"/>
    <w:multiLevelType w:val="multilevel"/>
    <w:tmpl w:val="903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47DB6"/>
    <w:multiLevelType w:val="multilevel"/>
    <w:tmpl w:val="00B2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6046354">
    <w:abstractNumId w:val="1"/>
  </w:num>
  <w:num w:numId="2" w16cid:durableId="767427764">
    <w:abstractNumId w:val="4"/>
  </w:num>
  <w:num w:numId="3" w16cid:durableId="1159733856">
    <w:abstractNumId w:val="6"/>
  </w:num>
  <w:num w:numId="4" w16cid:durableId="1610237111">
    <w:abstractNumId w:val="0"/>
  </w:num>
  <w:num w:numId="5" w16cid:durableId="1828281680">
    <w:abstractNumId w:val="2"/>
  </w:num>
  <w:num w:numId="6" w16cid:durableId="1549876061">
    <w:abstractNumId w:val="5"/>
  </w:num>
  <w:num w:numId="7" w16cid:durableId="1745568902">
    <w:abstractNumId w:val="3"/>
  </w:num>
  <w:num w:numId="8" w16cid:durableId="734665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0F1D"/>
    <w:rsid w:val="0000201D"/>
    <w:rsid w:val="00010B30"/>
    <w:rsid w:val="00023CF4"/>
    <w:rsid w:val="00052E68"/>
    <w:rsid w:val="00062C49"/>
    <w:rsid w:val="00062FC1"/>
    <w:rsid w:val="00064E7F"/>
    <w:rsid w:val="00072E80"/>
    <w:rsid w:val="000910AC"/>
    <w:rsid w:val="000978C5"/>
    <w:rsid w:val="000B291C"/>
    <w:rsid w:val="000B3887"/>
    <w:rsid w:val="000C63A1"/>
    <w:rsid w:val="000D503C"/>
    <w:rsid w:val="000F0821"/>
    <w:rsid w:val="00110599"/>
    <w:rsid w:val="0014135E"/>
    <w:rsid w:val="001450DF"/>
    <w:rsid w:val="001471FA"/>
    <w:rsid w:val="00147B0A"/>
    <w:rsid w:val="0016741A"/>
    <w:rsid w:val="00174384"/>
    <w:rsid w:val="0019597E"/>
    <w:rsid w:val="001A3888"/>
    <w:rsid w:val="001B2503"/>
    <w:rsid w:val="001B384C"/>
    <w:rsid w:val="001D31B4"/>
    <w:rsid w:val="001E1AC1"/>
    <w:rsid w:val="001F3A28"/>
    <w:rsid w:val="001F718A"/>
    <w:rsid w:val="0020620F"/>
    <w:rsid w:val="00211D25"/>
    <w:rsid w:val="002136A2"/>
    <w:rsid w:val="00217259"/>
    <w:rsid w:val="00217582"/>
    <w:rsid w:val="00225AC7"/>
    <w:rsid w:val="00236A83"/>
    <w:rsid w:val="002401D5"/>
    <w:rsid w:val="00244788"/>
    <w:rsid w:val="002751E6"/>
    <w:rsid w:val="0028429C"/>
    <w:rsid w:val="0029437D"/>
    <w:rsid w:val="002A40A1"/>
    <w:rsid w:val="002B032F"/>
    <w:rsid w:val="002B795C"/>
    <w:rsid w:val="002C2683"/>
    <w:rsid w:val="002D381D"/>
    <w:rsid w:val="002E4D87"/>
    <w:rsid w:val="002E6DB4"/>
    <w:rsid w:val="00305F43"/>
    <w:rsid w:val="003076D3"/>
    <w:rsid w:val="0031273C"/>
    <w:rsid w:val="003362DE"/>
    <w:rsid w:val="0033734E"/>
    <w:rsid w:val="003374D1"/>
    <w:rsid w:val="003377F2"/>
    <w:rsid w:val="003415F9"/>
    <w:rsid w:val="00375DE6"/>
    <w:rsid w:val="0038500F"/>
    <w:rsid w:val="003A2C9C"/>
    <w:rsid w:val="003B13FD"/>
    <w:rsid w:val="003B506C"/>
    <w:rsid w:val="003D7618"/>
    <w:rsid w:val="003F3828"/>
    <w:rsid w:val="004268F1"/>
    <w:rsid w:val="00480D56"/>
    <w:rsid w:val="004A2149"/>
    <w:rsid w:val="004B03F6"/>
    <w:rsid w:val="004C7AF3"/>
    <w:rsid w:val="004E1A80"/>
    <w:rsid w:val="005100C7"/>
    <w:rsid w:val="005167D8"/>
    <w:rsid w:val="005206D1"/>
    <w:rsid w:val="005226B0"/>
    <w:rsid w:val="00535782"/>
    <w:rsid w:val="00551CEE"/>
    <w:rsid w:val="00552784"/>
    <w:rsid w:val="0057518D"/>
    <w:rsid w:val="00587596"/>
    <w:rsid w:val="0059648E"/>
    <w:rsid w:val="005A5A1A"/>
    <w:rsid w:val="005A70AA"/>
    <w:rsid w:val="005C209A"/>
    <w:rsid w:val="005D4092"/>
    <w:rsid w:val="005E0BF8"/>
    <w:rsid w:val="005E16F6"/>
    <w:rsid w:val="00606296"/>
    <w:rsid w:val="00612FC4"/>
    <w:rsid w:val="00613028"/>
    <w:rsid w:val="00616398"/>
    <w:rsid w:val="00624B85"/>
    <w:rsid w:val="0063196F"/>
    <w:rsid w:val="00636388"/>
    <w:rsid w:val="00640DB9"/>
    <w:rsid w:val="00657515"/>
    <w:rsid w:val="0066727F"/>
    <w:rsid w:val="006723EA"/>
    <w:rsid w:val="006744B0"/>
    <w:rsid w:val="00675022"/>
    <w:rsid w:val="00681E7C"/>
    <w:rsid w:val="006C2256"/>
    <w:rsid w:val="006D5EBD"/>
    <w:rsid w:val="006E4066"/>
    <w:rsid w:val="00714849"/>
    <w:rsid w:val="0072189C"/>
    <w:rsid w:val="00726FDE"/>
    <w:rsid w:val="00730BF7"/>
    <w:rsid w:val="00735B12"/>
    <w:rsid w:val="007749E5"/>
    <w:rsid w:val="00777CB6"/>
    <w:rsid w:val="007A10DD"/>
    <w:rsid w:val="007A12B4"/>
    <w:rsid w:val="007B524E"/>
    <w:rsid w:val="007C0492"/>
    <w:rsid w:val="007C6B4B"/>
    <w:rsid w:val="007C700F"/>
    <w:rsid w:val="007D2FDE"/>
    <w:rsid w:val="007E014B"/>
    <w:rsid w:val="007F5990"/>
    <w:rsid w:val="007F5E92"/>
    <w:rsid w:val="00806862"/>
    <w:rsid w:val="008122C9"/>
    <w:rsid w:val="00815589"/>
    <w:rsid w:val="008332BE"/>
    <w:rsid w:val="0085543A"/>
    <w:rsid w:val="00877C4E"/>
    <w:rsid w:val="00877CAA"/>
    <w:rsid w:val="00895DC8"/>
    <w:rsid w:val="008A0005"/>
    <w:rsid w:val="008A0BDE"/>
    <w:rsid w:val="008A73EA"/>
    <w:rsid w:val="008B0AFE"/>
    <w:rsid w:val="008B5F1E"/>
    <w:rsid w:val="008B7F80"/>
    <w:rsid w:val="008D11A0"/>
    <w:rsid w:val="008E1441"/>
    <w:rsid w:val="008E7F61"/>
    <w:rsid w:val="008F1A57"/>
    <w:rsid w:val="008F22B1"/>
    <w:rsid w:val="008F542E"/>
    <w:rsid w:val="00904357"/>
    <w:rsid w:val="00906282"/>
    <w:rsid w:val="00920681"/>
    <w:rsid w:val="00920A35"/>
    <w:rsid w:val="00921216"/>
    <w:rsid w:val="00950F50"/>
    <w:rsid w:val="00954E3C"/>
    <w:rsid w:val="00970CC7"/>
    <w:rsid w:val="00980383"/>
    <w:rsid w:val="00990F8F"/>
    <w:rsid w:val="00993B48"/>
    <w:rsid w:val="009B0641"/>
    <w:rsid w:val="009C34D7"/>
    <w:rsid w:val="009C7C02"/>
    <w:rsid w:val="009E1F9D"/>
    <w:rsid w:val="00A0393C"/>
    <w:rsid w:val="00A10CBF"/>
    <w:rsid w:val="00A207C1"/>
    <w:rsid w:val="00A41226"/>
    <w:rsid w:val="00A47ECC"/>
    <w:rsid w:val="00A62BDF"/>
    <w:rsid w:val="00A6662A"/>
    <w:rsid w:val="00A71964"/>
    <w:rsid w:val="00A85B78"/>
    <w:rsid w:val="00A866C9"/>
    <w:rsid w:val="00A93689"/>
    <w:rsid w:val="00AA0275"/>
    <w:rsid w:val="00AA07D6"/>
    <w:rsid w:val="00AA5473"/>
    <w:rsid w:val="00AB3180"/>
    <w:rsid w:val="00AB331D"/>
    <w:rsid w:val="00AC00CB"/>
    <w:rsid w:val="00AE44A2"/>
    <w:rsid w:val="00AE571A"/>
    <w:rsid w:val="00AF2A13"/>
    <w:rsid w:val="00AF5457"/>
    <w:rsid w:val="00B01163"/>
    <w:rsid w:val="00B13FD3"/>
    <w:rsid w:val="00B3609D"/>
    <w:rsid w:val="00B4416D"/>
    <w:rsid w:val="00B555F7"/>
    <w:rsid w:val="00B56B85"/>
    <w:rsid w:val="00B77384"/>
    <w:rsid w:val="00B84BF0"/>
    <w:rsid w:val="00B92724"/>
    <w:rsid w:val="00B92756"/>
    <w:rsid w:val="00B936EC"/>
    <w:rsid w:val="00B95E36"/>
    <w:rsid w:val="00B97506"/>
    <w:rsid w:val="00BA3A58"/>
    <w:rsid w:val="00BA41D5"/>
    <w:rsid w:val="00BD610E"/>
    <w:rsid w:val="00BE3AA7"/>
    <w:rsid w:val="00BF7F49"/>
    <w:rsid w:val="00C07DCC"/>
    <w:rsid w:val="00C12439"/>
    <w:rsid w:val="00C16A9C"/>
    <w:rsid w:val="00C239D6"/>
    <w:rsid w:val="00C4220D"/>
    <w:rsid w:val="00C56C4B"/>
    <w:rsid w:val="00C900F5"/>
    <w:rsid w:val="00C938F9"/>
    <w:rsid w:val="00C93FC4"/>
    <w:rsid w:val="00CA01DF"/>
    <w:rsid w:val="00CA757D"/>
    <w:rsid w:val="00CB1F95"/>
    <w:rsid w:val="00CD49F5"/>
    <w:rsid w:val="00CF0700"/>
    <w:rsid w:val="00CF1538"/>
    <w:rsid w:val="00D07732"/>
    <w:rsid w:val="00D10362"/>
    <w:rsid w:val="00D1036E"/>
    <w:rsid w:val="00D149A0"/>
    <w:rsid w:val="00D229A5"/>
    <w:rsid w:val="00D27CE0"/>
    <w:rsid w:val="00D33C99"/>
    <w:rsid w:val="00D472EF"/>
    <w:rsid w:val="00D5468D"/>
    <w:rsid w:val="00D635E5"/>
    <w:rsid w:val="00D76DE7"/>
    <w:rsid w:val="00D81C6B"/>
    <w:rsid w:val="00D87C88"/>
    <w:rsid w:val="00D95CDC"/>
    <w:rsid w:val="00DA6D31"/>
    <w:rsid w:val="00DB0797"/>
    <w:rsid w:val="00DB1B28"/>
    <w:rsid w:val="00DC69FF"/>
    <w:rsid w:val="00DD5505"/>
    <w:rsid w:val="00DE485D"/>
    <w:rsid w:val="00DE5F3A"/>
    <w:rsid w:val="00E10DCE"/>
    <w:rsid w:val="00E11B77"/>
    <w:rsid w:val="00E20E95"/>
    <w:rsid w:val="00E241DB"/>
    <w:rsid w:val="00E27F6C"/>
    <w:rsid w:val="00E37E0B"/>
    <w:rsid w:val="00E57A90"/>
    <w:rsid w:val="00E63391"/>
    <w:rsid w:val="00E657A3"/>
    <w:rsid w:val="00E67101"/>
    <w:rsid w:val="00E73DD2"/>
    <w:rsid w:val="00E763EF"/>
    <w:rsid w:val="00E8277F"/>
    <w:rsid w:val="00E92FBA"/>
    <w:rsid w:val="00ED284D"/>
    <w:rsid w:val="00ED652F"/>
    <w:rsid w:val="00EF49D9"/>
    <w:rsid w:val="00F3171C"/>
    <w:rsid w:val="00F361C1"/>
    <w:rsid w:val="00F374F3"/>
    <w:rsid w:val="00F376F4"/>
    <w:rsid w:val="00F46DDB"/>
    <w:rsid w:val="00F64FB0"/>
    <w:rsid w:val="00F748A7"/>
    <w:rsid w:val="00F8146E"/>
    <w:rsid w:val="00F8150B"/>
    <w:rsid w:val="00F92584"/>
    <w:rsid w:val="00FA477F"/>
    <w:rsid w:val="00FA5A6F"/>
    <w:rsid w:val="00FA6EFE"/>
    <w:rsid w:val="00FB5541"/>
    <w:rsid w:val="00FD07C5"/>
    <w:rsid w:val="00FD2B92"/>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 w:type="paragraph" w:styleId="Revisin">
    <w:name w:val="Revision"/>
    <w:hidden/>
    <w:uiPriority w:val="99"/>
    <w:semiHidden/>
    <w:rsid w:val="00BA41D5"/>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78406654">
      <w:bodyDiv w:val="1"/>
      <w:marLeft w:val="0"/>
      <w:marRight w:val="0"/>
      <w:marTop w:val="0"/>
      <w:marBottom w:val="0"/>
      <w:divBdr>
        <w:top w:val="none" w:sz="0" w:space="0" w:color="auto"/>
        <w:left w:val="none" w:sz="0" w:space="0" w:color="auto"/>
        <w:bottom w:val="none" w:sz="0" w:space="0" w:color="auto"/>
        <w:right w:val="none" w:sz="0" w:space="0" w:color="auto"/>
      </w:divBdr>
      <w:divsChild>
        <w:div w:id="375011922">
          <w:marLeft w:val="0"/>
          <w:marRight w:val="0"/>
          <w:marTop w:val="0"/>
          <w:marBottom w:val="0"/>
          <w:divBdr>
            <w:top w:val="none" w:sz="0" w:space="0" w:color="auto"/>
            <w:left w:val="none" w:sz="0" w:space="0" w:color="auto"/>
            <w:bottom w:val="none" w:sz="0" w:space="0" w:color="auto"/>
            <w:right w:val="none" w:sz="0" w:space="0" w:color="auto"/>
          </w:divBdr>
        </w:div>
        <w:div w:id="125397349">
          <w:marLeft w:val="0"/>
          <w:marRight w:val="0"/>
          <w:marTop w:val="0"/>
          <w:marBottom w:val="0"/>
          <w:divBdr>
            <w:top w:val="none" w:sz="0" w:space="0" w:color="auto"/>
            <w:left w:val="none" w:sz="0" w:space="0" w:color="auto"/>
            <w:bottom w:val="none" w:sz="0" w:space="0" w:color="auto"/>
            <w:right w:val="none" w:sz="0" w:space="0" w:color="auto"/>
          </w:divBdr>
        </w:div>
        <w:div w:id="1622952132">
          <w:marLeft w:val="0"/>
          <w:marRight w:val="0"/>
          <w:marTop w:val="0"/>
          <w:marBottom w:val="0"/>
          <w:divBdr>
            <w:top w:val="none" w:sz="0" w:space="0" w:color="auto"/>
            <w:left w:val="none" w:sz="0" w:space="0" w:color="auto"/>
            <w:bottom w:val="none" w:sz="0" w:space="0" w:color="auto"/>
            <w:right w:val="none" w:sz="0" w:space="0" w:color="auto"/>
          </w:divBdr>
        </w:div>
        <w:div w:id="668599122">
          <w:marLeft w:val="0"/>
          <w:marRight w:val="0"/>
          <w:marTop w:val="0"/>
          <w:marBottom w:val="0"/>
          <w:divBdr>
            <w:top w:val="none" w:sz="0" w:space="0" w:color="auto"/>
            <w:left w:val="none" w:sz="0" w:space="0" w:color="auto"/>
            <w:bottom w:val="none" w:sz="0" w:space="0" w:color="auto"/>
            <w:right w:val="none" w:sz="0" w:space="0" w:color="auto"/>
          </w:divBdr>
        </w:div>
        <w:div w:id="1481381029">
          <w:marLeft w:val="0"/>
          <w:marRight w:val="0"/>
          <w:marTop w:val="0"/>
          <w:marBottom w:val="0"/>
          <w:divBdr>
            <w:top w:val="none" w:sz="0" w:space="0" w:color="auto"/>
            <w:left w:val="none" w:sz="0" w:space="0" w:color="auto"/>
            <w:bottom w:val="none" w:sz="0" w:space="0" w:color="auto"/>
            <w:right w:val="none" w:sz="0" w:space="0" w:color="auto"/>
          </w:divBdr>
        </w:div>
      </w:divsChild>
    </w:div>
    <w:div w:id="147014479">
      <w:bodyDiv w:val="1"/>
      <w:marLeft w:val="0"/>
      <w:marRight w:val="0"/>
      <w:marTop w:val="0"/>
      <w:marBottom w:val="0"/>
      <w:divBdr>
        <w:top w:val="none" w:sz="0" w:space="0" w:color="auto"/>
        <w:left w:val="none" w:sz="0" w:space="0" w:color="auto"/>
        <w:bottom w:val="none" w:sz="0" w:space="0" w:color="auto"/>
        <w:right w:val="none" w:sz="0" w:space="0" w:color="auto"/>
      </w:divBdr>
      <w:divsChild>
        <w:div w:id="588121343">
          <w:marLeft w:val="0"/>
          <w:marRight w:val="0"/>
          <w:marTop w:val="0"/>
          <w:marBottom w:val="160"/>
          <w:divBdr>
            <w:top w:val="none" w:sz="0" w:space="0" w:color="auto"/>
            <w:left w:val="none" w:sz="0" w:space="0" w:color="auto"/>
            <w:bottom w:val="none" w:sz="0" w:space="0" w:color="auto"/>
            <w:right w:val="none" w:sz="0" w:space="0" w:color="auto"/>
          </w:divBdr>
          <w:divsChild>
            <w:div w:id="1209220258">
              <w:marLeft w:val="0"/>
              <w:marRight w:val="0"/>
              <w:marTop w:val="0"/>
              <w:marBottom w:val="0"/>
              <w:divBdr>
                <w:top w:val="none" w:sz="0" w:space="0" w:color="auto"/>
                <w:left w:val="none" w:sz="0" w:space="0" w:color="auto"/>
                <w:bottom w:val="none" w:sz="0" w:space="0" w:color="auto"/>
                <w:right w:val="none" w:sz="0" w:space="0" w:color="auto"/>
              </w:divBdr>
            </w:div>
          </w:divsChild>
        </w:div>
        <w:div w:id="1508012390">
          <w:marLeft w:val="0"/>
          <w:marRight w:val="0"/>
          <w:marTop w:val="0"/>
          <w:marBottom w:val="160"/>
          <w:divBdr>
            <w:top w:val="none" w:sz="0" w:space="0" w:color="auto"/>
            <w:left w:val="none" w:sz="0" w:space="0" w:color="auto"/>
            <w:bottom w:val="none" w:sz="0" w:space="0" w:color="auto"/>
            <w:right w:val="none" w:sz="0" w:space="0" w:color="auto"/>
          </w:divBdr>
          <w:divsChild>
            <w:div w:id="791704590">
              <w:marLeft w:val="0"/>
              <w:marRight w:val="0"/>
              <w:marTop w:val="0"/>
              <w:marBottom w:val="0"/>
              <w:divBdr>
                <w:top w:val="none" w:sz="0" w:space="0" w:color="auto"/>
                <w:left w:val="none" w:sz="0" w:space="0" w:color="auto"/>
                <w:bottom w:val="none" w:sz="0" w:space="0" w:color="auto"/>
                <w:right w:val="none" w:sz="0" w:space="0" w:color="auto"/>
              </w:divBdr>
            </w:div>
          </w:divsChild>
        </w:div>
        <w:div w:id="1187788744">
          <w:marLeft w:val="0"/>
          <w:marRight w:val="0"/>
          <w:marTop w:val="0"/>
          <w:marBottom w:val="160"/>
          <w:divBdr>
            <w:top w:val="none" w:sz="0" w:space="0" w:color="auto"/>
            <w:left w:val="none" w:sz="0" w:space="0" w:color="auto"/>
            <w:bottom w:val="none" w:sz="0" w:space="0" w:color="auto"/>
            <w:right w:val="none" w:sz="0" w:space="0" w:color="auto"/>
          </w:divBdr>
          <w:divsChild>
            <w:div w:id="317810293">
              <w:marLeft w:val="0"/>
              <w:marRight w:val="0"/>
              <w:marTop w:val="0"/>
              <w:marBottom w:val="0"/>
              <w:divBdr>
                <w:top w:val="none" w:sz="0" w:space="0" w:color="auto"/>
                <w:left w:val="none" w:sz="0" w:space="0" w:color="auto"/>
                <w:bottom w:val="none" w:sz="0" w:space="0" w:color="auto"/>
                <w:right w:val="none" w:sz="0" w:space="0" w:color="auto"/>
              </w:divBdr>
            </w:div>
          </w:divsChild>
        </w:div>
        <w:div w:id="356470042">
          <w:marLeft w:val="0"/>
          <w:marRight w:val="0"/>
          <w:marTop w:val="0"/>
          <w:marBottom w:val="160"/>
          <w:divBdr>
            <w:top w:val="none" w:sz="0" w:space="0" w:color="auto"/>
            <w:left w:val="none" w:sz="0" w:space="0" w:color="auto"/>
            <w:bottom w:val="none" w:sz="0" w:space="0" w:color="auto"/>
            <w:right w:val="none" w:sz="0" w:space="0" w:color="auto"/>
          </w:divBdr>
          <w:divsChild>
            <w:div w:id="238759803">
              <w:marLeft w:val="0"/>
              <w:marRight w:val="0"/>
              <w:marTop w:val="0"/>
              <w:marBottom w:val="0"/>
              <w:divBdr>
                <w:top w:val="none" w:sz="0" w:space="0" w:color="auto"/>
                <w:left w:val="none" w:sz="0" w:space="0" w:color="auto"/>
                <w:bottom w:val="none" w:sz="0" w:space="0" w:color="auto"/>
                <w:right w:val="none" w:sz="0" w:space="0" w:color="auto"/>
              </w:divBdr>
            </w:div>
          </w:divsChild>
        </w:div>
        <w:div w:id="743989289">
          <w:marLeft w:val="0"/>
          <w:marRight w:val="0"/>
          <w:marTop w:val="0"/>
          <w:marBottom w:val="160"/>
          <w:divBdr>
            <w:top w:val="none" w:sz="0" w:space="0" w:color="auto"/>
            <w:left w:val="none" w:sz="0" w:space="0" w:color="auto"/>
            <w:bottom w:val="none" w:sz="0" w:space="0" w:color="auto"/>
            <w:right w:val="none" w:sz="0" w:space="0" w:color="auto"/>
          </w:divBdr>
          <w:divsChild>
            <w:div w:id="2053646410">
              <w:marLeft w:val="0"/>
              <w:marRight w:val="0"/>
              <w:marTop w:val="0"/>
              <w:marBottom w:val="0"/>
              <w:divBdr>
                <w:top w:val="none" w:sz="0" w:space="0" w:color="auto"/>
                <w:left w:val="none" w:sz="0" w:space="0" w:color="auto"/>
                <w:bottom w:val="none" w:sz="0" w:space="0" w:color="auto"/>
                <w:right w:val="none" w:sz="0" w:space="0" w:color="auto"/>
              </w:divBdr>
            </w:div>
          </w:divsChild>
        </w:div>
        <w:div w:id="454914308">
          <w:marLeft w:val="0"/>
          <w:marRight w:val="0"/>
          <w:marTop w:val="0"/>
          <w:marBottom w:val="160"/>
          <w:divBdr>
            <w:top w:val="none" w:sz="0" w:space="0" w:color="auto"/>
            <w:left w:val="none" w:sz="0" w:space="0" w:color="auto"/>
            <w:bottom w:val="none" w:sz="0" w:space="0" w:color="auto"/>
            <w:right w:val="none" w:sz="0" w:space="0" w:color="auto"/>
          </w:divBdr>
          <w:divsChild>
            <w:div w:id="998923821">
              <w:marLeft w:val="0"/>
              <w:marRight w:val="0"/>
              <w:marTop w:val="0"/>
              <w:marBottom w:val="0"/>
              <w:divBdr>
                <w:top w:val="none" w:sz="0" w:space="0" w:color="auto"/>
                <w:left w:val="none" w:sz="0" w:space="0" w:color="auto"/>
                <w:bottom w:val="none" w:sz="0" w:space="0" w:color="auto"/>
                <w:right w:val="none" w:sz="0" w:space="0" w:color="auto"/>
              </w:divBdr>
            </w:div>
          </w:divsChild>
        </w:div>
        <w:div w:id="914775702">
          <w:marLeft w:val="0"/>
          <w:marRight w:val="0"/>
          <w:marTop w:val="0"/>
          <w:marBottom w:val="160"/>
          <w:divBdr>
            <w:top w:val="none" w:sz="0" w:space="0" w:color="auto"/>
            <w:left w:val="none" w:sz="0" w:space="0" w:color="auto"/>
            <w:bottom w:val="none" w:sz="0" w:space="0" w:color="auto"/>
            <w:right w:val="none" w:sz="0" w:space="0" w:color="auto"/>
          </w:divBdr>
          <w:divsChild>
            <w:div w:id="1476796746">
              <w:marLeft w:val="0"/>
              <w:marRight w:val="0"/>
              <w:marTop w:val="0"/>
              <w:marBottom w:val="0"/>
              <w:divBdr>
                <w:top w:val="none" w:sz="0" w:space="0" w:color="auto"/>
                <w:left w:val="none" w:sz="0" w:space="0" w:color="auto"/>
                <w:bottom w:val="none" w:sz="0" w:space="0" w:color="auto"/>
                <w:right w:val="none" w:sz="0" w:space="0" w:color="auto"/>
              </w:divBdr>
            </w:div>
          </w:divsChild>
        </w:div>
        <w:div w:id="274093361">
          <w:marLeft w:val="0"/>
          <w:marRight w:val="0"/>
          <w:marTop w:val="0"/>
          <w:marBottom w:val="160"/>
          <w:divBdr>
            <w:top w:val="none" w:sz="0" w:space="0" w:color="auto"/>
            <w:left w:val="none" w:sz="0" w:space="0" w:color="auto"/>
            <w:bottom w:val="none" w:sz="0" w:space="0" w:color="auto"/>
            <w:right w:val="none" w:sz="0" w:space="0" w:color="auto"/>
          </w:divBdr>
          <w:divsChild>
            <w:div w:id="1076586717">
              <w:marLeft w:val="0"/>
              <w:marRight w:val="0"/>
              <w:marTop w:val="0"/>
              <w:marBottom w:val="0"/>
              <w:divBdr>
                <w:top w:val="none" w:sz="0" w:space="0" w:color="auto"/>
                <w:left w:val="none" w:sz="0" w:space="0" w:color="auto"/>
                <w:bottom w:val="none" w:sz="0" w:space="0" w:color="auto"/>
                <w:right w:val="none" w:sz="0" w:space="0" w:color="auto"/>
              </w:divBdr>
            </w:div>
          </w:divsChild>
        </w:div>
        <w:div w:id="1011371631">
          <w:marLeft w:val="0"/>
          <w:marRight w:val="0"/>
          <w:marTop w:val="0"/>
          <w:marBottom w:val="160"/>
          <w:divBdr>
            <w:top w:val="none" w:sz="0" w:space="0" w:color="auto"/>
            <w:left w:val="none" w:sz="0" w:space="0" w:color="auto"/>
            <w:bottom w:val="none" w:sz="0" w:space="0" w:color="auto"/>
            <w:right w:val="none" w:sz="0" w:space="0" w:color="auto"/>
          </w:divBdr>
          <w:divsChild>
            <w:div w:id="13137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285082098">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356009951">
      <w:bodyDiv w:val="1"/>
      <w:marLeft w:val="0"/>
      <w:marRight w:val="0"/>
      <w:marTop w:val="0"/>
      <w:marBottom w:val="0"/>
      <w:divBdr>
        <w:top w:val="none" w:sz="0" w:space="0" w:color="auto"/>
        <w:left w:val="none" w:sz="0" w:space="0" w:color="auto"/>
        <w:bottom w:val="none" w:sz="0" w:space="0" w:color="auto"/>
        <w:right w:val="none" w:sz="0" w:space="0" w:color="auto"/>
      </w:divBdr>
    </w:div>
    <w:div w:id="480275814">
      <w:bodyDiv w:val="1"/>
      <w:marLeft w:val="0"/>
      <w:marRight w:val="0"/>
      <w:marTop w:val="0"/>
      <w:marBottom w:val="0"/>
      <w:divBdr>
        <w:top w:val="none" w:sz="0" w:space="0" w:color="auto"/>
        <w:left w:val="none" w:sz="0" w:space="0" w:color="auto"/>
        <w:bottom w:val="none" w:sz="0" w:space="0" w:color="auto"/>
        <w:right w:val="none" w:sz="0" w:space="0" w:color="auto"/>
      </w:divBdr>
      <w:divsChild>
        <w:div w:id="1312832448">
          <w:marLeft w:val="0"/>
          <w:marRight w:val="0"/>
          <w:marTop w:val="240"/>
          <w:marBottom w:val="240"/>
          <w:divBdr>
            <w:top w:val="none" w:sz="0" w:space="0" w:color="auto"/>
            <w:left w:val="none" w:sz="0" w:space="0" w:color="auto"/>
            <w:bottom w:val="none" w:sz="0" w:space="0" w:color="auto"/>
            <w:right w:val="none" w:sz="0" w:space="0" w:color="auto"/>
          </w:divBdr>
        </w:div>
        <w:div w:id="1789742258">
          <w:marLeft w:val="0"/>
          <w:marRight w:val="0"/>
          <w:marTop w:val="240"/>
          <w:marBottom w:val="240"/>
          <w:divBdr>
            <w:top w:val="none" w:sz="0" w:space="0" w:color="auto"/>
            <w:left w:val="none" w:sz="0" w:space="0" w:color="auto"/>
            <w:bottom w:val="none" w:sz="0" w:space="0" w:color="auto"/>
            <w:right w:val="none" w:sz="0" w:space="0" w:color="auto"/>
          </w:divBdr>
        </w:div>
        <w:div w:id="726227979">
          <w:marLeft w:val="0"/>
          <w:marRight w:val="0"/>
          <w:marTop w:val="240"/>
          <w:marBottom w:val="240"/>
          <w:divBdr>
            <w:top w:val="none" w:sz="0" w:space="0" w:color="auto"/>
            <w:left w:val="none" w:sz="0" w:space="0" w:color="auto"/>
            <w:bottom w:val="none" w:sz="0" w:space="0" w:color="auto"/>
            <w:right w:val="none" w:sz="0" w:space="0" w:color="auto"/>
          </w:divBdr>
        </w:div>
        <w:div w:id="369383580">
          <w:marLeft w:val="0"/>
          <w:marRight w:val="0"/>
          <w:marTop w:val="240"/>
          <w:marBottom w:val="240"/>
          <w:divBdr>
            <w:top w:val="none" w:sz="0" w:space="0" w:color="auto"/>
            <w:left w:val="none" w:sz="0" w:space="0" w:color="auto"/>
            <w:bottom w:val="none" w:sz="0" w:space="0" w:color="auto"/>
            <w:right w:val="none" w:sz="0" w:space="0" w:color="auto"/>
          </w:divBdr>
        </w:div>
        <w:div w:id="1536695562">
          <w:marLeft w:val="0"/>
          <w:marRight w:val="0"/>
          <w:marTop w:val="240"/>
          <w:marBottom w:val="240"/>
          <w:divBdr>
            <w:top w:val="none" w:sz="0" w:space="0" w:color="auto"/>
            <w:left w:val="none" w:sz="0" w:space="0" w:color="auto"/>
            <w:bottom w:val="none" w:sz="0" w:space="0" w:color="auto"/>
            <w:right w:val="none" w:sz="0" w:space="0" w:color="auto"/>
          </w:divBdr>
        </w:div>
      </w:divsChild>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12038583">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74501942">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818153809">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953906036">
      <w:bodyDiv w:val="1"/>
      <w:marLeft w:val="0"/>
      <w:marRight w:val="0"/>
      <w:marTop w:val="0"/>
      <w:marBottom w:val="0"/>
      <w:divBdr>
        <w:top w:val="none" w:sz="0" w:space="0" w:color="auto"/>
        <w:left w:val="none" w:sz="0" w:space="0" w:color="auto"/>
        <w:bottom w:val="none" w:sz="0" w:space="0" w:color="auto"/>
        <w:right w:val="none" w:sz="0" w:space="0" w:color="auto"/>
      </w:divBdr>
      <w:divsChild>
        <w:div w:id="99688946">
          <w:marLeft w:val="0"/>
          <w:marRight w:val="0"/>
          <w:marTop w:val="0"/>
          <w:marBottom w:val="0"/>
          <w:divBdr>
            <w:top w:val="none" w:sz="0" w:space="0" w:color="auto"/>
            <w:left w:val="none" w:sz="0" w:space="0" w:color="auto"/>
            <w:bottom w:val="none" w:sz="0" w:space="0" w:color="auto"/>
            <w:right w:val="none" w:sz="0" w:space="0" w:color="auto"/>
          </w:divBdr>
        </w:div>
        <w:div w:id="1265772342">
          <w:marLeft w:val="0"/>
          <w:marRight w:val="0"/>
          <w:marTop w:val="0"/>
          <w:marBottom w:val="0"/>
          <w:divBdr>
            <w:top w:val="none" w:sz="0" w:space="0" w:color="auto"/>
            <w:left w:val="none" w:sz="0" w:space="0" w:color="auto"/>
            <w:bottom w:val="none" w:sz="0" w:space="0" w:color="auto"/>
            <w:right w:val="none" w:sz="0" w:space="0" w:color="auto"/>
          </w:divBdr>
        </w:div>
        <w:div w:id="1226528356">
          <w:marLeft w:val="0"/>
          <w:marRight w:val="0"/>
          <w:marTop w:val="0"/>
          <w:marBottom w:val="0"/>
          <w:divBdr>
            <w:top w:val="none" w:sz="0" w:space="0" w:color="auto"/>
            <w:left w:val="none" w:sz="0" w:space="0" w:color="auto"/>
            <w:bottom w:val="none" w:sz="0" w:space="0" w:color="auto"/>
            <w:right w:val="none" w:sz="0" w:space="0" w:color="auto"/>
          </w:divBdr>
        </w:div>
        <w:div w:id="1569850047">
          <w:marLeft w:val="0"/>
          <w:marRight w:val="0"/>
          <w:marTop w:val="0"/>
          <w:marBottom w:val="0"/>
          <w:divBdr>
            <w:top w:val="none" w:sz="0" w:space="0" w:color="auto"/>
            <w:left w:val="none" w:sz="0" w:space="0" w:color="auto"/>
            <w:bottom w:val="none" w:sz="0" w:space="0" w:color="auto"/>
            <w:right w:val="none" w:sz="0" w:space="0" w:color="auto"/>
          </w:divBdr>
        </w:div>
        <w:div w:id="1343238906">
          <w:marLeft w:val="0"/>
          <w:marRight w:val="0"/>
          <w:marTop w:val="0"/>
          <w:marBottom w:val="0"/>
          <w:divBdr>
            <w:top w:val="none" w:sz="0" w:space="0" w:color="auto"/>
            <w:left w:val="none" w:sz="0" w:space="0" w:color="auto"/>
            <w:bottom w:val="none" w:sz="0" w:space="0" w:color="auto"/>
            <w:right w:val="none" w:sz="0" w:space="0" w:color="auto"/>
          </w:divBdr>
        </w:div>
      </w:divsChild>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10514330">
      <w:bodyDiv w:val="1"/>
      <w:marLeft w:val="0"/>
      <w:marRight w:val="0"/>
      <w:marTop w:val="0"/>
      <w:marBottom w:val="0"/>
      <w:divBdr>
        <w:top w:val="none" w:sz="0" w:space="0" w:color="auto"/>
        <w:left w:val="none" w:sz="0" w:space="0" w:color="auto"/>
        <w:bottom w:val="none" w:sz="0" w:space="0" w:color="auto"/>
        <w:right w:val="none" w:sz="0" w:space="0" w:color="auto"/>
      </w:divBdr>
    </w:div>
    <w:div w:id="1197887233">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298602844">
      <w:bodyDiv w:val="1"/>
      <w:marLeft w:val="0"/>
      <w:marRight w:val="0"/>
      <w:marTop w:val="0"/>
      <w:marBottom w:val="0"/>
      <w:divBdr>
        <w:top w:val="none" w:sz="0" w:space="0" w:color="auto"/>
        <w:left w:val="none" w:sz="0" w:space="0" w:color="auto"/>
        <w:bottom w:val="none" w:sz="0" w:space="0" w:color="auto"/>
        <w:right w:val="none" w:sz="0" w:space="0" w:color="auto"/>
      </w:divBdr>
      <w:divsChild>
        <w:div w:id="966857667">
          <w:marLeft w:val="0"/>
          <w:marRight w:val="0"/>
          <w:marTop w:val="0"/>
          <w:marBottom w:val="0"/>
          <w:divBdr>
            <w:top w:val="none" w:sz="0" w:space="0" w:color="auto"/>
            <w:left w:val="none" w:sz="0" w:space="0" w:color="auto"/>
            <w:bottom w:val="none" w:sz="0" w:space="0" w:color="auto"/>
            <w:right w:val="none" w:sz="0" w:space="0" w:color="auto"/>
          </w:divBdr>
        </w:div>
        <w:div w:id="467553954">
          <w:marLeft w:val="0"/>
          <w:marRight w:val="0"/>
          <w:marTop w:val="0"/>
          <w:marBottom w:val="0"/>
          <w:divBdr>
            <w:top w:val="none" w:sz="0" w:space="0" w:color="auto"/>
            <w:left w:val="none" w:sz="0" w:space="0" w:color="auto"/>
            <w:bottom w:val="none" w:sz="0" w:space="0" w:color="auto"/>
            <w:right w:val="none" w:sz="0" w:space="0" w:color="auto"/>
          </w:divBdr>
        </w:div>
        <w:div w:id="1113205236">
          <w:marLeft w:val="0"/>
          <w:marRight w:val="0"/>
          <w:marTop w:val="0"/>
          <w:marBottom w:val="0"/>
          <w:divBdr>
            <w:top w:val="none" w:sz="0" w:space="0" w:color="auto"/>
            <w:left w:val="none" w:sz="0" w:space="0" w:color="auto"/>
            <w:bottom w:val="none" w:sz="0" w:space="0" w:color="auto"/>
            <w:right w:val="none" w:sz="0" w:space="0" w:color="auto"/>
          </w:divBdr>
        </w:div>
        <w:div w:id="1820465086">
          <w:marLeft w:val="0"/>
          <w:marRight w:val="0"/>
          <w:marTop w:val="0"/>
          <w:marBottom w:val="0"/>
          <w:divBdr>
            <w:top w:val="none" w:sz="0" w:space="0" w:color="auto"/>
            <w:left w:val="none" w:sz="0" w:space="0" w:color="auto"/>
            <w:bottom w:val="none" w:sz="0" w:space="0" w:color="auto"/>
            <w:right w:val="none" w:sz="0" w:space="0" w:color="auto"/>
          </w:divBdr>
        </w:div>
        <w:div w:id="460615466">
          <w:marLeft w:val="0"/>
          <w:marRight w:val="0"/>
          <w:marTop w:val="0"/>
          <w:marBottom w:val="0"/>
          <w:divBdr>
            <w:top w:val="none" w:sz="0" w:space="0" w:color="auto"/>
            <w:left w:val="none" w:sz="0" w:space="0" w:color="auto"/>
            <w:bottom w:val="none" w:sz="0" w:space="0" w:color="auto"/>
            <w:right w:val="none" w:sz="0" w:space="0" w:color="auto"/>
          </w:divBdr>
        </w:div>
      </w:divsChild>
    </w:div>
    <w:div w:id="1393118361">
      <w:bodyDiv w:val="1"/>
      <w:marLeft w:val="0"/>
      <w:marRight w:val="0"/>
      <w:marTop w:val="0"/>
      <w:marBottom w:val="0"/>
      <w:divBdr>
        <w:top w:val="none" w:sz="0" w:space="0" w:color="auto"/>
        <w:left w:val="none" w:sz="0" w:space="0" w:color="auto"/>
        <w:bottom w:val="none" w:sz="0" w:space="0" w:color="auto"/>
        <w:right w:val="none" w:sz="0" w:space="0" w:color="auto"/>
      </w:divBdr>
    </w:div>
    <w:div w:id="1430193929">
      <w:bodyDiv w:val="1"/>
      <w:marLeft w:val="0"/>
      <w:marRight w:val="0"/>
      <w:marTop w:val="0"/>
      <w:marBottom w:val="0"/>
      <w:divBdr>
        <w:top w:val="none" w:sz="0" w:space="0" w:color="auto"/>
        <w:left w:val="none" w:sz="0" w:space="0" w:color="auto"/>
        <w:bottom w:val="none" w:sz="0" w:space="0" w:color="auto"/>
        <w:right w:val="none" w:sz="0" w:space="0" w:color="auto"/>
      </w:divBdr>
      <w:divsChild>
        <w:div w:id="539174994">
          <w:marLeft w:val="0"/>
          <w:marRight w:val="0"/>
          <w:marTop w:val="0"/>
          <w:marBottom w:val="160"/>
          <w:divBdr>
            <w:top w:val="none" w:sz="0" w:space="0" w:color="auto"/>
            <w:left w:val="none" w:sz="0" w:space="0" w:color="auto"/>
            <w:bottom w:val="none" w:sz="0" w:space="0" w:color="auto"/>
            <w:right w:val="none" w:sz="0" w:space="0" w:color="auto"/>
          </w:divBdr>
          <w:divsChild>
            <w:div w:id="972632595">
              <w:marLeft w:val="0"/>
              <w:marRight w:val="0"/>
              <w:marTop w:val="0"/>
              <w:marBottom w:val="0"/>
              <w:divBdr>
                <w:top w:val="none" w:sz="0" w:space="0" w:color="auto"/>
                <w:left w:val="none" w:sz="0" w:space="0" w:color="auto"/>
                <w:bottom w:val="none" w:sz="0" w:space="0" w:color="auto"/>
                <w:right w:val="none" w:sz="0" w:space="0" w:color="auto"/>
              </w:divBdr>
            </w:div>
          </w:divsChild>
        </w:div>
        <w:div w:id="628896853">
          <w:marLeft w:val="0"/>
          <w:marRight w:val="0"/>
          <w:marTop w:val="0"/>
          <w:marBottom w:val="160"/>
          <w:divBdr>
            <w:top w:val="none" w:sz="0" w:space="0" w:color="auto"/>
            <w:left w:val="none" w:sz="0" w:space="0" w:color="auto"/>
            <w:bottom w:val="none" w:sz="0" w:space="0" w:color="auto"/>
            <w:right w:val="none" w:sz="0" w:space="0" w:color="auto"/>
          </w:divBdr>
          <w:divsChild>
            <w:div w:id="1704944618">
              <w:marLeft w:val="0"/>
              <w:marRight w:val="0"/>
              <w:marTop w:val="0"/>
              <w:marBottom w:val="0"/>
              <w:divBdr>
                <w:top w:val="none" w:sz="0" w:space="0" w:color="auto"/>
                <w:left w:val="none" w:sz="0" w:space="0" w:color="auto"/>
                <w:bottom w:val="none" w:sz="0" w:space="0" w:color="auto"/>
                <w:right w:val="none" w:sz="0" w:space="0" w:color="auto"/>
              </w:divBdr>
            </w:div>
          </w:divsChild>
        </w:div>
        <w:div w:id="1311252306">
          <w:marLeft w:val="0"/>
          <w:marRight w:val="0"/>
          <w:marTop w:val="0"/>
          <w:marBottom w:val="160"/>
          <w:divBdr>
            <w:top w:val="none" w:sz="0" w:space="0" w:color="auto"/>
            <w:left w:val="none" w:sz="0" w:space="0" w:color="auto"/>
            <w:bottom w:val="none" w:sz="0" w:space="0" w:color="auto"/>
            <w:right w:val="none" w:sz="0" w:space="0" w:color="auto"/>
          </w:divBdr>
          <w:divsChild>
            <w:div w:id="702629411">
              <w:marLeft w:val="0"/>
              <w:marRight w:val="0"/>
              <w:marTop w:val="0"/>
              <w:marBottom w:val="0"/>
              <w:divBdr>
                <w:top w:val="none" w:sz="0" w:space="0" w:color="auto"/>
                <w:left w:val="none" w:sz="0" w:space="0" w:color="auto"/>
                <w:bottom w:val="none" w:sz="0" w:space="0" w:color="auto"/>
                <w:right w:val="none" w:sz="0" w:space="0" w:color="auto"/>
              </w:divBdr>
            </w:div>
          </w:divsChild>
        </w:div>
        <w:div w:id="2114931344">
          <w:marLeft w:val="0"/>
          <w:marRight w:val="0"/>
          <w:marTop w:val="0"/>
          <w:marBottom w:val="160"/>
          <w:divBdr>
            <w:top w:val="none" w:sz="0" w:space="0" w:color="auto"/>
            <w:left w:val="none" w:sz="0" w:space="0" w:color="auto"/>
            <w:bottom w:val="none" w:sz="0" w:space="0" w:color="auto"/>
            <w:right w:val="none" w:sz="0" w:space="0" w:color="auto"/>
          </w:divBdr>
          <w:divsChild>
            <w:div w:id="579409961">
              <w:marLeft w:val="0"/>
              <w:marRight w:val="0"/>
              <w:marTop w:val="0"/>
              <w:marBottom w:val="0"/>
              <w:divBdr>
                <w:top w:val="none" w:sz="0" w:space="0" w:color="auto"/>
                <w:left w:val="none" w:sz="0" w:space="0" w:color="auto"/>
                <w:bottom w:val="none" w:sz="0" w:space="0" w:color="auto"/>
                <w:right w:val="none" w:sz="0" w:space="0" w:color="auto"/>
              </w:divBdr>
            </w:div>
          </w:divsChild>
        </w:div>
        <w:div w:id="1703674496">
          <w:marLeft w:val="0"/>
          <w:marRight w:val="0"/>
          <w:marTop w:val="0"/>
          <w:marBottom w:val="160"/>
          <w:divBdr>
            <w:top w:val="none" w:sz="0" w:space="0" w:color="auto"/>
            <w:left w:val="none" w:sz="0" w:space="0" w:color="auto"/>
            <w:bottom w:val="none" w:sz="0" w:space="0" w:color="auto"/>
            <w:right w:val="none" w:sz="0" w:space="0" w:color="auto"/>
          </w:divBdr>
          <w:divsChild>
            <w:div w:id="396051974">
              <w:marLeft w:val="0"/>
              <w:marRight w:val="0"/>
              <w:marTop w:val="0"/>
              <w:marBottom w:val="0"/>
              <w:divBdr>
                <w:top w:val="none" w:sz="0" w:space="0" w:color="auto"/>
                <w:left w:val="none" w:sz="0" w:space="0" w:color="auto"/>
                <w:bottom w:val="none" w:sz="0" w:space="0" w:color="auto"/>
                <w:right w:val="none" w:sz="0" w:space="0" w:color="auto"/>
              </w:divBdr>
            </w:div>
          </w:divsChild>
        </w:div>
        <w:div w:id="1553808123">
          <w:marLeft w:val="0"/>
          <w:marRight w:val="0"/>
          <w:marTop w:val="0"/>
          <w:marBottom w:val="160"/>
          <w:divBdr>
            <w:top w:val="none" w:sz="0" w:space="0" w:color="auto"/>
            <w:left w:val="none" w:sz="0" w:space="0" w:color="auto"/>
            <w:bottom w:val="none" w:sz="0" w:space="0" w:color="auto"/>
            <w:right w:val="none" w:sz="0" w:space="0" w:color="auto"/>
          </w:divBdr>
          <w:divsChild>
            <w:div w:id="1997343637">
              <w:marLeft w:val="0"/>
              <w:marRight w:val="0"/>
              <w:marTop w:val="0"/>
              <w:marBottom w:val="0"/>
              <w:divBdr>
                <w:top w:val="none" w:sz="0" w:space="0" w:color="auto"/>
                <w:left w:val="none" w:sz="0" w:space="0" w:color="auto"/>
                <w:bottom w:val="none" w:sz="0" w:space="0" w:color="auto"/>
                <w:right w:val="none" w:sz="0" w:space="0" w:color="auto"/>
              </w:divBdr>
            </w:div>
          </w:divsChild>
        </w:div>
        <w:div w:id="450561559">
          <w:marLeft w:val="0"/>
          <w:marRight w:val="0"/>
          <w:marTop w:val="0"/>
          <w:marBottom w:val="160"/>
          <w:divBdr>
            <w:top w:val="none" w:sz="0" w:space="0" w:color="auto"/>
            <w:left w:val="none" w:sz="0" w:space="0" w:color="auto"/>
            <w:bottom w:val="none" w:sz="0" w:space="0" w:color="auto"/>
            <w:right w:val="none" w:sz="0" w:space="0" w:color="auto"/>
          </w:divBdr>
          <w:divsChild>
            <w:div w:id="1498888867">
              <w:marLeft w:val="0"/>
              <w:marRight w:val="0"/>
              <w:marTop w:val="0"/>
              <w:marBottom w:val="0"/>
              <w:divBdr>
                <w:top w:val="none" w:sz="0" w:space="0" w:color="auto"/>
                <w:left w:val="none" w:sz="0" w:space="0" w:color="auto"/>
                <w:bottom w:val="none" w:sz="0" w:space="0" w:color="auto"/>
                <w:right w:val="none" w:sz="0" w:space="0" w:color="auto"/>
              </w:divBdr>
            </w:div>
          </w:divsChild>
        </w:div>
        <w:div w:id="518083710">
          <w:marLeft w:val="0"/>
          <w:marRight w:val="0"/>
          <w:marTop w:val="0"/>
          <w:marBottom w:val="160"/>
          <w:divBdr>
            <w:top w:val="none" w:sz="0" w:space="0" w:color="auto"/>
            <w:left w:val="none" w:sz="0" w:space="0" w:color="auto"/>
            <w:bottom w:val="none" w:sz="0" w:space="0" w:color="auto"/>
            <w:right w:val="none" w:sz="0" w:space="0" w:color="auto"/>
          </w:divBdr>
          <w:divsChild>
            <w:div w:id="810901248">
              <w:marLeft w:val="0"/>
              <w:marRight w:val="0"/>
              <w:marTop w:val="0"/>
              <w:marBottom w:val="0"/>
              <w:divBdr>
                <w:top w:val="none" w:sz="0" w:space="0" w:color="auto"/>
                <w:left w:val="none" w:sz="0" w:space="0" w:color="auto"/>
                <w:bottom w:val="none" w:sz="0" w:space="0" w:color="auto"/>
                <w:right w:val="none" w:sz="0" w:space="0" w:color="auto"/>
              </w:divBdr>
            </w:div>
          </w:divsChild>
        </w:div>
        <w:div w:id="418259679">
          <w:marLeft w:val="0"/>
          <w:marRight w:val="0"/>
          <w:marTop w:val="0"/>
          <w:marBottom w:val="160"/>
          <w:divBdr>
            <w:top w:val="none" w:sz="0" w:space="0" w:color="auto"/>
            <w:left w:val="none" w:sz="0" w:space="0" w:color="auto"/>
            <w:bottom w:val="none" w:sz="0" w:space="0" w:color="auto"/>
            <w:right w:val="none" w:sz="0" w:space="0" w:color="auto"/>
          </w:divBdr>
          <w:divsChild>
            <w:div w:id="306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865560">
      <w:bodyDiv w:val="1"/>
      <w:marLeft w:val="0"/>
      <w:marRight w:val="0"/>
      <w:marTop w:val="0"/>
      <w:marBottom w:val="0"/>
      <w:divBdr>
        <w:top w:val="none" w:sz="0" w:space="0" w:color="auto"/>
        <w:left w:val="none" w:sz="0" w:space="0" w:color="auto"/>
        <w:bottom w:val="none" w:sz="0" w:space="0" w:color="auto"/>
        <w:right w:val="none" w:sz="0" w:space="0" w:color="auto"/>
      </w:divBdr>
      <w:divsChild>
        <w:div w:id="462121400">
          <w:marLeft w:val="0"/>
          <w:marRight w:val="0"/>
          <w:marTop w:val="0"/>
          <w:marBottom w:val="0"/>
          <w:divBdr>
            <w:top w:val="none" w:sz="0" w:space="0" w:color="auto"/>
            <w:left w:val="none" w:sz="0" w:space="0" w:color="auto"/>
            <w:bottom w:val="none" w:sz="0" w:space="0" w:color="auto"/>
            <w:right w:val="none" w:sz="0" w:space="0" w:color="auto"/>
          </w:divBdr>
        </w:div>
        <w:div w:id="1310013116">
          <w:marLeft w:val="0"/>
          <w:marRight w:val="0"/>
          <w:marTop w:val="0"/>
          <w:marBottom w:val="0"/>
          <w:divBdr>
            <w:top w:val="none" w:sz="0" w:space="0" w:color="auto"/>
            <w:left w:val="none" w:sz="0" w:space="0" w:color="auto"/>
            <w:bottom w:val="none" w:sz="0" w:space="0" w:color="auto"/>
            <w:right w:val="none" w:sz="0" w:space="0" w:color="auto"/>
          </w:divBdr>
        </w:div>
        <w:div w:id="1481003278">
          <w:marLeft w:val="0"/>
          <w:marRight w:val="0"/>
          <w:marTop w:val="0"/>
          <w:marBottom w:val="0"/>
          <w:divBdr>
            <w:top w:val="none" w:sz="0" w:space="0" w:color="auto"/>
            <w:left w:val="none" w:sz="0" w:space="0" w:color="auto"/>
            <w:bottom w:val="none" w:sz="0" w:space="0" w:color="auto"/>
            <w:right w:val="none" w:sz="0" w:space="0" w:color="auto"/>
          </w:divBdr>
        </w:div>
        <w:div w:id="1702431875">
          <w:marLeft w:val="0"/>
          <w:marRight w:val="0"/>
          <w:marTop w:val="0"/>
          <w:marBottom w:val="0"/>
          <w:divBdr>
            <w:top w:val="none" w:sz="0" w:space="0" w:color="auto"/>
            <w:left w:val="none" w:sz="0" w:space="0" w:color="auto"/>
            <w:bottom w:val="none" w:sz="0" w:space="0" w:color="auto"/>
            <w:right w:val="none" w:sz="0" w:space="0" w:color="auto"/>
          </w:divBdr>
        </w:div>
        <w:div w:id="792792881">
          <w:marLeft w:val="0"/>
          <w:marRight w:val="0"/>
          <w:marTop w:val="0"/>
          <w:marBottom w:val="0"/>
          <w:divBdr>
            <w:top w:val="none" w:sz="0" w:space="0" w:color="auto"/>
            <w:left w:val="none" w:sz="0" w:space="0" w:color="auto"/>
            <w:bottom w:val="none" w:sz="0" w:space="0" w:color="auto"/>
            <w:right w:val="none" w:sz="0" w:space="0" w:color="auto"/>
          </w:divBdr>
        </w:div>
      </w:divsChild>
    </w:div>
    <w:div w:id="180296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91178">
          <w:marLeft w:val="0"/>
          <w:marRight w:val="0"/>
          <w:marTop w:val="0"/>
          <w:marBottom w:val="160"/>
          <w:divBdr>
            <w:top w:val="none" w:sz="0" w:space="0" w:color="auto"/>
            <w:left w:val="none" w:sz="0" w:space="0" w:color="auto"/>
            <w:bottom w:val="none" w:sz="0" w:space="0" w:color="auto"/>
            <w:right w:val="none" w:sz="0" w:space="0" w:color="auto"/>
          </w:divBdr>
          <w:divsChild>
            <w:div w:id="602107273">
              <w:marLeft w:val="0"/>
              <w:marRight w:val="0"/>
              <w:marTop w:val="0"/>
              <w:marBottom w:val="0"/>
              <w:divBdr>
                <w:top w:val="none" w:sz="0" w:space="0" w:color="auto"/>
                <w:left w:val="none" w:sz="0" w:space="0" w:color="auto"/>
                <w:bottom w:val="none" w:sz="0" w:space="0" w:color="auto"/>
                <w:right w:val="none" w:sz="0" w:space="0" w:color="auto"/>
              </w:divBdr>
            </w:div>
          </w:divsChild>
        </w:div>
        <w:div w:id="1985312368">
          <w:marLeft w:val="0"/>
          <w:marRight w:val="0"/>
          <w:marTop w:val="0"/>
          <w:marBottom w:val="160"/>
          <w:divBdr>
            <w:top w:val="none" w:sz="0" w:space="0" w:color="auto"/>
            <w:left w:val="none" w:sz="0" w:space="0" w:color="auto"/>
            <w:bottom w:val="none" w:sz="0" w:space="0" w:color="auto"/>
            <w:right w:val="none" w:sz="0" w:space="0" w:color="auto"/>
          </w:divBdr>
          <w:divsChild>
            <w:div w:id="246815138">
              <w:marLeft w:val="0"/>
              <w:marRight w:val="0"/>
              <w:marTop w:val="0"/>
              <w:marBottom w:val="0"/>
              <w:divBdr>
                <w:top w:val="none" w:sz="0" w:space="0" w:color="auto"/>
                <w:left w:val="none" w:sz="0" w:space="0" w:color="auto"/>
                <w:bottom w:val="none" w:sz="0" w:space="0" w:color="auto"/>
                <w:right w:val="none" w:sz="0" w:space="0" w:color="auto"/>
              </w:divBdr>
            </w:div>
          </w:divsChild>
        </w:div>
        <w:div w:id="1489203437">
          <w:marLeft w:val="0"/>
          <w:marRight w:val="0"/>
          <w:marTop w:val="0"/>
          <w:marBottom w:val="160"/>
          <w:divBdr>
            <w:top w:val="none" w:sz="0" w:space="0" w:color="auto"/>
            <w:left w:val="none" w:sz="0" w:space="0" w:color="auto"/>
            <w:bottom w:val="none" w:sz="0" w:space="0" w:color="auto"/>
            <w:right w:val="none" w:sz="0" w:space="0" w:color="auto"/>
          </w:divBdr>
          <w:divsChild>
            <w:div w:id="1637565917">
              <w:marLeft w:val="0"/>
              <w:marRight w:val="0"/>
              <w:marTop w:val="0"/>
              <w:marBottom w:val="0"/>
              <w:divBdr>
                <w:top w:val="none" w:sz="0" w:space="0" w:color="auto"/>
                <w:left w:val="none" w:sz="0" w:space="0" w:color="auto"/>
                <w:bottom w:val="none" w:sz="0" w:space="0" w:color="auto"/>
                <w:right w:val="none" w:sz="0" w:space="0" w:color="auto"/>
              </w:divBdr>
            </w:div>
          </w:divsChild>
        </w:div>
        <w:div w:id="1965039654">
          <w:marLeft w:val="0"/>
          <w:marRight w:val="0"/>
          <w:marTop w:val="0"/>
          <w:marBottom w:val="160"/>
          <w:divBdr>
            <w:top w:val="none" w:sz="0" w:space="0" w:color="auto"/>
            <w:left w:val="none" w:sz="0" w:space="0" w:color="auto"/>
            <w:bottom w:val="none" w:sz="0" w:space="0" w:color="auto"/>
            <w:right w:val="none" w:sz="0" w:space="0" w:color="auto"/>
          </w:divBdr>
          <w:divsChild>
            <w:div w:id="1791778168">
              <w:marLeft w:val="0"/>
              <w:marRight w:val="0"/>
              <w:marTop w:val="0"/>
              <w:marBottom w:val="0"/>
              <w:divBdr>
                <w:top w:val="none" w:sz="0" w:space="0" w:color="auto"/>
                <w:left w:val="none" w:sz="0" w:space="0" w:color="auto"/>
                <w:bottom w:val="none" w:sz="0" w:space="0" w:color="auto"/>
                <w:right w:val="none" w:sz="0" w:space="0" w:color="auto"/>
              </w:divBdr>
            </w:div>
          </w:divsChild>
        </w:div>
        <w:div w:id="918560249">
          <w:marLeft w:val="0"/>
          <w:marRight w:val="0"/>
          <w:marTop w:val="0"/>
          <w:marBottom w:val="160"/>
          <w:divBdr>
            <w:top w:val="none" w:sz="0" w:space="0" w:color="auto"/>
            <w:left w:val="none" w:sz="0" w:space="0" w:color="auto"/>
            <w:bottom w:val="none" w:sz="0" w:space="0" w:color="auto"/>
            <w:right w:val="none" w:sz="0" w:space="0" w:color="auto"/>
          </w:divBdr>
          <w:divsChild>
            <w:div w:id="1712916455">
              <w:marLeft w:val="0"/>
              <w:marRight w:val="0"/>
              <w:marTop w:val="0"/>
              <w:marBottom w:val="0"/>
              <w:divBdr>
                <w:top w:val="none" w:sz="0" w:space="0" w:color="auto"/>
                <w:left w:val="none" w:sz="0" w:space="0" w:color="auto"/>
                <w:bottom w:val="none" w:sz="0" w:space="0" w:color="auto"/>
                <w:right w:val="none" w:sz="0" w:space="0" w:color="auto"/>
              </w:divBdr>
            </w:div>
          </w:divsChild>
        </w:div>
        <w:div w:id="807433445">
          <w:marLeft w:val="0"/>
          <w:marRight w:val="0"/>
          <w:marTop w:val="0"/>
          <w:marBottom w:val="160"/>
          <w:divBdr>
            <w:top w:val="none" w:sz="0" w:space="0" w:color="auto"/>
            <w:left w:val="none" w:sz="0" w:space="0" w:color="auto"/>
            <w:bottom w:val="none" w:sz="0" w:space="0" w:color="auto"/>
            <w:right w:val="none" w:sz="0" w:space="0" w:color="auto"/>
          </w:divBdr>
          <w:divsChild>
            <w:div w:id="2101680755">
              <w:marLeft w:val="0"/>
              <w:marRight w:val="0"/>
              <w:marTop w:val="0"/>
              <w:marBottom w:val="0"/>
              <w:divBdr>
                <w:top w:val="none" w:sz="0" w:space="0" w:color="auto"/>
                <w:left w:val="none" w:sz="0" w:space="0" w:color="auto"/>
                <w:bottom w:val="none" w:sz="0" w:space="0" w:color="auto"/>
                <w:right w:val="none" w:sz="0" w:space="0" w:color="auto"/>
              </w:divBdr>
            </w:div>
          </w:divsChild>
        </w:div>
        <w:div w:id="1967537925">
          <w:marLeft w:val="0"/>
          <w:marRight w:val="0"/>
          <w:marTop w:val="0"/>
          <w:marBottom w:val="160"/>
          <w:divBdr>
            <w:top w:val="none" w:sz="0" w:space="0" w:color="auto"/>
            <w:left w:val="none" w:sz="0" w:space="0" w:color="auto"/>
            <w:bottom w:val="none" w:sz="0" w:space="0" w:color="auto"/>
            <w:right w:val="none" w:sz="0" w:space="0" w:color="auto"/>
          </w:divBdr>
          <w:divsChild>
            <w:div w:id="238830366">
              <w:marLeft w:val="0"/>
              <w:marRight w:val="0"/>
              <w:marTop w:val="0"/>
              <w:marBottom w:val="0"/>
              <w:divBdr>
                <w:top w:val="none" w:sz="0" w:space="0" w:color="auto"/>
                <w:left w:val="none" w:sz="0" w:space="0" w:color="auto"/>
                <w:bottom w:val="none" w:sz="0" w:space="0" w:color="auto"/>
                <w:right w:val="none" w:sz="0" w:space="0" w:color="auto"/>
              </w:divBdr>
            </w:div>
          </w:divsChild>
        </w:div>
        <w:div w:id="753746361">
          <w:marLeft w:val="0"/>
          <w:marRight w:val="0"/>
          <w:marTop w:val="0"/>
          <w:marBottom w:val="160"/>
          <w:divBdr>
            <w:top w:val="none" w:sz="0" w:space="0" w:color="auto"/>
            <w:left w:val="none" w:sz="0" w:space="0" w:color="auto"/>
            <w:bottom w:val="none" w:sz="0" w:space="0" w:color="auto"/>
            <w:right w:val="none" w:sz="0" w:space="0" w:color="auto"/>
          </w:divBdr>
          <w:divsChild>
            <w:div w:id="794758917">
              <w:marLeft w:val="0"/>
              <w:marRight w:val="0"/>
              <w:marTop w:val="0"/>
              <w:marBottom w:val="0"/>
              <w:divBdr>
                <w:top w:val="none" w:sz="0" w:space="0" w:color="auto"/>
                <w:left w:val="none" w:sz="0" w:space="0" w:color="auto"/>
                <w:bottom w:val="none" w:sz="0" w:space="0" w:color="auto"/>
                <w:right w:val="none" w:sz="0" w:space="0" w:color="auto"/>
              </w:divBdr>
            </w:div>
          </w:divsChild>
        </w:div>
        <w:div w:id="235628210">
          <w:marLeft w:val="0"/>
          <w:marRight w:val="0"/>
          <w:marTop w:val="0"/>
          <w:marBottom w:val="160"/>
          <w:divBdr>
            <w:top w:val="none" w:sz="0" w:space="0" w:color="auto"/>
            <w:left w:val="none" w:sz="0" w:space="0" w:color="auto"/>
            <w:bottom w:val="none" w:sz="0" w:space="0" w:color="auto"/>
            <w:right w:val="none" w:sz="0" w:space="0" w:color="auto"/>
          </w:divBdr>
          <w:divsChild>
            <w:div w:id="1865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82174680">
      <w:bodyDiv w:val="1"/>
      <w:marLeft w:val="0"/>
      <w:marRight w:val="0"/>
      <w:marTop w:val="0"/>
      <w:marBottom w:val="0"/>
      <w:divBdr>
        <w:top w:val="none" w:sz="0" w:space="0" w:color="auto"/>
        <w:left w:val="none" w:sz="0" w:space="0" w:color="auto"/>
        <w:bottom w:val="none" w:sz="0" w:space="0" w:color="auto"/>
        <w:right w:val="none" w:sz="0" w:space="0" w:color="auto"/>
      </w:divBdr>
      <w:divsChild>
        <w:div w:id="1773209856">
          <w:marLeft w:val="0"/>
          <w:marRight w:val="0"/>
          <w:marTop w:val="240"/>
          <w:marBottom w:val="240"/>
          <w:divBdr>
            <w:top w:val="none" w:sz="0" w:space="0" w:color="auto"/>
            <w:left w:val="none" w:sz="0" w:space="0" w:color="auto"/>
            <w:bottom w:val="none" w:sz="0" w:space="0" w:color="auto"/>
            <w:right w:val="none" w:sz="0" w:space="0" w:color="auto"/>
          </w:divBdr>
        </w:div>
        <w:div w:id="159853982">
          <w:marLeft w:val="0"/>
          <w:marRight w:val="0"/>
          <w:marTop w:val="240"/>
          <w:marBottom w:val="240"/>
          <w:divBdr>
            <w:top w:val="none" w:sz="0" w:space="0" w:color="auto"/>
            <w:left w:val="none" w:sz="0" w:space="0" w:color="auto"/>
            <w:bottom w:val="none" w:sz="0" w:space="0" w:color="auto"/>
            <w:right w:val="none" w:sz="0" w:space="0" w:color="auto"/>
          </w:divBdr>
        </w:div>
        <w:div w:id="1212886217">
          <w:marLeft w:val="0"/>
          <w:marRight w:val="0"/>
          <w:marTop w:val="240"/>
          <w:marBottom w:val="240"/>
          <w:divBdr>
            <w:top w:val="none" w:sz="0" w:space="0" w:color="auto"/>
            <w:left w:val="none" w:sz="0" w:space="0" w:color="auto"/>
            <w:bottom w:val="none" w:sz="0" w:space="0" w:color="auto"/>
            <w:right w:val="none" w:sz="0" w:space="0" w:color="auto"/>
          </w:divBdr>
        </w:div>
        <w:div w:id="1952129920">
          <w:marLeft w:val="0"/>
          <w:marRight w:val="0"/>
          <w:marTop w:val="240"/>
          <w:marBottom w:val="240"/>
          <w:divBdr>
            <w:top w:val="none" w:sz="0" w:space="0" w:color="auto"/>
            <w:left w:val="none" w:sz="0" w:space="0" w:color="auto"/>
            <w:bottom w:val="none" w:sz="0" w:space="0" w:color="auto"/>
            <w:right w:val="none" w:sz="0" w:space="0" w:color="auto"/>
          </w:divBdr>
        </w:div>
        <w:div w:id="19675458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2FC1"/>
    <w:rsid w:val="000634BC"/>
    <w:rsid w:val="001471FA"/>
    <w:rsid w:val="001824A8"/>
    <w:rsid w:val="001A298A"/>
    <w:rsid w:val="001F718A"/>
    <w:rsid w:val="00265E71"/>
    <w:rsid w:val="00297ED0"/>
    <w:rsid w:val="002F214A"/>
    <w:rsid w:val="002F791F"/>
    <w:rsid w:val="00401B74"/>
    <w:rsid w:val="00424BDF"/>
    <w:rsid w:val="00482394"/>
    <w:rsid w:val="004D658F"/>
    <w:rsid w:val="00535782"/>
    <w:rsid w:val="00545D98"/>
    <w:rsid w:val="0058341F"/>
    <w:rsid w:val="005C209A"/>
    <w:rsid w:val="005C624E"/>
    <w:rsid w:val="005D748E"/>
    <w:rsid w:val="006446D3"/>
    <w:rsid w:val="0069403E"/>
    <w:rsid w:val="006B33D7"/>
    <w:rsid w:val="006C1F61"/>
    <w:rsid w:val="0072189C"/>
    <w:rsid w:val="007257DB"/>
    <w:rsid w:val="00736B2E"/>
    <w:rsid w:val="0079412A"/>
    <w:rsid w:val="007B2D1A"/>
    <w:rsid w:val="00855753"/>
    <w:rsid w:val="008C07CD"/>
    <w:rsid w:val="008C27DC"/>
    <w:rsid w:val="008D4DF9"/>
    <w:rsid w:val="009C34D7"/>
    <w:rsid w:val="009C56BA"/>
    <w:rsid w:val="00A5325A"/>
    <w:rsid w:val="00A61C2C"/>
    <w:rsid w:val="00AA5473"/>
    <w:rsid w:val="00AB3180"/>
    <w:rsid w:val="00AE4FC3"/>
    <w:rsid w:val="00B01163"/>
    <w:rsid w:val="00B01EF6"/>
    <w:rsid w:val="00B77384"/>
    <w:rsid w:val="00B9159B"/>
    <w:rsid w:val="00BC19FF"/>
    <w:rsid w:val="00BE5B91"/>
    <w:rsid w:val="00BF6074"/>
    <w:rsid w:val="00C0586C"/>
    <w:rsid w:val="00C371EC"/>
    <w:rsid w:val="00C574C9"/>
    <w:rsid w:val="00C97172"/>
    <w:rsid w:val="00CD0526"/>
    <w:rsid w:val="00D10362"/>
    <w:rsid w:val="00D262C4"/>
    <w:rsid w:val="00D65F5D"/>
    <w:rsid w:val="00D819F2"/>
    <w:rsid w:val="00DC69FF"/>
    <w:rsid w:val="00E201D8"/>
    <w:rsid w:val="00E37E0B"/>
    <w:rsid w:val="00E6057A"/>
    <w:rsid w:val="00E738C3"/>
    <w:rsid w:val="00E73B5E"/>
    <w:rsid w:val="00F3171C"/>
    <w:rsid w:val="00F83AF3"/>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2142</Words>
  <Characters>11781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Raul Andres Lopez Romero</cp:lastModifiedBy>
  <cp:revision>4</cp:revision>
  <dcterms:created xsi:type="dcterms:W3CDTF">2024-12-23T16:56:00Z</dcterms:created>
  <dcterms:modified xsi:type="dcterms:W3CDTF">2024-12-23T16:56:00Z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