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081C40E6" w:rsidR="00F67EF8" w:rsidRPr="00BA1E5F" w:rsidRDefault="00227C53" w:rsidP="00F67EF8">
            <w:pPr>
              <w:spacing w:line="276" w:lineRule="auto"/>
              <w:jc w:val="both"/>
              <w:rPr>
                <w:rFonts w:ascii="Century Gothic" w:hAnsi="Century Gothic"/>
                <w:sz w:val="22"/>
                <w:szCs w:val="22"/>
              </w:rPr>
            </w:pPr>
            <w:r>
              <w:rPr>
                <w:rFonts w:ascii="Century Gothic" w:hAnsi="Century Gothic"/>
                <w:sz w:val="22"/>
                <w:szCs w:val="22"/>
              </w:rPr>
              <w:t>1</w:t>
            </w:r>
            <w:r w:rsidR="005C17E5">
              <w:rPr>
                <w:rFonts w:ascii="Century Gothic" w:hAnsi="Century Gothic"/>
                <w:sz w:val="22"/>
                <w:szCs w:val="22"/>
              </w:rPr>
              <w:t>8</w:t>
            </w:r>
            <w:r w:rsidR="00134FA7">
              <w:rPr>
                <w:rFonts w:ascii="Century Gothic" w:hAnsi="Century Gothic"/>
                <w:sz w:val="22"/>
                <w:szCs w:val="22"/>
              </w:rPr>
              <w:t>/02/2025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264BA52" w:rsidR="00F67EF8" w:rsidRPr="00BA1E5F" w:rsidRDefault="00134FA7"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212141F" w:rsidR="00F67EF8" w:rsidRPr="00BA1E5F" w:rsidRDefault="00134FA7" w:rsidP="00F67EF8">
            <w:pPr>
              <w:spacing w:line="276" w:lineRule="auto"/>
              <w:jc w:val="both"/>
              <w:rPr>
                <w:rFonts w:ascii="Century Gothic" w:hAnsi="Century Gothic"/>
                <w:sz w:val="22"/>
                <w:szCs w:val="22"/>
              </w:rPr>
            </w:pPr>
            <w:r>
              <w:rPr>
                <w:rFonts w:ascii="Century Gothic" w:hAnsi="Century Gothic"/>
                <w:sz w:val="22"/>
                <w:szCs w:val="22"/>
              </w:rPr>
              <w:t>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04A0580" w:rsidR="00F67EF8" w:rsidRPr="008631DE" w:rsidRDefault="008631DE" w:rsidP="00F67EF8">
            <w:pPr>
              <w:spacing w:line="276" w:lineRule="auto"/>
              <w:jc w:val="both"/>
              <w:rPr>
                <w:rFonts w:ascii="Century Gothic" w:hAnsi="Century Gothic"/>
                <w:sz w:val="22"/>
                <w:szCs w:val="22"/>
                <w:lang w:val="es-CO"/>
              </w:rPr>
            </w:pPr>
            <w:r w:rsidRPr="008631DE">
              <w:rPr>
                <w:rFonts w:ascii="Century Gothic" w:hAnsi="Century Gothic"/>
                <w:sz w:val="22"/>
                <w:szCs w:val="22"/>
                <w:lang w:val="es-CO"/>
              </w:rPr>
              <w:t>10718</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D11E1E9" w:rsidR="00F67EF8" w:rsidRPr="00BA1E5F" w:rsidRDefault="00134FA7" w:rsidP="00F67EF8">
            <w:pPr>
              <w:spacing w:line="276" w:lineRule="auto"/>
              <w:jc w:val="both"/>
              <w:rPr>
                <w:rFonts w:ascii="Century Gothic" w:hAnsi="Century Gothic"/>
                <w:sz w:val="22"/>
                <w:szCs w:val="22"/>
              </w:rPr>
            </w:pPr>
            <w:r>
              <w:rPr>
                <w:rFonts w:ascii="Century Gothic" w:hAnsi="Century Gothic"/>
                <w:sz w:val="22"/>
                <w:szCs w:val="22"/>
              </w:rPr>
              <w:t>Juzgado Catorce Civil del Circuito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0867548C" w:rsidR="00F67EF8" w:rsidRPr="00BA1E5F" w:rsidRDefault="00134FA7" w:rsidP="00F67EF8">
            <w:pPr>
              <w:spacing w:line="276" w:lineRule="auto"/>
              <w:jc w:val="both"/>
              <w:rPr>
                <w:rFonts w:ascii="Century Gothic" w:hAnsi="Century Gothic"/>
                <w:sz w:val="22"/>
                <w:szCs w:val="22"/>
              </w:rPr>
            </w:pPr>
            <w:r>
              <w:rPr>
                <w:rFonts w:ascii="Century Gothic" w:hAnsi="Century Gothic"/>
                <w:sz w:val="22"/>
                <w:szCs w:val="22"/>
              </w:rPr>
              <w:t>Cali</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27F0468" w:rsidR="00992368" w:rsidRPr="00BA1E5F" w:rsidRDefault="00134FA7" w:rsidP="00F67EF8">
            <w:pPr>
              <w:spacing w:line="276" w:lineRule="auto"/>
              <w:jc w:val="both"/>
              <w:rPr>
                <w:rFonts w:ascii="Century Gothic" w:hAnsi="Century Gothic"/>
                <w:sz w:val="22"/>
                <w:szCs w:val="22"/>
              </w:rPr>
            </w:pPr>
            <w:r w:rsidRPr="00134FA7">
              <w:rPr>
                <w:rFonts w:ascii="Century Gothic" w:hAnsi="Century Gothic"/>
                <w:sz w:val="22"/>
                <w:szCs w:val="22"/>
              </w:rPr>
              <w:t>76001310301420240032200</w:t>
            </w:r>
            <w:r>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7CC7E8D4" w:rsidR="00992368" w:rsidRPr="00BA1E5F" w:rsidRDefault="00134FA7" w:rsidP="00F67EF8">
            <w:pPr>
              <w:spacing w:line="276" w:lineRule="auto"/>
              <w:jc w:val="both"/>
              <w:rPr>
                <w:rFonts w:ascii="Century Gothic" w:hAnsi="Century Gothic"/>
                <w:sz w:val="22"/>
                <w:szCs w:val="22"/>
              </w:rPr>
            </w:pPr>
            <w:r>
              <w:rPr>
                <w:rFonts w:ascii="Century Gothic" w:hAnsi="Century Gothic"/>
                <w:sz w:val="22"/>
                <w:szCs w:val="22"/>
              </w:rPr>
              <w:t>1</w:t>
            </w:r>
            <w:r w:rsidR="00227C53">
              <w:rPr>
                <w:rFonts w:ascii="Century Gothic" w:hAnsi="Century Gothic"/>
                <w:sz w:val="22"/>
                <w:szCs w:val="22"/>
              </w:rPr>
              <w:t>9 de febrero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0AFBE8D5" w:rsidR="00992368" w:rsidRPr="00BA1E5F" w:rsidRDefault="00227C53" w:rsidP="00F67EF8">
            <w:pPr>
              <w:spacing w:line="276" w:lineRule="auto"/>
              <w:jc w:val="both"/>
              <w:rPr>
                <w:rFonts w:ascii="Century Gothic" w:hAnsi="Century Gothic"/>
                <w:sz w:val="22"/>
                <w:szCs w:val="22"/>
              </w:rPr>
            </w:pPr>
            <w:r>
              <w:rPr>
                <w:rFonts w:ascii="Century Gothic" w:hAnsi="Century Gothic"/>
                <w:sz w:val="22"/>
                <w:szCs w:val="22"/>
              </w:rPr>
              <w:t>10</w:t>
            </w:r>
            <w:r w:rsidR="00134FA7">
              <w:rPr>
                <w:rFonts w:ascii="Century Gothic" w:hAnsi="Century Gothic"/>
                <w:sz w:val="22"/>
                <w:szCs w:val="22"/>
              </w:rPr>
              <w:t>/0</w:t>
            </w:r>
            <w:r>
              <w:rPr>
                <w:rFonts w:ascii="Century Gothic" w:hAnsi="Century Gothic"/>
                <w:sz w:val="22"/>
                <w:szCs w:val="22"/>
              </w:rPr>
              <w:t>3</w:t>
            </w:r>
            <w:r w:rsidR="00134FA7">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03166397" w14:textId="77777777" w:rsidR="00134FA7" w:rsidRPr="00134FA7" w:rsidRDefault="00134FA7" w:rsidP="00EA7A3A">
            <w:pPr>
              <w:spacing w:line="276" w:lineRule="auto"/>
              <w:jc w:val="both"/>
              <w:rPr>
                <w:rFonts w:ascii="Century Gothic" w:hAnsi="Century Gothic"/>
                <w:sz w:val="22"/>
                <w:szCs w:val="22"/>
                <w:lang w:val="es-CO"/>
              </w:rPr>
            </w:pPr>
            <w:r w:rsidRPr="00134FA7">
              <w:rPr>
                <w:rFonts w:ascii="Century Gothic" w:hAnsi="Century Gothic"/>
                <w:sz w:val="22"/>
                <w:szCs w:val="22"/>
                <w:lang w:val="es-CO"/>
              </w:rPr>
              <w:t xml:space="preserve">El día 10 de septiembre de 2019, la señora </w:t>
            </w:r>
            <w:proofErr w:type="spellStart"/>
            <w:r w:rsidRPr="00134FA7">
              <w:rPr>
                <w:rFonts w:ascii="Century Gothic" w:hAnsi="Century Gothic"/>
                <w:sz w:val="22"/>
                <w:szCs w:val="22"/>
                <w:lang w:val="es-CO"/>
              </w:rPr>
              <w:t>Milexis</w:t>
            </w:r>
            <w:proofErr w:type="spellEnd"/>
            <w:r w:rsidRPr="00134FA7">
              <w:rPr>
                <w:rFonts w:ascii="Century Gothic" w:hAnsi="Century Gothic"/>
                <w:sz w:val="22"/>
                <w:szCs w:val="22"/>
                <w:lang w:val="es-CO"/>
              </w:rPr>
              <w:t xml:space="preserve"> Andreina Diaz Rada fue remitida con orden de parto desde el Hospital Carlos Holmes Trujillo al Hospital San Juan De Dios con el fin de que continúe los controles de su embarazo al considerarse que contaba con factores de riesgo. Posteriormente, el día 11 de septiembre de 2019 es atendida por la Dra. Olga Lucía Cuero debido a sus antecedentes de preeclampsia y obesidad, la galena manifiesta en dicho control que el crecimiento de la hija de la señora </w:t>
            </w:r>
            <w:proofErr w:type="spellStart"/>
            <w:r w:rsidRPr="00134FA7">
              <w:rPr>
                <w:rFonts w:ascii="Century Gothic" w:hAnsi="Century Gothic"/>
                <w:sz w:val="22"/>
                <w:szCs w:val="22"/>
                <w:lang w:val="es-CO"/>
              </w:rPr>
              <w:t>Milexis</w:t>
            </w:r>
            <w:proofErr w:type="spellEnd"/>
            <w:r w:rsidRPr="00134FA7">
              <w:rPr>
                <w:rFonts w:ascii="Century Gothic" w:hAnsi="Century Gothic"/>
                <w:sz w:val="22"/>
                <w:szCs w:val="22"/>
                <w:lang w:val="es-CO"/>
              </w:rPr>
              <w:t xml:space="preserve"> era normal.</w:t>
            </w:r>
          </w:p>
          <w:p w14:paraId="0CF75C32" w14:textId="77777777" w:rsidR="00134FA7" w:rsidRPr="00134FA7" w:rsidRDefault="00134FA7" w:rsidP="00EA7A3A">
            <w:pPr>
              <w:spacing w:line="276" w:lineRule="auto"/>
              <w:jc w:val="both"/>
              <w:rPr>
                <w:rFonts w:ascii="Century Gothic" w:hAnsi="Century Gothic"/>
                <w:sz w:val="22"/>
                <w:szCs w:val="22"/>
                <w:lang w:val="es-CO"/>
              </w:rPr>
            </w:pPr>
            <w:r w:rsidRPr="00134FA7">
              <w:rPr>
                <w:rFonts w:ascii="Century Gothic" w:hAnsi="Century Gothic"/>
                <w:sz w:val="22"/>
                <w:szCs w:val="22"/>
                <w:lang w:val="es-CO"/>
              </w:rPr>
              <w:t> </w:t>
            </w:r>
          </w:p>
          <w:p w14:paraId="08989075" w14:textId="676A0898" w:rsidR="00134FA7" w:rsidRPr="00134FA7" w:rsidRDefault="00134FA7" w:rsidP="00EA7A3A">
            <w:pPr>
              <w:spacing w:line="276" w:lineRule="auto"/>
              <w:jc w:val="both"/>
              <w:rPr>
                <w:rFonts w:ascii="Century Gothic" w:hAnsi="Century Gothic"/>
                <w:sz w:val="22"/>
                <w:szCs w:val="22"/>
                <w:lang w:val="es-CO"/>
              </w:rPr>
            </w:pPr>
            <w:r w:rsidRPr="00134FA7">
              <w:rPr>
                <w:rFonts w:ascii="Century Gothic" w:hAnsi="Century Gothic"/>
                <w:sz w:val="22"/>
                <w:szCs w:val="22"/>
                <w:lang w:val="es-CO"/>
              </w:rPr>
              <w:t xml:space="preserve">La paciente continuó con los mencionados controles y el día 25 de septiembre de 2019 asistió a control prenatal con la Dra. María Adelaida Vélez </w:t>
            </w:r>
            <w:r w:rsidR="009C4AD0">
              <w:rPr>
                <w:rFonts w:ascii="Century Gothic" w:hAnsi="Century Gothic"/>
                <w:sz w:val="22"/>
                <w:szCs w:val="22"/>
                <w:lang w:val="es-CO"/>
              </w:rPr>
              <w:t>en el cual</w:t>
            </w:r>
            <w:r w:rsidRPr="00134FA7">
              <w:rPr>
                <w:rFonts w:ascii="Century Gothic" w:hAnsi="Century Gothic"/>
                <w:sz w:val="22"/>
                <w:szCs w:val="22"/>
                <w:lang w:val="es-CO"/>
              </w:rPr>
              <w:t xml:space="preserve"> refirió sentirse enferma, con pérdida de líquido, cefalea, </w:t>
            </w:r>
            <w:proofErr w:type="spellStart"/>
            <w:r w:rsidRPr="00134FA7">
              <w:rPr>
                <w:rFonts w:ascii="Century Gothic" w:hAnsi="Century Gothic"/>
                <w:sz w:val="22"/>
                <w:szCs w:val="22"/>
                <w:lang w:val="es-CO"/>
              </w:rPr>
              <w:t>tinitus</w:t>
            </w:r>
            <w:proofErr w:type="spellEnd"/>
            <w:r w:rsidRPr="00134FA7">
              <w:rPr>
                <w:rFonts w:ascii="Century Gothic" w:hAnsi="Century Gothic"/>
                <w:sz w:val="22"/>
                <w:szCs w:val="22"/>
                <w:lang w:val="es-CO"/>
              </w:rPr>
              <w:t>, mareo y que su hija presentaba poca movilidad, motivos por los cuales se realiza en horas de la noche la primera inducción del parto presentando presión alta y no dilatación.</w:t>
            </w:r>
          </w:p>
          <w:p w14:paraId="5FEA9C01" w14:textId="77777777" w:rsidR="00134FA7" w:rsidRPr="00134FA7" w:rsidRDefault="00134FA7" w:rsidP="00EA7A3A">
            <w:pPr>
              <w:spacing w:line="276" w:lineRule="auto"/>
              <w:jc w:val="both"/>
              <w:rPr>
                <w:rFonts w:ascii="Century Gothic" w:hAnsi="Century Gothic"/>
                <w:sz w:val="22"/>
                <w:szCs w:val="22"/>
                <w:lang w:val="es-CO"/>
              </w:rPr>
            </w:pPr>
            <w:r w:rsidRPr="00134FA7">
              <w:rPr>
                <w:rFonts w:ascii="Century Gothic" w:hAnsi="Century Gothic"/>
                <w:sz w:val="22"/>
                <w:szCs w:val="22"/>
                <w:lang w:val="es-CO"/>
              </w:rPr>
              <w:t> </w:t>
            </w:r>
          </w:p>
          <w:p w14:paraId="3C45EA3E" w14:textId="5631CAB8" w:rsidR="00FD53B3" w:rsidRPr="00BA1E5F" w:rsidRDefault="00134FA7" w:rsidP="005C17E5">
            <w:pPr>
              <w:spacing w:line="276" w:lineRule="auto"/>
              <w:jc w:val="both"/>
              <w:rPr>
                <w:rFonts w:ascii="Century Gothic" w:hAnsi="Century Gothic"/>
                <w:sz w:val="22"/>
                <w:szCs w:val="22"/>
              </w:rPr>
            </w:pPr>
            <w:r w:rsidRPr="00134FA7">
              <w:rPr>
                <w:rFonts w:ascii="Century Gothic" w:hAnsi="Century Gothic"/>
                <w:sz w:val="22"/>
                <w:szCs w:val="22"/>
                <w:lang w:val="es-CO"/>
              </w:rPr>
              <w:t>Al día siguiente, esto es 26 de septiembre de 2019, la paciente tiene dos intentos más de inducción del parto los cuales resultan fallidos</w:t>
            </w:r>
            <w:r w:rsidR="009C4AD0">
              <w:rPr>
                <w:rFonts w:ascii="Century Gothic" w:hAnsi="Century Gothic"/>
                <w:sz w:val="22"/>
                <w:szCs w:val="22"/>
                <w:lang w:val="es-CO"/>
              </w:rPr>
              <w:t>, por lo que</w:t>
            </w:r>
            <w:r w:rsidRPr="00134FA7">
              <w:rPr>
                <w:rFonts w:ascii="Century Gothic" w:hAnsi="Century Gothic"/>
                <w:sz w:val="22"/>
                <w:szCs w:val="22"/>
                <w:lang w:val="es-CO"/>
              </w:rPr>
              <w:t xml:space="preserve"> posteriormente se le realiza cesárea </w:t>
            </w:r>
            <w:r w:rsidR="009C4AD0">
              <w:rPr>
                <w:rFonts w:ascii="Century Gothic" w:hAnsi="Century Gothic"/>
                <w:sz w:val="22"/>
                <w:szCs w:val="22"/>
                <w:lang w:val="es-CO"/>
              </w:rPr>
              <w:t>y da a luz</w:t>
            </w:r>
            <w:r w:rsidRPr="00134FA7">
              <w:rPr>
                <w:rFonts w:ascii="Century Gothic" w:hAnsi="Century Gothic"/>
                <w:sz w:val="22"/>
                <w:szCs w:val="22"/>
                <w:lang w:val="es-CO"/>
              </w:rPr>
              <w:t xml:space="preserve"> a su hija a quien se le efectuó </w:t>
            </w:r>
            <w:r w:rsidR="009C4AD0">
              <w:rPr>
                <w:rFonts w:ascii="Century Gothic" w:hAnsi="Century Gothic"/>
                <w:sz w:val="22"/>
                <w:szCs w:val="22"/>
                <w:lang w:val="es-CO"/>
              </w:rPr>
              <w:t xml:space="preserve">tácticas de </w:t>
            </w:r>
            <w:r w:rsidRPr="00134FA7">
              <w:rPr>
                <w:rFonts w:ascii="Century Gothic" w:hAnsi="Century Gothic"/>
                <w:sz w:val="22"/>
                <w:szCs w:val="22"/>
                <w:lang w:val="es-CO"/>
              </w:rPr>
              <w:t>reanimaci</w:t>
            </w:r>
            <w:r w:rsidR="009C4AD0">
              <w:rPr>
                <w:rFonts w:ascii="Century Gothic" w:hAnsi="Century Gothic"/>
                <w:sz w:val="22"/>
                <w:szCs w:val="22"/>
                <w:lang w:val="es-CO"/>
              </w:rPr>
              <w:t>ón</w:t>
            </w:r>
            <w:r w:rsidRPr="00134FA7">
              <w:rPr>
                <w:rFonts w:ascii="Century Gothic" w:hAnsi="Century Gothic"/>
                <w:sz w:val="22"/>
                <w:szCs w:val="22"/>
                <w:lang w:val="es-CO"/>
              </w:rPr>
              <w:t xml:space="preserve"> debido al diagnóstico de asfixia leve y moderada. Además, la hija de la señora </w:t>
            </w:r>
            <w:proofErr w:type="spellStart"/>
            <w:r w:rsidRPr="00134FA7">
              <w:rPr>
                <w:rFonts w:ascii="Century Gothic" w:hAnsi="Century Gothic"/>
                <w:sz w:val="22"/>
                <w:szCs w:val="22"/>
                <w:lang w:val="es-CO"/>
              </w:rPr>
              <w:t>Milexis</w:t>
            </w:r>
            <w:proofErr w:type="spellEnd"/>
            <w:r w:rsidRPr="00134FA7">
              <w:rPr>
                <w:rFonts w:ascii="Century Gothic" w:hAnsi="Century Gothic"/>
                <w:sz w:val="22"/>
                <w:szCs w:val="22"/>
                <w:lang w:val="es-CO"/>
              </w:rPr>
              <w:t xml:space="preserve"> presentó convulsiones por lo que fue remitida a UCI neonatal en la Clínica Nuestra Señora de los remedios</w:t>
            </w:r>
            <w:r w:rsidR="00A90755">
              <w:rPr>
                <w:rFonts w:ascii="Century Gothic" w:hAnsi="Century Gothic"/>
                <w:sz w:val="22"/>
                <w:szCs w:val="22"/>
                <w:lang w:val="es-CO"/>
              </w:rPr>
              <w:t xml:space="preserve"> informándole que los padecimientos de su hija eran congénitos. Una vez trasladada a dicha clínica,</w:t>
            </w:r>
            <w:r w:rsidRPr="00134FA7">
              <w:rPr>
                <w:rFonts w:ascii="Century Gothic" w:hAnsi="Century Gothic"/>
                <w:sz w:val="22"/>
                <w:szCs w:val="22"/>
                <w:lang w:val="es-CO"/>
              </w:rPr>
              <w:t xml:space="preserve"> le fue manifestado al señor Víctor Hugo que, al momento de nacer, la menor debía ser intubada para garantizar el ingreso de oxígeno y no haber sido puesta en cámara de oxígeno.</w:t>
            </w:r>
            <w:r w:rsidR="00A90755">
              <w:rPr>
                <w:rFonts w:ascii="Century Gothic" w:hAnsi="Century Gothic"/>
                <w:sz w:val="22"/>
                <w:szCs w:val="22"/>
                <w:lang w:val="es-CO"/>
              </w:rPr>
              <w:t xml:space="preserve"> Además, </w:t>
            </w:r>
            <w:r w:rsidR="00A90755">
              <w:rPr>
                <w:rFonts w:ascii="Century Gothic" w:hAnsi="Century Gothic"/>
                <w:sz w:val="22"/>
                <w:szCs w:val="22"/>
                <w:lang w:val="es-CO"/>
              </w:rPr>
              <w:lastRenderedPageBreak/>
              <w:t xml:space="preserve">el día 27 de julio de 2023 se conocieron los resultados de los exámenes de genética para epilepsias y ataxias realizados por la sociedad </w:t>
            </w:r>
            <w:proofErr w:type="spellStart"/>
            <w:r w:rsidR="00A90755">
              <w:rPr>
                <w:rFonts w:ascii="Century Gothic" w:hAnsi="Century Gothic"/>
                <w:sz w:val="22"/>
                <w:szCs w:val="22"/>
                <w:lang w:val="es-CO"/>
              </w:rPr>
              <w:t>Fleury</w:t>
            </w:r>
            <w:proofErr w:type="spellEnd"/>
            <w:r w:rsidR="00A90755">
              <w:rPr>
                <w:rFonts w:ascii="Century Gothic" w:hAnsi="Century Gothic"/>
                <w:sz w:val="22"/>
                <w:szCs w:val="22"/>
                <w:lang w:val="es-CO"/>
              </w:rPr>
              <w:t xml:space="preserve"> Medicina E </w:t>
            </w:r>
            <w:proofErr w:type="spellStart"/>
            <w:r w:rsidR="00A90755">
              <w:rPr>
                <w:rFonts w:ascii="Century Gothic" w:hAnsi="Century Gothic"/>
                <w:sz w:val="22"/>
                <w:szCs w:val="22"/>
                <w:lang w:val="es-CO"/>
              </w:rPr>
              <w:t>Saude</w:t>
            </w:r>
            <w:proofErr w:type="spellEnd"/>
            <w:r w:rsidR="00A90755">
              <w:rPr>
                <w:rFonts w:ascii="Century Gothic" w:hAnsi="Century Gothic"/>
                <w:sz w:val="22"/>
                <w:szCs w:val="22"/>
                <w:lang w:val="es-CO"/>
              </w:rPr>
              <w:t>, los cuales señalan que no se encontraron variantes patogénicas o probablemente patogénicas de herencia autosómica recesiva o dominante en los genes analizados.</w:t>
            </w: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67F9E2B2" w:rsidR="00FD53B3" w:rsidRDefault="00B62720" w:rsidP="00EA7A3A">
            <w:pPr>
              <w:spacing w:line="276" w:lineRule="auto"/>
              <w:jc w:val="both"/>
              <w:rPr>
                <w:rFonts w:ascii="Century Gothic" w:hAnsi="Century Gothic"/>
                <w:sz w:val="22"/>
                <w:szCs w:val="22"/>
              </w:rPr>
            </w:pPr>
            <w:r>
              <w:rPr>
                <w:rFonts w:ascii="Century Gothic" w:hAnsi="Century Gothic"/>
                <w:sz w:val="22"/>
                <w:szCs w:val="22"/>
              </w:rPr>
              <w:t>Perjuicios morales: 900 SMLMV</w:t>
            </w:r>
            <w:r w:rsidR="00EA7A3A">
              <w:rPr>
                <w:rFonts w:ascii="Century Gothic" w:hAnsi="Century Gothic"/>
                <w:sz w:val="22"/>
                <w:szCs w:val="22"/>
              </w:rPr>
              <w:t xml:space="preserve"> o $1.170.000.000</w:t>
            </w:r>
          </w:p>
          <w:p w14:paraId="1906A601" w14:textId="44C6E98D" w:rsidR="00EA7A3A" w:rsidRDefault="00EA7A3A" w:rsidP="00EA7A3A">
            <w:pPr>
              <w:spacing w:line="276" w:lineRule="auto"/>
              <w:jc w:val="both"/>
              <w:rPr>
                <w:rFonts w:ascii="Century Gothic" w:hAnsi="Century Gothic"/>
                <w:sz w:val="22"/>
                <w:szCs w:val="22"/>
              </w:rPr>
            </w:pPr>
            <w:r>
              <w:rPr>
                <w:rFonts w:ascii="Century Gothic" w:hAnsi="Century Gothic"/>
                <w:sz w:val="22"/>
                <w:szCs w:val="22"/>
              </w:rPr>
              <w:t>Daño a la salud: 200 SMLMV o $260.000.000</w:t>
            </w:r>
          </w:p>
          <w:p w14:paraId="32FDD5EF" w14:textId="6CB5E9C6" w:rsidR="00EA7A3A" w:rsidRDefault="00EA7A3A" w:rsidP="00EA7A3A">
            <w:pPr>
              <w:spacing w:line="276" w:lineRule="auto"/>
              <w:jc w:val="both"/>
              <w:rPr>
                <w:rFonts w:ascii="Century Gothic" w:hAnsi="Century Gothic"/>
                <w:sz w:val="22"/>
                <w:szCs w:val="22"/>
              </w:rPr>
            </w:pPr>
            <w:r w:rsidRPr="00BC3398">
              <w:rPr>
                <w:rFonts w:ascii="Century Gothic" w:hAnsi="Century Gothic"/>
                <w:sz w:val="22"/>
                <w:szCs w:val="22"/>
              </w:rPr>
              <w:t>Daño a la pérdida de oportunidad: 400 SMLMV o $520.000.000</w:t>
            </w:r>
          </w:p>
          <w:p w14:paraId="4B867308" w14:textId="0E2D47E9" w:rsidR="00EA7A3A" w:rsidRDefault="00EA7A3A" w:rsidP="00EA7A3A">
            <w:pPr>
              <w:spacing w:line="276" w:lineRule="auto"/>
              <w:jc w:val="both"/>
              <w:rPr>
                <w:rFonts w:ascii="Century Gothic" w:hAnsi="Century Gothic"/>
                <w:sz w:val="22"/>
                <w:szCs w:val="22"/>
              </w:rPr>
            </w:pPr>
            <w:r>
              <w:rPr>
                <w:rFonts w:ascii="Century Gothic" w:hAnsi="Century Gothic"/>
                <w:sz w:val="22"/>
                <w:szCs w:val="22"/>
              </w:rPr>
              <w:t>Daños a bienes constitucionalmente protegidos: 200 SMLMV o $260.000.000</w:t>
            </w:r>
          </w:p>
          <w:p w14:paraId="168A07C3" w14:textId="0750CD7C" w:rsidR="00EA7A3A" w:rsidRDefault="00EA7A3A" w:rsidP="00EA7A3A">
            <w:pPr>
              <w:spacing w:line="276" w:lineRule="auto"/>
              <w:jc w:val="both"/>
              <w:rPr>
                <w:rFonts w:ascii="Century Gothic" w:hAnsi="Century Gothic"/>
                <w:sz w:val="22"/>
                <w:szCs w:val="22"/>
              </w:rPr>
            </w:pPr>
            <w:r>
              <w:rPr>
                <w:rFonts w:ascii="Century Gothic" w:hAnsi="Century Gothic"/>
                <w:sz w:val="22"/>
                <w:szCs w:val="22"/>
              </w:rPr>
              <w:t>Daño emergente: $10.000.000</w:t>
            </w:r>
          </w:p>
          <w:p w14:paraId="754268F7" w14:textId="242CF165" w:rsidR="00EA7A3A" w:rsidRDefault="00EA7A3A" w:rsidP="00EA7A3A">
            <w:pPr>
              <w:spacing w:line="276" w:lineRule="auto"/>
              <w:jc w:val="both"/>
              <w:rPr>
                <w:rFonts w:ascii="Century Gothic" w:hAnsi="Century Gothic"/>
                <w:sz w:val="22"/>
                <w:szCs w:val="22"/>
              </w:rPr>
            </w:pPr>
            <w:r>
              <w:rPr>
                <w:rFonts w:ascii="Century Gothic" w:hAnsi="Century Gothic"/>
                <w:sz w:val="22"/>
                <w:szCs w:val="22"/>
              </w:rPr>
              <w:t>Lucro cesante: $437.513.867</w:t>
            </w:r>
          </w:p>
          <w:p w14:paraId="2F416A2A" w14:textId="77777777" w:rsidR="00EA7A3A" w:rsidRPr="00BA1E5F" w:rsidRDefault="00EA7A3A" w:rsidP="007C37D7">
            <w:pPr>
              <w:spacing w:line="276" w:lineRule="auto"/>
              <w:jc w:val="center"/>
              <w:rPr>
                <w:rFonts w:ascii="Century Gothic" w:hAnsi="Century Gothic"/>
                <w:sz w:val="22"/>
                <w:szCs w:val="22"/>
              </w:rPr>
            </w:pPr>
          </w:p>
          <w:p w14:paraId="0F73A1DD" w14:textId="77777777" w:rsidR="00FD53B3" w:rsidRPr="00BA1E5F" w:rsidRDefault="00FD53B3" w:rsidP="007C37D7">
            <w:pPr>
              <w:spacing w:line="276" w:lineRule="auto"/>
              <w:jc w:val="center"/>
              <w:rPr>
                <w:rFonts w:ascii="Century Gothic" w:hAnsi="Century Gothic"/>
                <w:sz w:val="22"/>
                <w:szCs w:val="22"/>
              </w:rPr>
            </w:pPr>
          </w:p>
          <w:p w14:paraId="68FF438A" w14:textId="77777777" w:rsidR="00FD53B3" w:rsidRPr="00BA1E5F" w:rsidRDefault="00FD53B3" w:rsidP="007C37D7">
            <w:pPr>
              <w:spacing w:line="276" w:lineRule="auto"/>
              <w:jc w:val="center"/>
              <w:rPr>
                <w:rFonts w:ascii="Century Gothic" w:hAnsi="Century Gothic"/>
                <w:sz w:val="22"/>
                <w:szCs w:val="22"/>
              </w:rPr>
            </w:pPr>
          </w:p>
          <w:p w14:paraId="579F4AD4" w14:textId="77777777" w:rsidR="00FD53B3" w:rsidRPr="00BA1E5F" w:rsidRDefault="00FD53B3" w:rsidP="007C37D7">
            <w:pPr>
              <w:spacing w:line="276" w:lineRule="auto"/>
              <w:jc w:val="center"/>
              <w:rPr>
                <w:rFonts w:ascii="Century Gothic" w:hAnsi="Century Gothic"/>
                <w:sz w:val="22"/>
                <w:szCs w:val="22"/>
              </w:rPr>
            </w:pPr>
          </w:p>
          <w:p w14:paraId="35F19E93" w14:textId="77777777" w:rsidR="00FD53B3" w:rsidRPr="00BA1E5F" w:rsidRDefault="00FD53B3" w:rsidP="007C37D7">
            <w:pPr>
              <w:spacing w:line="276" w:lineRule="auto"/>
              <w:jc w:val="center"/>
              <w:rPr>
                <w:rFonts w:ascii="Century Gothic" w:hAnsi="Century Gothic"/>
                <w:sz w:val="22"/>
                <w:szCs w:val="22"/>
              </w:rPr>
            </w:pPr>
          </w:p>
          <w:p w14:paraId="43351F2D" w14:textId="77777777" w:rsidR="00FD53B3" w:rsidRPr="00BA1E5F" w:rsidRDefault="00FD53B3" w:rsidP="007C37D7">
            <w:pPr>
              <w:spacing w:line="276" w:lineRule="auto"/>
              <w:jc w:val="center"/>
              <w:rPr>
                <w:rFonts w:ascii="Century Gothic" w:hAnsi="Century Gothic"/>
                <w:sz w:val="22"/>
                <w:szCs w:val="22"/>
              </w:rPr>
            </w:pPr>
          </w:p>
          <w:p w14:paraId="793D7C61" w14:textId="77777777" w:rsidR="00FD53B3" w:rsidRPr="00BA1E5F" w:rsidRDefault="00FD53B3" w:rsidP="007C37D7">
            <w:pPr>
              <w:spacing w:line="276" w:lineRule="auto"/>
              <w:jc w:val="center"/>
              <w:rPr>
                <w:rFonts w:ascii="Century Gothic" w:hAnsi="Century Gothic"/>
                <w:sz w:val="22"/>
                <w:szCs w:val="22"/>
              </w:rPr>
            </w:pPr>
          </w:p>
          <w:p w14:paraId="23F0A5AE" w14:textId="77777777" w:rsidR="00FD53B3" w:rsidRPr="00BA1E5F" w:rsidRDefault="00FD53B3" w:rsidP="007C37D7">
            <w:pPr>
              <w:spacing w:line="276" w:lineRule="auto"/>
              <w:jc w:val="center"/>
              <w:rPr>
                <w:rFonts w:ascii="Century Gothic" w:hAnsi="Century Gothic"/>
                <w:sz w:val="22"/>
                <w:szCs w:val="22"/>
              </w:rPr>
            </w:pP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E637BB7"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EA7A3A">
              <w:rPr>
                <w:rFonts w:ascii="Century Gothic" w:hAnsi="Century Gothic"/>
                <w:sz w:val="22"/>
                <w:szCs w:val="22"/>
              </w:rPr>
              <w:t>2.657.513.867</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735FFB83"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270F09">
              <w:t>449.264.599</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4D2991A7" w14:textId="158B3D7C" w:rsidR="00E802BC" w:rsidRDefault="00EA7A3A" w:rsidP="00EA7A3A">
            <w:pPr>
              <w:spacing w:line="276" w:lineRule="auto"/>
              <w:jc w:val="both"/>
              <w:rPr>
                <w:rFonts w:ascii="Century Gothic" w:hAnsi="Century Gothic"/>
                <w:sz w:val="22"/>
                <w:szCs w:val="22"/>
              </w:rPr>
            </w:pPr>
            <w:r>
              <w:rPr>
                <w:rFonts w:ascii="Century Gothic" w:hAnsi="Century Gothic"/>
                <w:sz w:val="22"/>
                <w:szCs w:val="22"/>
              </w:rPr>
              <w:lastRenderedPageBreak/>
              <w:t xml:space="preserve">Como liquidación </w:t>
            </w:r>
            <w:r w:rsidR="00F829ED">
              <w:rPr>
                <w:rFonts w:ascii="Century Gothic" w:hAnsi="Century Gothic"/>
                <w:sz w:val="22"/>
                <w:szCs w:val="22"/>
              </w:rPr>
              <w:t>objetiva de las pretensiones se llegó a la suma de$</w:t>
            </w:r>
            <w:r w:rsidR="00D444E3">
              <w:t xml:space="preserve">449.264.599 </w:t>
            </w:r>
            <w:r w:rsidR="00F829ED">
              <w:rPr>
                <w:rFonts w:ascii="Century Gothic" w:hAnsi="Century Gothic"/>
                <w:sz w:val="22"/>
                <w:szCs w:val="22"/>
              </w:rPr>
              <w:t>la cual se obtiene una vez realizadas las siguientes consideraciones:</w:t>
            </w:r>
          </w:p>
          <w:p w14:paraId="0D1A3729" w14:textId="77777777" w:rsidR="00F829ED" w:rsidRDefault="00F829ED" w:rsidP="00EA7A3A">
            <w:pPr>
              <w:spacing w:line="276" w:lineRule="auto"/>
              <w:jc w:val="both"/>
              <w:rPr>
                <w:rFonts w:ascii="Century Gothic" w:hAnsi="Century Gothic"/>
                <w:sz w:val="22"/>
                <w:szCs w:val="22"/>
              </w:rPr>
            </w:pPr>
          </w:p>
          <w:p w14:paraId="421793F2" w14:textId="5BE5BC1F" w:rsidR="00F829ED" w:rsidRDefault="00F829ED" w:rsidP="00EA7A3A">
            <w:pPr>
              <w:spacing w:line="276" w:lineRule="auto"/>
              <w:jc w:val="both"/>
              <w:rPr>
                <w:rFonts w:ascii="Century Gothic" w:hAnsi="Century Gothic"/>
                <w:sz w:val="22"/>
                <w:szCs w:val="22"/>
              </w:rPr>
            </w:pPr>
            <w:r>
              <w:rPr>
                <w:rFonts w:ascii="Century Gothic" w:hAnsi="Century Gothic"/>
                <w:sz w:val="22"/>
                <w:szCs w:val="22"/>
                <w:u w:val="single"/>
              </w:rPr>
              <w:t>Daño moral:</w:t>
            </w:r>
            <w:r>
              <w:rPr>
                <w:rFonts w:ascii="Century Gothic" w:hAnsi="Century Gothic"/>
                <w:sz w:val="22"/>
                <w:szCs w:val="22"/>
              </w:rPr>
              <w:t xml:space="preserve"> $</w:t>
            </w:r>
            <w:r w:rsidR="006329C1">
              <w:rPr>
                <w:rFonts w:ascii="Century Gothic" w:hAnsi="Century Gothic"/>
                <w:sz w:val="22"/>
                <w:szCs w:val="22"/>
              </w:rPr>
              <w:t>225.000.000</w:t>
            </w:r>
          </w:p>
          <w:p w14:paraId="3D676829" w14:textId="77777777" w:rsidR="00F829ED" w:rsidRDefault="00F829ED" w:rsidP="00EA7A3A">
            <w:pPr>
              <w:spacing w:line="276" w:lineRule="auto"/>
              <w:jc w:val="both"/>
              <w:rPr>
                <w:rFonts w:ascii="Century Gothic" w:hAnsi="Century Gothic"/>
                <w:sz w:val="22"/>
                <w:szCs w:val="22"/>
              </w:rPr>
            </w:pPr>
          </w:p>
          <w:p w14:paraId="54E98C7E" w14:textId="1C1ACD45" w:rsidR="00F829ED" w:rsidRDefault="00826F50" w:rsidP="00EA7A3A">
            <w:pPr>
              <w:spacing w:line="276" w:lineRule="auto"/>
              <w:jc w:val="both"/>
              <w:rPr>
                <w:rFonts w:ascii="Century Gothic" w:hAnsi="Century Gothic"/>
                <w:sz w:val="22"/>
                <w:szCs w:val="22"/>
              </w:rPr>
            </w:pPr>
            <w:r>
              <w:rPr>
                <w:rFonts w:ascii="Century Gothic" w:hAnsi="Century Gothic"/>
                <w:sz w:val="22"/>
                <w:szCs w:val="22"/>
              </w:rPr>
              <w:t xml:space="preserve">Se reconoce este concepto a favor de los señores </w:t>
            </w:r>
            <w:proofErr w:type="spellStart"/>
            <w:r>
              <w:rPr>
                <w:rFonts w:ascii="Century Gothic" w:hAnsi="Century Gothic"/>
                <w:sz w:val="22"/>
                <w:szCs w:val="22"/>
              </w:rPr>
              <w:t>Milexis</w:t>
            </w:r>
            <w:proofErr w:type="spellEnd"/>
            <w:r>
              <w:rPr>
                <w:rFonts w:ascii="Century Gothic" w:hAnsi="Century Gothic"/>
                <w:sz w:val="22"/>
                <w:szCs w:val="22"/>
              </w:rPr>
              <w:t xml:space="preserve"> Andreina Díaz y Víctor Hugo Belalcázar Albán en su calidad de padres de Brianna Nicoll, por un valor equivalente a $</w:t>
            </w:r>
            <w:r w:rsidR="004B437E">
              <w:rPr>
                <w:rFonts w:ascii="Century Gothic" w:hAnsi="Century Gothic"/>
                <w:sz w:val="22"/>
                <w:szCs w:val="22"/>
              </w:rPr>
              <w:t>5</w:t>
            </w:r>
            <w:r>
              <w:rPr>
                <w:rFonts w:ascii="Century Gothic" w:hAnsi="Century Gothic"/>
                <w:sz w:val="22"/>
                <w:szCs w:val="22"/>
              </w:rPr>
              <w:t>0.000.000 para cada uno.</w:t>
            </w:r>
            <w:r w:rsidR="00B04145">
              <w:rPr>
                <w:rFonts w:ascii="Century Gothic" w:hAnsi="Century Gothic"/>
                <w:sz w:val="22"/>
                <w:szCs w:val="22"/>
              </w:rPr>
              <w:t xml:space="preserve"> Igualmente, se reconoce este perjuicio a favor de Brianna Nicoll por el valor de $</w:t>
            </w:r>
            <w:r w:rsidR="004B437E">
              <w:rPr>
                <w:rFonts w:ascii="Century Gothic" w:hAnsi="Century Gothic"/>
                <w:sz w:val="22"/>
                <w:szCs w:val="22"/>
              </w:rPr>
              <w:t>5</w:t>
            </w:r>
            <w:r w:rsidR="00B04145">
              <w:rPr>
                <w:rFonts w:ascii="Century Gothic" w:hAnsi="Century Gothic"/>
                <w:sz w:val="22"/>
                <w:szCs w:val="22"/>
              </w:rPr>
              <w:t>0.000.000 en su calidad de víctima directa.</w:t>
            </w:r>
            <w:r>
              <w:rPr>
                <w:rFonts w:ascii="Century Gothic" w:hAnsi="Century Gothic"/>
                <w:sz w:val="22"/>
                <w:szCs w:val="22"/>
              </w:rPr>
              <w:t xml:space="preserve"> Por otra parte, </w:t>
            </w:r>
            <w:r w:rsidR="00432CDA">
              <w:rPr>
                <w:rFonts w:ascii="Century Gothic" w:hAnsi="Century Gothic"/>
                <w:sz w:val="22"/>
                <w:szCs w:val="22"/>
              </w:rPr>
              <w:t xml:space="preserve">Se reconoce </w:t>
            </w:r>
            <w:r w:rsidR="00B04145">
              <w:rPr>
                <w:rFonts w:ascii="Century Gothic" w:hAnsi="Century Gothic"/>
                <w:sz w:val="22"/>
                <w:szCs w:val="22"/>
              </w:rPr>
              <w:t xml:space="preserve">a </w:t>
            </w:r>
            <w:r w:rsidR="00432CDA">
              <w:rPr>
                <w:rFonts w:ascii="Century Gothic" w:hAnsi="Century Gothic"/>
                <w:sz w:val="22"/>
                <w:szCs w:val="22"/>
              </w:rPr>
              <w:t>las señoras Adalgisa Albán y Maury Amada Rada Rojas</w:t>
            </w:r>
            <w:r w:rsidR="00B04145">
              <w:rPr>
                <w:rFonts w:ascii="Century Gothic" w:hAnsi="Century Gothic"/>
                <w:sz w:val="22"/>
                <w:szCs w:val="22"/>
              </w:rPr>
              <w:t xml:space="preserve"> el valor de $2</w:t>
            </w:r>
            <w:r w:rsidR="004B437E">
              <w:rPr>
                <w:rFonts w:ascii="Century Gothic" w:hAnsi="Century Gothic"/>
                <w:sz w:val="22"/>
                <w:szCs w:val="22"/>
              </w:rPr>
              <w:t>5</w:t>
            </w:r>
            <w:r w:rsidR="00B04145">
              <w:rPr>
                <w:rFonts w:ascii="Century Gothic" w:hAnsi="Century Gothic"/>
                <w:sz w:val="22"/>
                <w:szCs w:val="22"/>
              </w:rPr>
              <w:t>.000.000 a cada una en su calidad de abuelas paterna y materna de Brianna Nicoll</w:t>
            </w:r>
            <w:r w:rsidR="005731DA">
              <w:rPr>
                <w:rFonts w:ascii="Century Gothic" w:hAnsi="Century Gothic"/>
                <w:sz w:val="22"/>
                <w:szCs w:val="22"/>
              </w:rPr>
              <w:t xml:space="preserve"> respectivamente</w:t>
            </w:r>
            <w:r w:rsidR="00B04145">
              <w:rPr>
                <w:rFonts w:ascii="Century Gothic" w:hAnsi="Century Gothic"/>
                <w:sz w:val="22"/>
                <w:szCs w:val="22"/>
              </w:rPr>
              <w:t xml:space="preserve">. Finalmente se reconoce a favor de Ailyn </w:t>
            </w:r>
            <w:proofErr w:type="spellStart"/>
            <w:r w:rsidR="00B04145">
              <w:rPr>
                <w:rFonts w:ascii="Century Gothic" w:hAnsi="Century Gothic"/>
                <w:sz w:val="22"/>
                <w:szCs w:val="22"/>
              </w:rPr>
              <w:t>Stefanía</w:t>
            </w:r>
            <w:proofErr w:type="spellEnd"/>
            <w:r w:rsidR="00B04145">
              <w:rPr>
                <w:rFonts w:ascii="Century Gothic" w:hAnsi="Century Gothic"/>
                <w:sz w:val="22"/>
                <w:szCs w:val="22"/>
              </w:rPr>
              <w:t xml:space="preserve"> </w:t>
            </w:r>
            <w:proofErr w:type="spellStart"/>
            <w:r w:rsidR="00B04145">
              <w:rPr>
                <w:rFonts w:ascii="Century Gothic" w:hAnsi="Century Gothic"/>
                <w:sz w:val="22"/>
                <w:szCs w:val="22"/>
              </w:rPr>
              <w:t>Belalcazar</w:t>
            </w:r>
            <w:proofErr w:type="spellEnd"/>
            <w:r w:rsidR="00B04145">
              <w:rPr>
                <w:rFonts w:ascii="Century Gothic" w:hAnsi="Century Gothic"/>
                <w:sz w:val="22"/>
                <w:szCs w:val="22"/>
              </w:rPr>
              <w:t xml:space="preserve"> </w:t>
            </w:r>
            <w:proofErr w:type="spellStart"/>
            <w:r w:rsidR="00B04145">
              <w:rPr>
                <w:rFonts w:ascii="Century Gothic" w:hAnsi="Century Gothic"/>
                <w:sz w:val="22"/>
                <w:szCs w:val="22"/>
              </w:rPr>
              <w:t>Urrera</w:t>
            </w:r>
            <w:proofErr w:type="spellEnd"/>
            <w:r w:rsidR="00B04145">
              <w:rPr>
                <w:rFonts w:ascii="Century Gothic" w:hAnsi="Century Gothic"/>
                <w:sz w:val="22"/>
                <w:szCs w:val="22"/>
              </w:rPr>
              <w:t xml:space="preserve"> el valor de $2</w:t>
            </w:r>
            <w:r w:rsidR="004B437E">
              <w:rPr>
                <w:rFonts w:ascii="Century Gothic" w:hAnsi="Century Gothic"/>
                <w:sz w:val="22"/>
                <w:szCs w:val="22"/>
              </w:rPr>
              <w:t>5</w:t>
            </w:r>
            <w:r w:rsidR="00B04145">
              <w:rPr>
                <w:rFonts w:ascii="Century Gothic" w:hAnsi="Century Gothic"/>
                <w:sz w:val="22"/>
                <w:szCs w:val="22"/>
              </w:rPr>
              <w:t>.000.000 en su calidad de hermana de Brianna Nicoll.</w:t>
            </w:r>
          </w:p>
          <w:p w14:paraId="615D1071" w14:textId="77777777" w:rsidR="00506750" w:rsidRDefault="00506750" w:rsidP="00EA7A3A">
            <w:pPr>
              <w:spacing w:line="276" w:lineRule="auto"/>
              <w:jc w:val="both"/>
              <w:rPr>
                <w:rFonts w:ascii="Century Gothic" w:hAnsi="Century Gothic"/>
                <w:sz w:val="22"/>
                <w:szCs w:val="22"/>
              </w:rPr>
            </w:pPr>
          </w:p>
          <w:p w14:paraId="2356380A" w14:textId="77777777" w:rsidR="0056443A" w:rsidRDefault="0056443A" w:rsidP="00EA7A3A">
            <w:pPr>
              <w:spacing w:line="276" w:lineRule="auto"/>
              <w:jc w:val="both"/>
              <w:rPr>
                <w:rFonts w:ascii="Century Gothic" w:hAnsi="Century Gothic"/>
                <w:sz w:val="22"/>
                <w:szCs w:val="22"/>
              </w:rPr>
            </w:pPr>
            <w:r>
              <w:rPr>
                <w:rFonts w:ascii="Century Gothic" w:hAnsi="Century Gothic"/>
                <w:sz w:val="22"/>
                <w:szCs w:val="22"/>
              </w:rPr>
              <w:t>Teniendo en cuenta que de las notas de la historia clínica del 27 de septiembre de 2019 emitida por el Hospital San Juan De Dios se verifica que la menor tuvo asfixia leve y moderada al momento de su nacimiento</w:t>
            </w:r>
            <w:r w:rsidR="00DA685B">
              <w:rPr>
                <w:rFonts w:ascii="Century Gothic" w:hAnsi="Century Gothic"/>
                <w:sz w:val="22"/>
                <w:szCs w:val="22"/>
              </w:rPr>
              <w:t xml:space="preserve">, igualmente, en la historia clínica del 27 de septiembre de 2019 de la clínica Nuestra Señora de los Remedios se denota </w:t>
            </w:r>
            <w:r w:rsidR="002D1066">
              <w:rPr>
                <w:rFonts w:ascii="Century Gothic" w:hAnsi="Century Gothic"/>
                <w:sz w:val="22"/>
                <w:szCs w:val="22"/>
              </w:rPr>
              <w:t>una anotación sobre la anormalidad del cráneo al existir un hematoma y, finalmente, que en las anotaciones de 11 de febrero de 2021 y 2 de febrero de 2023 de la historia Clínica de la Fundación Clínica Club Noel</w:t>
            </w:r>
            <w:r w:rsidR="00431582">
              <w:rPr>
                <w:rFonts w:ascii="Century Gothic" w:hAnsi="Century Gothic"/>
                <w:sz w:val="22"/>
                <w:szCs w:val="22"/>
              </w:rPr>
              <w:t xml:space="preserve"> se refleja la existencia de microcefalia, es necesario recurrir a la sentencia SC-3919 del 2021</w:t>
            </w:r>
            <w:r w:rsidR="004B437E">
              <w:rPr>
                <w:rFonts w:ascii="Century Gothic" w:hAnsi="Century Gothic"/>
                <w:sz w:val="22"/>
                <w:szCs w:val="22"/>
              </w:rPr>
              <w:t xml:space="preserve"> en la cual también se reconoce este tipo de perjuicios por consecuencias neurológicas derivadas de una atención médica. En este pronunciamiento</w:t>
            </w:r>
            <w:r w:rsidR="00431582">
              <w:rPr>
                <w:rFonts w:ascii="Century Gothic" w:hAnsi="Century Gothic"/>
                <w:sz w:val="22"/>
                <w:szCs w:val="22"/>
              </w:rPr>
              <w:t xml:space="preserve"> se reconoció el valor de $50.000.000 a cada uno los padres del menor</w:t>
            </w:r>
            <w:r w:rsidR="004B437E">
              <w:rPr>
                <w:rFonts w:ascii="Century Gothic" w:hAnsi="Century Gothic"/>
                <w:sz w:val="22"/>
                <w:szCs w:val="22"/>
              </w:rPr>
              <w:t xml:space="preserve"> por lo que se toma de base para la presente liquidación reconociendo el mismo valor a la víctima y a sus padres y disminuyendo este a la mitad respecto de quienes no tienen filiación con la menor en el primer grado de consanguinidad.</w:t>
            </w:r>
          </w:p>
          <w:p w14:paraId="3DBACA75" w14:textId="77777777" w:rsidR="008B3B10" w:rsidRDefault="008B3B10" w:rsidP="00EA7A3A">
            <w:pPr>
              <w:spacing w:line="276" w:lineRule="auto"/>
              <w:jc w:val="both"/>
              <w:rPr>
                <w:rFonts w:ascii="Century Gothic" w:hAnsi="Century Gothic"/>
                <w:sz w:val="22"/>
                <w:szCs w:val="22"/>
              </w:rPr>
            </w:pPr>
          </w:p>
          <w:p w14:paraId="12A57372" w14:textId="2A8297F2" w:rsidR="008B3B10" w:rsidRPr="00A55DF5" w:rsidRDefault="008B3B10" w:rsidP="00EA7A3A">
            <w:pPr>
              <w:spacing w:line="276" w:lineRule="auto"/>
              <w:jc w:val="both"/>
              <w:rPr>
                <w:rFonts w:ascii="Century Gothic" w:hAnsi="Century Gothic"/>
                <w:sz w:val="22"/>
                <w:szCs w:val="22"/>
              </w:rPr>
            </w:pPr>
            <w:r w:rsidRPr="008B3B10">
              <w:rPr>
                <w:rFonts w:ascii="Century Gothic" w:hAnsi="Century Gothic"/>
                <w:sz w:val="22"/>
                <w:szCs w:val="22"/>
                <w:u w:val="single"/>
              </w:rPr>
              <w:t>Daño a la salud: $</w:t>
            </w:r>
            <w:r w:rsidR="00A55DF5">
              <w:rPr>
                <w:rFonts w:ascii="Century Gothic" w:hAnsi="Century Gothic"/>
                <w:sz w:val="22"/>
                <w:szCs w:val="22"/>
              </w:rPr>
              <w:t xml:space="preserve"> 50.000.000</w:t>
            </w:r>
          </w:p>
          <w:p w14:paraId="77A16DF2" w14:textId="77777777" w:rsidR="00A55DF5" w:rsidRDefault="00A55DF5" w:rsidP="00EA7A3A">
            <w:pPr>
              <w:spacing w:line="276" w:lineRule="auto"/>
              <w:jc w:val="both"/>
              <w:rPr>
                <w:rFonts w:ascii="Century Gothic" w:hAnsi="Century Gothic"/>
                <w:sz w:val="22"/>
                <w:szCs w:val="22"/>
                <w:u w:val="single"/>
              </w:rPr>
            </w:pPr>
          </w:p>
          <w:p w14:paraId="524633AD" w14:textId="2936D927" w:rsidR="00A55DF5" w:rsidRDefault="00A55DF5" w:rsidP="00EA7A3A">
            <w:pPr>
              <w:spacing w:line="276" w:lineRule="auto"/>
              <w:jc w:val="both"/>
              <w:rPr>
                <w:rFonts w:ascii="Century Gothic" w:hAnsi="Century Gothic"/>
                <w:sz w:val="22"/>
                <w:szCs w:val="22"/>
              </w:rPr>
            </w:pPr>
            <w:r>
              <w:rPr>
                <w:rFonts w:ascii="Century Gothic" w:hAnsi="Century Gothic"/>
                <w:sz w:val="22"/>
                <w:szCs w:val="22"/>
              </w:rPr>
              <w:t>Se reconoce este concepto a favor de Brianna Nicoll por el valor de $50.000.000 en su calidad de víctima directa. No se reconoce este concepto a favor de los demás demandantes ya que no fue solicitado.</w:t>
            </w:r>
          </w:p>
          <w:p w14:paraId="7791F484" w14:textId="77777777" w:rsidR="00A55DF5" w:rsidRDefault="00A55DF5" w:rsidP="00EA7A3A">
            <w:pPr>
              <w:spacing w:line="276" w:lineRule="auto"/>
              <w:jc w:val="both"/>
              <w:rPr>
                <w:rFonts w:ascii="Century Gothic" w:hAnsi="Century Gothic"/>
                <w:sz w:val="22"/>
                <w:szCs w:val="22"/>
              </w:rPr>
            </w:pPr>
          </w:p>
          <w:p w14:paraId="03B57D48" w14:textId="14AE7E52" w:rsidR="00A55DF5" w:rsidRDefault="00A55DF5" w:rsidP="00EA7A3A">
            <w:pPr>
              <w:spacing w:line="276" w:lineRule="auto"/>
              <w:jc w:val="both"/>
              <w:rPr>
                <w:rFonts w:ascii="Century Gothic" w:hAnsi="Century Gothic"/>
                <w:sz w:val="22"/>
                <w:szCs w:val="22"/>
              </w:rPr>
            </w:pPr>
            <w:r>
              <w:rPr>
                <w:rFonts w:ascii="Century Gothic" w:hAnsi="Century Gothic"/>
                <w:sz w:val="22"/>
                <w:szCs w:val="22"/>
              </w:rPr>
              <w:t>Si bien el daño a la salud no es un perjuicio reconocido en la jurisprudencia emanada por la Sala Civil de la Corte Suprema de Justicia</w:t>
            </w:r>
            <w:r w:rsidR="006C32CE">
              <w:rPr>
                <w:rFonts w:ascii="Century Gothic" w:hAnsi="Century Gothic"/>
                <w:sz w:val="22"/>
                <w:szCs w:val="22"/>
              </w:rPr>
              <w:t xml:space="preserve">, existe la posibilidad de que el Juez de conocimiento, en aplicación del </w:t>
            </w:r>
            <w:r w:rsidR="006C32CE">
              <w:rPr>
                <w:rFonts w:ascii="Century Gothic" w:hAnsi="Century Gothic"/>
                <w:i/>
                <w:iCs/>
                <w:sz w:val="22"/>
                <w:szCs w:val="22"/>
              </w:rPr>
              <w:t xml:space="preserve">“arbitrio </w:t>
            </w:r>
            <w:proofErr w:type="spellStart"/>
            <w:r w:rsidR="006C32CE">
              <w:rPr>
                <w:rFonts w:ascii="Century Gothic" w:hAnsi="Century Gothic"/>
                <w:i/>
                <w:iCs/>
                <w:sz w:val="22"/>
                <w:szCs w:val="22"/>
              </w:rPr>
              <w:t>judicis</w:t>
            </w:r>
            <w:proofErr w:type="spellEnd"/>
            <w:r w:rsidR="006C32CE">
              <w:rPr>
                <w:rFonts w:ascii="Century Gothic" w:hAnsi="Century Gothic"/>
                <w:i/>
                <w:iCs/>
                <w:sz w:val="22"/>
                <w:szCs w:val="22"/>
              </w:rPr>
              <w:t xml:space="preserve">” </w:t>
            </w:r>
            <w:r w:rsidR="006C32CE">
              <w:rPr>
                <w:rFonts w:ascii="Century Gothic" w:hAnsi="Century Gothic"/>
                <w:sz w:val="22"/>
                <w:szCs w:val="22"/>
              </w:rPr>
              <w:t>proceda a su reconocimiento teniendo en cuenta que este tipo de daño ha sido asimilado al daño a la vida de relación, y al no haber sido solicitado este último en la demanda, existe la posibilidad de que sea comparado con este último y, en consecuencia, sea reconocido.</w:t>
            </w:r>
          </w:p>
          <w:p w14:paraId="5621A5CA" w14:textId="132B5A0A" w:rsidR="006C32CE" w:rsidRDefault="006C32CE" w:rsidP="00EA7A3A">
            <w:pPr>
              <w:spacing w:line="276" w:lineRule="auto"/>
              <w:jc w:val="both"/>
              <w:rPr>
                <w:rFonts w:ascii="Century Gothic" w:hAnsi="Century Gothic"/>
                <w:sz w:val="22"/>
                <w:szCs w:val="22"/>
              </w:rPr>
            </w:pPr>
            <w:r>
              <w:rPr>
                <w:rFonts w:ascii="Century Gothic" w:hAnsi="Century Gothic"/>
                <w:sz w:val="22"/>
                <w:szCs w:val="22"/>
              </w:rPr>
              <w:lastRenderedPageBreak/>
              <w:t>Para el cálculo de este perjuicio se tomó como base la sentencia SC-3919 de 2021en la cual se reconoció $50.000.000 a los padres de una menor que tuvo consecuencias neurológicas por la intervención médica brindada.</w:t>
            </w:r>
          </w:p>
          <w:p w14:paraId="4201B56B" w14:textId="77777777" w:rsidR="006C32CE" w:rsidRDefault="006C32CE" w:rsidP="00EA7A3A">
            <w:pPr>
              <w:spacing w:line="276" w:lineRule="auto"/>
              <w:jc w:val="both"/>
              <w:rPr>
                <w:rFonts w:ascii="Century Gothic" w:hAnsi="Century Gothic"/>
                <w:sz w:val="22"/>
                <w:szCs w:val="22"/>
              </w:rPr>
            </w:pPr>
          </w:p>
          <w:p w14:paraId="5E80C1E2" w14:textId="6CB183AD" w:rsidR="006C32CE" w:rsidRDefault="006C32CE" w:rsidP="00EA7A3A">
            <w:pPr>
              <w:spacing w:line="276" w:lineRule="auto"/>
              <w:jc w:val="both"/>
              <w:rPr>
                <w:rFonts w:ascii="Century Gothic" w:hAnsi="Century Gothic"/>
                <w:sz w:val="22"/>
                <w:szCs w:val="22"/>
              </w:rPr>
            </w:pPr>
            <w:r>
              <w:rPr>
                <w:rFonts w:ascii="Century Gothic" w:hAnsi="Century Gothic"/>
                <w:sz w:val="22"/>
                <w:szCs w:val="22"/>
                <w:u w:val="single"/>
              </w:rPr>
              <w:t>Daño de pérdida de oportunidad</w:t>
            </w:r>
            <w:r>
              <w:rPr>
                <w:rFonts w:ascii="Century Gothic" w:hAnsi="Century Gothic"/>
                <w:sz w:val="22"/>
                <w:szCs w:val="22"/>
              </w:rPr>
              <w:t>: $0</w:t>
            </w:r>
          </w:p>
          <w:p w14:paraId="42E88134" w14:textId="77777777" w:rsidR="006C32CE" w:rsidRDefault="006C32CE" w:rsidP="00EA7A3A">
            <w:pPr>
              <w:spacing w:line="276" w:lineRule="auto"/>
              <w:jc w:val="both"/>
              <w:rPr>
                <w:rFonts w:ascii="Century Gothic" w:hAnsi="Century Gothic"/>
                <w:sz w:val="22"/>
                <w:szCs w:val="22"/>
              </w:rPr>
            </w:pPr>
          </w:p>
          <w:p w14:paraId="5EA638DB" w14:textId="2C1703F8" w:rsidR="006C32CE" w:rsidRDefault="006C32CE" w:rsidP="00A924E6">
            <w:pPr>
              <w:spacing w:line="276" w:lineRule="auto"/>
              <w:jc w:val="both"/>
              <w:rPr>
                <w:rFonts w:ascii="Century Gothic" w:hAnsi="Century Gothic"/>
                <w:sz w:val="22"/>
                <w:szCs w:val="22"/>
              </w:rPr>
            </w:pPr>
            <w:r>
              <w:rPr>
                <w:rFonts w:ascii="Century Gothic" w:hAnsi="Century Gothic"/>
                <w:sz w:val="22"/>
                <w:szCs w:val="22"/>
              </w:rPr>
              <w:t>No se reconoce ningún valor por este concepto teniendo en cuenta que la parte demandante no probó la existencia de una oportunidad cierta y con posibilidades reales de materializarse, la cual se hubiera visto frustrada por la atención médica brindada por el Hospital San Juan de Dios.</w:t>
            </w:r>
          </w:p>
          <w:p w14:paraId="3F52C8CD" w14:textId="77777777" w:rsidR="006C32CE" w:rsidRDefault="006C32CE" w:rsidP="00A924E6">
            <w:pPr>
              <w:spacing w:line="276" w:lineRule="auto"/>
              <w:jc w:val="both"/>
              <w:rPr>
                <w:rFonts w:ascii="Century Gothic" w:hAnsi="Century Gothic"/>
                <w:sz w:val="22"/>
                <w:szCs w:val="22"/>
              </w:rPr>
            </w:pPr>
          </w:p>
          <w:p w14:paraId="7E684A6E" w14:textId="6838C79D" w:rsidR="006C32CE" w:rsidRDefault="006C32CE" w:rsidP="00A924E6">
            <w:pPr>
              <w:spacing w:line="276" w:lineRule="auto"/>
              <w:jc w:val="both"/>
              <w:rPr>
                <w:rFonts w:ascii="Century Gothic" w:hAnsi="Century Gothic"/>
                <w:sz w:val="22"/>
                <w:szCs w:val="22"/>
              </w:rPr>
            </w:pPr>
            <w:r>
              <w:rPr>
                <w:rFonts w:ascii="Century Gothic" w:hAnsi="Century Gothic"/>
                <w:sz w:val="22"/>
                <w:szCs w:val="22"/>
                <w:u w:val="single"/>
              </w:rPr>
              <w:t>Daño a bienes convencional y constitucionalmente protegidos:</w:t>
            </w:r>
            <w:r>
              <w:rPr>
                <w:rFonts w:ascii="Century Gothic" w:hAnsi="Century Gothic"/>
                <w:sz w:val="22"/>
                <w:szCs w:val="22"/>
              </w:rPr>
              <w:t xml:space="preserve"> $0</w:t>
            </w:r>
          </w:p>
          <w:p w14:paraId="1A015590" w14:textId="77777777" w:rsidR="006C32CE" w:rsidRDefault="006C32CE" w:rsidP="00A924E6">
            <w:pPr>
              <w:spacing w:line="276" w:lineRule="auto"/>
              <w:jc w:val="both"/>
              <w:rPr>
                <w:rFonts w:ascii="Century Gothic" w:hAnsi="Century Gothic"/>
                <w:sz w:val="22"/>
                <w:szCs w:val="22"/>
              </w:rPr>
            </w:pPr>
          </w:p>
          <w:p w14:paraId="5F295CBA" w14:textId="1196951D" w:rsidR="006C32CE" w:rsidRPr="006C32CE" w:rsidRDefault="006C27C3" w:rsidP="00A924E6">
            <w:pPr>
              <w:spacing w:line="276" w:lineRule="auto"/>
              <w:jc w:val="both"/>
              <w:rPr>
                <w:rFonts w:ascii="Century Gothic" w:hAnsi="Century Gothic"/>
                <w:sz w:val="22"/>
                <w:szCs w:val="22"/>
              </w:rPr>
            </w:pPr>
            <w:r>
              <w:rPr>
                <w:rFonts w:ascii="Century Gothic" w:hAnsi="Century Gothic"/>
                <w:sz w:val="22"/>
                <w:szCs w:val="22"/>
              </w:rPr>
              <w:t>No se reconoce ningún valor por este concepto, ya que la parte demandante solicitó su indemnización bajo el supuesto de la afectación del derecho fundamental al libre desarrollo de la personalidad, sin embargo, esta tipología de daño solo ha sido reconocida por la jurisprudencia en materia civil por la afectación del derecho al buen nombre.</w:t>
            </w:r>
          </w:p>
          <w:p w14:paraId="24A53653" w14:textId="77777777" w:rsidR="00A55DF5" w:rsidRDefault="00A55DF5" w:rsidP="00A924E6">
            <w:pPr>
              <w:spacing w:line="276" w:lineRule="auto"/>
              <w:jc w:val="both"/>
              <w:rPr>
                <w:rFonts w:ascii="Century Gothic" w:hAnsi="Century Gothic"/>
                <w:sz w:val="22"/>
                <w:szCs w:val="22"/>
              </w:rPr>
            </w:pPr>
          </w:p>
          <w:p w14:paraId="78915C7A" w14:textId="77777777" w:rsidR="00A80CA0" w:rsidRDefault="00A80CA0" w:rsidP="00A924E6">
            <w:pPr>
              <w:spacing w:line="276" w:lineRule="auto"/>
              <w:jc w:val="both"/>
              <w:rPr>
                <w:rFonts w:ascii="Century Gothic" w:hAnsi="Century Gothic"/>
                <w:sz w:val="22"/>
                <w:szCs w:val="22"/>
              </w:rPr>
            </w:pPr>
            <w:r>
              <w:rPr>
                <w:rFonts w:ascii="Century Gothic" w:hAnsi="Century Gothic"/>
                <w:sz w:val="22"/>
                <w:szCs w:val="22"/>
                <w:u w:val="single"/>
              </w:rPr>
              <w:t>Daño emergente:</w:t>
            </w:r>
            <w:r>
              <w:rPr>
                <w:rFonts w:ascii="Century Gothic" w:hAnsi="Century Gothic"/>
                <w:sz w:val="22"/>
                <w:szCs w:val="22"/>
              </w:rPr>
              <w:t xml:space="preserve"> $0</w:t>
            </w:r>
          </w:p>
          <w:p w14:paraId="36A0686E" w14:textId="77777777" w:rsidR="00A80CA0" w:rsidRDefault="00A80CA0" w:rsidP="00A924E6">
            <w:pPr>
              <w:spacing w:line="276" w:lineRule="auto"/>
              <w:jc w:val="both"/>
              <w:rPr>
                <w:rFonts w:ascii="Century Gothic" w:hAnsi="Century Gothic"/>
                <w:sz w:val="22"/>
                <w:szCs w:val="22"/>
              </w:rPr>
            </w:pPr>
          </w:p>
          <w:p w14:paraId="45237ADB" w14:textId="77777777" w:rsidR="00A80CA0" w:rsidRDefault="00A80CA0" w:rsidP="00A924E6">
            <w:pPr>
              <w:spacing w:line="276" w:lineRule="auto"/>
              <w:jc w:val="both"/>
              <w:rPr>
                <w:rFonts w:ascii="Century Gothic" w:hAnsi="Century Gothic"/>
                <w:sz w:val="22"/>
                <w:szCs w:val="22"/>
              </w:rPr>
            </w:pPr>
            <w:r>
              <w:rPr>
                <w:rFonts w:ascii="Century Gothic" w:hAnsi="Century Gothic"/>
                <w:sz w:val="22"/>
                <w:szCs w:val="22"/>
              </w:rPr>
              <w:t>No se reconoce suma alguna por este concepto teniendo en cuenta que la parte demandante no aporta ninguna prueba como comprobantes de pago, facturas electrónicas, extractos bancarios u otro tipo de documentos en los cuales se evidencien los gastos en los que supuestamente habría incurrido con ocasión de la atención médica.</w:t>
            </w:r>
          </w:p>
          <w:p w14:paraId="3F8C800D" w14:textId="77777777" w:rsidR="00A80CA0" w:rsidRDefault="00A80CA0" w:rsidP="00A924E6">
            <w:pPr>
              <w:spacing w:line="276" w:lineRule="auto"/>
              <w:jc w:val="both"/>
              <w:rPr>
                <w:rFonts w:ascii="Century Gothic" w:hAnsi="Century Gothic"/>
                <w:sz w:val="22"/>
                <w:szCs w:val="22"/>
              </w:rPr>
            </w:pPr>
          </w:p>
          <w:p w14:paraId="3C24E194" w14:textId="31A5DC3F" w:rsidR="00A80CA0" w:rsidRDefault="00A80CA0" w:rsidP="00A924E6">
            <w:pPr>
              <w:spacing w:line="276" w:lineRule="auto"/>
              <w:jc w:val="both"/>
            </w:pPr>
            <w:r>
              <w:rPr>
                <w:rFonts w:ascii="Century Gothic" w:hAnsi="Century Gothic"/>
                <w:sz w:val="22"/>
                <w:szCs w:val="22"/>
                <w:u w:val="single"/>
              </w:rPr>
              <w:t>Lucro cesante</w:t>
            </w:r>
            <w:r w:rsidRPr="004D2ACD">
              <w:rPr>
                <w:rFonts w:ascii="Century Gothic" w:hAnsi="Century Gothic"/>
                <w:sz w:val="22"/>
                <w:szCs w:val="22"/>
              </w:rPr>
              <w:t>:</w:t>
            </w:r>
            <w:r>
              <w:rPr>
                <w:rFonts w:ascii="Century Gothic" w:hAnsi="Century Gothic"/>
                <w:sz w:val="22"/>
                <w:szCs w:val="22"/>
              </w:rPr>
              <w:t xml:space="preserve"> </w:t>
            </w:r>
            <w:r w:rsidRPr="004D2ACD">
              <w:rPr>
                <w:rFonts w:ascii="Century Gothic" w:hAnsi="Century Gothic"/>
                <w:sz w:val="22"/>
                <w:szCs w:val="22"/>
              </w:rPr>
              <w:t>$</w:t>
            </w:r>
            <w:r w:rsidR="00DA7CEB" w:rsidRPr="004D2ACD">
              <w:rPr>
                <w:rFonts w:ascii="Century Gothic" w:hAnsi="Century Gothic"/>
                <w:sz w:val="22"/>
                <w:szCs w:val="22"/>
              </w:rPr>
              <w:t>286.580.749</w:t>
            </w:r>
          </w:p>
          <w:p w14:paraId="248FC342" w14:textId="77777777" w:rsidR="00BD1D2F" w:rsidRDefault="00BD1D2F" w:rsidP="00A924E6">
            <w:pPr>
              <w:spacing w:line="276" w:lineRule="auto"/>
              <w:jc w:val="both"/>
            </w:pPr>
          </w:p>
          <w:p w14:paraId="2517E156" w14:textId="5F7400F2" w:rsidR="00BD1D2F" w:rsidRDefault="00BD1D2F" w:rsidP="00A924E6">
            <w:pPr>
              <w:pStyle w:val="Prrafodelista"/>
              <w:numPr>
                <w:ilvl w:val="0"/>
                <w:numId w:val="1"/>
              </w:numPr>
              <w:spacing w:line="276" w:lineRule="auto"/>
              <w:jc w:val="both"/>
              <w:rPr>
                <w:rFonts w:ascii="Century Gothic" w:hAnsi="Century Gothic"/>
                <w:sz w:val="22"/>
                <w:szCs w:val="22"/>
              </w:rPr>
            </w:pPr>
            <w:r w:rsidRPr="004D2ACD">
              <w:rPr>
                <w:rFonts w:ascii="Century Gothic" w:hAnsi="Century Gothic"/>
                <w:sz w:val="22"/>
                <w:szCs w:val="22"/>
              </w:rPr>
              <w:t xml:space="preserve">lucro cesante consolidado: </w:t>
            </w:r>
            <w:r w:rsidR="00DA7CEB" w:rsidRPr="004D2ACD">
              <w:rPr>
                <w:rFonts w:ascii="Century Gothic" w:hAnsi="Century Gothic"/>
                <w:sz w:val="22"/>
                <w:szCs w:val="22"/>
              </w:rPr>
              <w:t>$0</w:t>
            </w:r>
          </w:p>
          <w:p w14:paraId="691E0754" w14:textId="77777777" w:rsidR="00A924E6" w:rsidRPr="004D2ACD" w:rsidRDefault="00A924E6" w:rsidP="004D2ACD">
            <w:pPr>
              <w:pStyle w:val="Prrafodelista"/>
              <w:spacing w:line="276" w:lineRule="auto"/>
              <w:jc w:val="both"/>
              <w:rPr>
                <w:rFonts w:ascii="Century Gothic" w:hAnsi="Century Gothic"/>
                <w:sz w:val="22"/>
                <w:szCs w:val="22"/>
              </w:rPr>
            </w:pPr>
          </w:p>
          <w:p w14:paraId="3C521162" w14:textId="019E92D5" w:rsidR="00BD1D2F" w:rsidRPr="004D2ACD" w:rsidRDefault="00BD1D2F" w:rsidP="00A924E6">
            <w:pPr>
              <w:spacing w:line="276" w:lineRule="auto"/>
              <w:ind w:left="360"/>
              <w:jc w:val="both"/>
              <w:rPr>
                <w:rFonts w:ascii="Century Gothic" w:hAnsi="Century Gothic"/>
                <w:sz w:val="22"/>
                <w:szCs w:val="22"/>
              </w:rPr>
            </w:pPr>
            <w:r w:rsidRPr="004D2ACD">
              <w:rPr>
                <w:rFonts w:ascii="Century Gothic" w:hAnsi="Century Gothic"/>
                <w:sz w:val="22"/>
                <w:szCs w:val="22"/>
              </w:rPr>
              <w:t xml:space="preserve">No se reconoce ninguna suma de dinero por este concepto teniendo en cuenta que fue solicitado a favor de la menor Brianna Nicoll con ocasión de los daños causados directamente a ella, de esta forma, </w:t>
            </w:r>
            <w:r w:rsidR="00093261" w:rsidRPr="004D2ACD">
              <w:rPr>
                <w:rFonts w:ascii="Century Gothic" w:hAnsi="Century Gothic"/>
                <w:sz w:val="22"/>
                <w:szCs w:val="22"/>
              </w:rPr>
              <w:t>no es posible reconocer ningún valor por este concepto teniendo en cuenta que, al ser menor de edad, no le aplica ninguna presunción de ingresos devengados hasta que cumpla 18 años.</w:t>
            </w:r>
          </w:p>
          <w:p w14:paraId="61916F2B" w14:textId="77777777" w:rsidR="00093261" w:rsidRPr="004D2ACD" w:rsidRDefault="00093261" w:rsidP="00A924E6">
            <w:pPr>
              <w:spacing w:line="276" w:lineRule="auto"/>
              <w:ind w:left="360"/>
              <w:jc w:val="both"/>
              <w:rPr>
                <w:rFonts w:ascii="Century Gothic" w:hAnsi="Century Gothic"/>
                <w:sz w:val="22"/>
                <w:szCs w:val="22"/>
              </w:rPr>
            </w:pPr>
          </w:p>
          <w:p w14:paraId="0D3EAEAE" w14:textId="2B9304F2" w:rsidR="00093261" w:rsidRDefault="00093261" w:rsidP="00A924E6">
            <w:pPr>
              <w:pStyle w:val="Prrafodelista"/>
              <w:numPr>
                <w:ilvl w:val="0"/>
                <w:numId w:val="1"/>
              </w:numPr>
              <w:spacing w:line="276" w:lineRule="auto"/>
              <w:jc w:val="both"/>
              <w:rPr>
                <w:rFonts w:ascii="Century Gothic" w:hAnsi="Century Gothic"/>
                <w:sz w:val="22"/>
                <w:szCs w:val="22"/>
              </w:rPr>
            </w:pPr>
            <w:r w:rsidRPr="004D2ACD">
              <w:rPr>
                <w:rFonts w:ascii="Century Gothic" w:hAnsi="Century Gothic"/>
                <w:sz w:val="22"/>
                <w:szCs w:val="22"/>
              </w:rPr>
              <w:t>Lucro cesante futuro: $</w:t>
            </w:r>
            <w:r w:rsidR="00DA7CEB" w:rsidRPr="004D2ACD">
              <w:rPr>
                <w:rFonts w:ascii="Century Gothic" w:hAnsi="Century Gothic"/>
                <w:sz w:val="22"/>
                <w:szCs w:val="22"/>
              </w:rPr>
              <w:t>286.580.749</w:t>
            </w:r>
          </w:p>
          <w:p w14:paraId="09DF33F8" w14:textId="77777777" w:rsidR="00A924E6" w:rsidRPr="004D2ACD" w:rsidRDefault="00A924E6" w:rsidP="004D2ACD">
            <w:pPr>
              <w:pStyle w:val="Prrafodelista"/>
              <w:spacing w:line="276" w:lineRule="auto"/>
              <w:jc w:val="both"/>
              <w:rPr>
                <w:rFonts w:ascii="Century Gothic" w:hAnsi="Century Gothic"/>
                <w:sz w:val="22"/>
                <w:szCs w:val="22"/>
              </w:rPr>
            </w:pPr>
          </w:p>
          <w:p w14:paraId="4DC19BDC" w14:textId="2E314D65" w:rsidR="00093261" w:rsidRDefault="00416AD2" w:rsidP="00A924E6">
            <w:pPr>
              <w:spacing w:line="276" w:lineRule="auto"/>
              <w:ind w:left="360"/>
              <w:jc w:val="both"/>
              <w:rPr>
                <w:rFonts w:ascii="Century Gothic" w:hAnsi="Century Gothic"/>
                <w:sz w:val="22"/>
                <w:szCs w:val="22"/>
              </w:rPr>
            </w:pPr>
            <w:r w:rsidRPr="004D2ACD">
              <w:rPr>
                <w:rFonts w:ascii="Century Gothic" w:hAnsi="Century Gothic"/>
                <w:sz w:val="22"/>
                <w:szCs w:val="22"/>
              </w:rPr>
              <w:t xml:space="preserve">Este concepto se calcula teniendo en cuenta el momento en </w:t>
            </w:r>
            <w:r w:rsidR="00290E97">
              <w:rPr>
                <w:rFonts w:ascii="Century Gothic" w:hAnsi="Century Gothic"/>
                <w:sz w:val="22"/>
                <w:szCs w:val="22"/>
              </w:rPr>
              <w:t>el</w:t>
            </w:r>
            <w:r w:rsidRPr="004D2ACD">
              <w:rPr>
                <w:rFonts w:ascii="Century Gothic" w:hAnsi="Century Gothic"/>
                <w:sz w:val="22"/>
                <w:szCs w:val="22"/>
              </w:rPr>
              <w:t xml:space="preserve"> que Brianna Nicoll cumpliría los 18 </w:t>
            </w:r>
            <w:proofErr w:type="gramStart"/>
            <w:r w:rsidRPr="004D2ACD">
              <w:rPr>
                <w:rFonts w:ascii="Century Gothic" w:hAnsi="Century Gothic"/>
                <w:sz w:val="22"/>
                <w:szCs w:val="22"/>
              </w:rPr>
              <w:t>años de edad</w:t>
            </w:r>
            <w:proofErr w:type="gramEnd"/>
            <w:r w:rsidRPr="004D2ACD">
              <w:rPr>
                <w:rFonts w:ascii="Century Gothic" w:hAnsi="Century Gothic"/>
                <w:sz w:val="22"/>
                <w:szCs w:val="22"/>
              </w:rPr>
              <w:t xml:space="preserve">, su expectativa de vida una vez cumpla dicha edad y la presunción según la cual nadie en Colombia puede devengar menos de un salario mínimo. Ahora bien, teniendo en cuenta que no se aporta prueba idónea que acredite la </w:t>
            </w:r>
            <w:r w:rsidRPr="004D2ACD">
              <w:rPr>
                <w:rFonts w:ascii="Century Gothic" w:hAnsi="Century Gothic"/>
                <w:sz w:val="22"/>
                <w:szCs w:val="22"/>
              </w:rPr>
              <w:lastRenderedPageBreak/>
              <w:t xml:space="preserve">pérdida de capacidad laboral como consecuencia de la atención médica brindada, pero puede deducirse la imposibilidad de la menor para realizar cualquier actividad por su cuenta debido a las anotaciones en la historia clínica del 27 de septiembre de 2019, </w:t>
            </w:r>
            <w:r>
              <w:rPr>
                <w:rFonts w:ascii="Century Gothic" w:hAnsi="Century Gothic"/>
                <w:sz w:val="22"/>
                <w:szCs w:val="22"/>
              </w:rPr>
              <w:t>del 11 de febrero de 2021 y 2 de febrero de 2023</w:t>
            </w:r>
            <w:r w:rsidR="00B97871">
              <w:rPr>
                <w:rFonts w:ascii="Century Gothic" w:hAnsi="Century Gothic"/>
                <w:sz w:val="22"/>
                <w:szCs w:val="22"/>
              </w:rPr>
              <w:t>,</w:t>
            </w:r>
            <w:r w:rsidR="00ED6E9A">
              <w:rPr>
                <w:rFonts w:ascii="Century Gothic" w:hAnsi="Century Gothic"/>
                <w:sz w:val="22"/>
                <w:szCs w:val="22"/>
              </w:rPr>
              <w:t xml:space="preserve"> debe acudirse a lo referido </w:t>
            </w:r>
            <w:r w:rsidR="00290E97">
              <w:rPr>
                <w:rFonts w:ascii="Century Gothic" w:hAnsi="Century Gothic"/>
                <w:sz w:val="22"/>
                <w:szCs w:val="22"/>
              </w:rPr>
              <w:t>en la sentencia SC-9193 de 2017 dela sala civil de la Corte Suprema de Justicia</w:t>
            </w:r>
            <w:r w:rsidR="004D2ACD">
              <w:rPr>
                <w:rFonts w:ascii="Century Gothic" w:hAnsi="Century Gothic"/>
                <w:sz w:val="22"/>
                <w:szCs w:val="22"/>
              </w:rPr>
              <w:t>, pronunciamiento en el cual se determinó el reconocimiento de este perjuicio para menores de edad que han sufrido daños que les impedirán conseguir recursos por sus propios medios una vez alcancen la mayoría de edad. En este sentido se</w:t>
            </w:r>
            <w:r w:rsidR="00DA7CEB">
              <w:rPr>
                <w:rFonts w:ascii="Century Gothic" w:hAnsi="Century Gothic"/>
                <w:sz w:val="22"/>
                <w:szCs w:val="22"/>
              </w:rPr>
              <w:t xml:space="preserve"> realiza</w:t>
            </w:r>
            <w:r w:rsidR="00B97871">
              <w:rPr>
                <w:rFonts w:ascii="Century Gothic" w:hAnsi="Century Gothic"/>
                <w:sz w:val="22"/>
                <w:szCs w:val="22"/>
              </w:rPr>
              <w:t xml:space="preserve"> la liquidación sobre el 100% del salario mínimo vigente al momento de efectuar el cálculo, es decir $1.423.500</w:t>
            </w:r>
            <w:r w:rsidR="00DA7CEB">
              <w:rPr>
                <w:rFonts w:ascii="Century Gothic" w:hAnsi="Century Gothic"/>
                <w:sz w:val="22"/>
                <w:szCs w:val="22"/>
              </w:rPr>
              <w:t>, pues se trata de una persona que es absolutamente dependiente de sus padres.</w:t>
            </w:r>
            <w:r w:rsidR="00ED6E9A">
              <w:rPr>
                <w:rFonts w:ascii="Century Gothic" w:hAnsi="Century Gothic"/>
                <w:sz w:val="22"/>
                <w:szCs w:val="22"/>
              </w:rPr>
              <w:t xml:space="preserve"> </w:t>
            </w:r>
          </w:p>
          <w:p w14:paraId="382EB09D" w14:textId="77777777" w:rsidR="00963314" w:rsidRDefault="00963314" w:rsidP="00A924E6">
            <w:pPr>
              <w:spacing w:line="276" w:lineRule="auto"/>
              <w:ind w:left="360"/>
              <w:jc w:val="both"/>
              <w:rPr>
                <w:rFonts w:ascii="Century Gothic" w:hAnsi="Century Gothic"/>
                <w:sz w:val="22"/>
                <w:szCs w:val="22"/>
              </w:rPr>
            </w:pPr>
          </w:p>
          <w:p w14:paraId="3F26F69D" w14:textId="04017B8B" w:rsidR="00963314" w:rsidRPr="004D2ACD" w:rsidRDefault="00963314" w:rsidP="00A924E6">
            <w:pPr>
              <w:spacing w:line="276" w:lineRule="auto"/>
              <w:ind w:left="360"/>
              <w:jc w:val="both"/>
              <w:rPr>
                <w:rFonts w:ascii="Century Gothic" w:hAnsi="Century Gothic"/>
                <w:sz w:val="22"/>
                <w:szCs w:val="22"/>
              </w:rPr>
            </w:pPr>
            <w:r>
              <w:rPr>
                <w:rFonts w:ascii="Century Gothic" w:hAnsi="Century Gothic"/>
                <w:sz w:val="22"/>
                <w:szCs w:val="22"/>
                <w:u w:val="single"/>
              </w:rPr>
              <w:t>Deducible de la póliza:</w:t>
            </w:r>
            <w:r>
              <w:t xml:space="preserve"> </w:t>
            </w:r>
            <w:r w:rsidR="004470C4" w:rsidRPr="004D2ACD">
              <w:rPr>
                <w:rFonts w:ascii="Century Gothic" w:hAnsi="Century Gothic"/>
                <w:sz w:val="22"/>
                <w:szCs w:val="22"/>
              </w:rPr>
              <w:t>Si bien inicialmente la liquidación objetiva asciende al valor de $561.580.749, debe tenerse en cuenta que la póliza susceptible de afectarse, esto es la póliza de responsabilidad civil profesional clínicas No. AA073773</w:t>
            </w:r>
            <w:r w:rsidR="00D444E3" w:rsidRPr="004D2ACD">
              <w:rPr>
                <w:rFonts w:ascii="Century Gothic" w:hAnsi="Century Gothic"/>
                <w:sz w:val="22"/>
                <w:szCs w:val="22"/>
              </w:rPr>
              <w:t xml:space="preserve">, contempla un valor asegurado de $1.000.000.000 y un deducible del 20% de la pérdida, o mínimo $20.000.000. Teniendo en cuenta que en este caso el 20% equivale a $112.316.149, este valor debe descontarse de la suma inicialmente referida para llegar a un total de $449.264.599. </w:t>
            </w:r>
          </w:p>
          <w:p w14:paraId="7C6F1AAD" w14:textId="77777777" w:rsidR="00A80CA0" w:rsidRDefault="00A80CA0" w:rsidP="00EA7A3A">
            <w:pPr>
              <w:spacing w:line="276" w:lineRule="auto"/>
              <w:jc w:val="both"/>
            </w:pPr>
          </w:p>
          <w:p w14:paraId="31FF8AB1" w14:textId="796456AA" w:rsidR="00A80CA0" w:rsidRPr="00A80CA0" w:rsidRDefault="00A80CA0" w:rsidP="00EA7A3A">
            <w:pPr>
              <w:spacing w:line="276" w:lineRule="auto"/>
              <w:jc w:val="both"/>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3B52C2AE" w14:textId="71035331" w:rsidR="003B7F1A" w:rsidRDefault="007A0F12" w:rsidP="007A0F12">
            <w:pPr>
              <w:pStyle w:val="Prrafodelista"/>
              <w:numPr>
                <w:ilvl w:val="0"/>
                <w:numId w:val="2"/>
              </w:numPr>
              <w:spacing w:line="276" w:lineRule="auto"/>
              <w:rPr>
                <w:rFonts w:ascii="Century Gothic" w:hAnsi="Century Gothic"/>
                <w:sz w:val="22"/>
                <w:szCs w:val="22"/>
              </w:rPr>
            </w:pPr>
            <w:r w:rsidRPr="007A0F12">
              <w:rPr>
                <w:rFonts w:ascii="Century Gothic" w:hAnsi="Century Gothic"/>
                <w:sz w:val="22"/>
                <w:szCs w:val="22"/>
              </w:rPr>
              <w:t>AUSENCIA DE RESPONSABILIDAD CIVIL SOLIDARIDAD DE LA EQUIDAD SEGUROS GENERALES O.C. – ÉSTA NO PRESTÓ EL SERVICIO MÉDICO EN SALUD.</w:t>
            </w:r>
          </w:p>
          <w:p w14:paraId="1C7AFF45" w14:textId="77777777" w:rsidR="007A0F12" w:rsidRPr="007A0F12" w:rsidRDefault="007A0F12" w:rsidP="007A0F12">
            <w:pPr>
              <w:pStyle w:val="Prrafodelista"/>
              <w:spacing w:line="276" w:lineRule="auto"/>
              <w:rPr>
                <w:rFonts w:ascii="Century Gothic" w:hAnsi="Century Gothic"/>
                <w:sz w:val="22"/>
                <w:szCs w:val="22"/>
              </w:rPr>
            </w:pPr>
          </w:p>
          <w:p w14:paraId="4F20FD0A"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INEXISTENCIA DE RESPONSABILIDAD POR ACTUACION DILIGENTE, CUIDADOSA, OPORTUNA Y CONFORME A LOS PROTOCOLOS DE MANEJO ESTABLECIDOS PARA EL EFECTO Y EN GENERAL A LA LEX ARTIS POR PARTE DEL HOSPITAL SAN JUAN DE DIOS</w:t>
            </w:r>
            <w:r>
              <w:rPr>
                <w:rFonts w:ascii="Century Gothic" w:hAnsi="Century Gothic"/>
                <w:sz w:val="22"/>
                <w:szCs w:val="22"/>
              </w:rPr>
              <w:t>.</w:t>
            </w:r>
          </w:p>
          <w:p w14:paraId="3F985701" w14:textId="77777777" w:rsidR="007A0F12" w:rsidRPr="007A0F12" w:rsidRDefault="007A0F12" w:rsidP="007A0F12">
            <w:pPr>
              <w:pStyle w:val="Prrafodelista"/>
              <w:rPr>
                <w:rFonts w:ascii="Century Gothic" w:hAnsi="Century Gothic"/>
                <w:sz w:val="22"/>
                <w:szCs w:val="22"/>
              </w:rPr>
            </w:pPr>
          </w:p>
          <w:p w14:paraId="3159AFA1"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INEXISTENTE RELACIÓN DE CAUSALIDAD ENTRE EL DAÑO O PERJUICIO ALEGADO POR LA PARTE ACTORA Y LA ACTUACIÓN DEL HOSPITAL SAN JUAN DE DIOS</w:t>
            </w:r>
            <w:r>
              <w:rPr>
                <w:rFonts w:ascii="Century Gothic" w:hAnsi="Century Gothic"/>
                <w:sz w:val="22"/>
                <w:szCs w:val="22"/>
              </w:rPr>
              <w:t>.</w:t>
            </w:r>
          </w:p>
          <w:p w14:paraId="58B3841C" w14:textId="77777777" w:rsidR="007A0F12" w:rsidRPr="007A0F12" w:rsidRDefault="007A0F12" w:rsidP="007A0F12">
            <w:pPr>
              <w:pStyle w:val="Prrafodelista"/>
              <w:rPr>
                <w:rFonts w:ascii="Century Gothic" w:hAnsi="Century Gothic"/>
                <w:sz w:val="22"/>
                <w:szCs w:val="22"/>
              </w:rPr>
            </w:pPr>
          </w:p>
          <w:p w14:paraId="47540DFA"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TASACIÓN EXCESIVA DEL DAÑO MORAL RECLAMADO</w:t>
            </w:r>
            <w:r>
              <w:rPr>
                <w:rFonts w:ascii="Century Gothic" w:hAnsi="Century Gothic"/>
                <w:sz w:val="22"/>
                <w:szCs w:val="22"/>
              </w:rPr>
              <w:t>.</w:t>
            </w:r>
          </w:p>
          <w:p w14:paraId="7EA8FCF5" w14:textId="77777777" w:rsidR="007A0F12" w:rsidRPr="007A0F12" w:rsidRDefault="007A0F12" w:rsidP="007A0F12">
            <w:pPr>
              <w:pStyle w:val="Prrafodelista"/>
              <w:rPr>
                <w:rFonts w:ascii="Century Gothic" w:hAnsi="Century Gothic"/>
                <w:sz w:val="22"/>
                <w:szCs w:val="22"/>
              </w:rPr>
            </w:pPr>
          </w:p>
          <w:p w14:paraId="39DDB455" w14:textId="77777777" w:rsidR="007A0F12" w:rsidRP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 xml:space="preserve">IMPOSIBILIDAD DE RECONOCER PERJUICIOS A TÍTULO DE DAÑO A LA SALUD A </w:t>
            </w:r>
          </w:p>
          <w:p w14:paraId="7268719F" w14:textId="77777777" w:rsidR="007A0F12" w:rsidRDefault="007A0F12" w:rsidP="007A0F12">
            <w:pPr>
              <w:pStyle w:val="Prrafodelista"/>
              <w:spacing w:line="276" w:lineRule="auto"/>
              <w:jc w:val="both"/>
              <w:rPr>
                <w:rFonts w:ascii="Century Gothic" w:hAnsi="Century Gothic"/>
                <w:sz w:val="22"/>
                <w:szCs w:val="22"/>
              </w:rPr>
            </w:pPr>
            <w:r w:rsidRPr="007A0F12">
              <w:rPr>
                <w:rFonts w:ascii="Century Gothic" w:hAnsi="Century Gothic"/>
                <w:sz w:val="22"/>
                <w:szCs w:val="22"/>
              </w:rPr>
              <w:t>FAVOR DE LA PARTE DEMANDANTE</w:t>
            </w:r>
            <w:r>
              <w:rPr>
                <w:rFonts w:ascii="Century Gothic" w:hAnsi="Century Gothic"/>
                <w:sz w:val="22"/>
                <w:szCs w:val="22"/>
              </w:rPr>
              <w:t>.</w:t>
            </w:r>
          </w:p>
          <w:p w14:paraId="382FB5C8" w14:textId="7E7F66BD" w:rsidR="007A0F12" w:rsidRDefault="007A0F12" w:rsidP="007A0F12">
            <w:pPr>
              <w:pStyle w:val="Prrafodelista"/>
              <w:spacing w:line="276" w:lineRule="auto"/>
              <w:jc w:val="both"/>
              <w:rPr>
                <w:rFonts w:ascii="Century Gothic" w:hAnsi="Century Gothic"/>
                <w:sz w:val="22"/>
                <w:szCs w:val="22"/>
              </w:rPr>
            </w:pPr>
          </w:p>
          <w:p w14:paraId="1418F1B0"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INEXISTENCIA DE LA PÉRDIDA DE OPORTUNIDAD, CONSECUENTEMENTE NO SE PUEDE ORDENAR SU INDEMNIZACIÓN</w:t>
            </w:r>
            <w:r>
              <w:rPr>
                <w:rFonts w:ascii="Century Gothic" w:hAnsi="Century Gothic"/>
                <w:sz w:val="22"/>
                <w:szCs w:val="22"/>
              </w:rPr>
              <w:t>.</w:t>
            </w:r>
          </w:p>
          <w:p w14:paraId="6765CB69" w14:textId="594B2C42" w:rsidR="007A0F12" w:rsidRDefault="007A0F12" w:rsidP="007A0F12">
            <w:pPr>
              <w:pStyle w:val="Prrafodelista"/>
              <w:spacing w:line="276" w:lineRule="auto"/>
              <w:jc w:val="both"/>
              <w:rPr>
                <w:rFonts w:ascii="Century Gothic" w:hAnsi="Century Gothic"/>
                <w:sz w:val="22"/>
                <w:szCs w:val="22"/>
              </w:rPr>
            </w:pPr>
          </w:p>
          <w:p w14:paraId="6BFCBCF0"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lastRenderedPageBreak/>
              <w:t>IMPOSIBILIDAD DE RECONOCER EL DAÑO A BIENES CONSTITUCIONALMENTE PROTEGIDOS</w:t>
            </w:r>
            <w:r>
              <w:rPr>
                <w:rFonts w:ascii="Century Gothic" w:hAnsi="Century Gothic"/>
                <w:sz w:val="22"/>
                <w:szCs w:val="22"/>
              </w:rPr>
              <w:t>.</w:t>
            </w:r>
          </w:p>
          <w:p w14:paraId="59E92904" w14:textId="77777777" w:rsidR="007A0F12" w:rsidRPr="007A0F12" w:rsidRDefault="007A0F12" w:rsidP="007A0F12">
            <w:pPr>
              <w:pStyle w:val="Prrafodelista"/>
              <w:rPr>
                <w:rFonts w:ascii="Century Gothic" w:hAnsi="Century Gothic"/>
                <w:sz w:val="22"/>
                <w:szCs w:val="22"/>
              </w:rPr>
            </w:pPr>
          </w:p>
          <w:p w14:paraId="04AD1197"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INEXISTENCIA DE PRUEBA DEL DAÑO EMERGENTE – IMPROCEDENCIA DE SU RECONOCIMIENTO.</w:t>
            </w:r>
          </w:p>
          <w:p w14:paraId="7E8871AB" w14:textId="77777777" w:rsidR="007A0F12" w:rsidRPr="007A0F12" w:rsidRDefault="007A0F12" w:rsidP="007A0F12">
            <w:pPr>
              <w:pStyle w:val="Prrafodelista"/>
              <w:rPr>
                <w:rFonts w:ascii="Century Gothic" w:hAnsi="Century Gothic"/>
                <w:sz w:val="22"/>
                <w:szCs w:val="22"/>
              </w:rPr>
            </w:pPr>
          </w:p>
          <w:p w14:paraId="2FDD2A17"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IMPROCEDENCIA DEL RECONOCIMIENTO DEL PERJUICIO DENOMINADO LUCRO CESANTE</w:t>
            </w:r>
            <w:r>
              <w:rPr>
                <w:rFonts w:ascii="Century Gothic" w:hAnsi="Century Gothic"/>
                <w:sz w:val="22"/>
                <w:szCs w:val="22"/>
              </w:rPr>
              <w:t>.</w:t>
            </w:r>
          </w:p>
          <w:p w14:paraId="52A4782A" w14:textId="77777777" w:rsidR="007A0F12" w:rsidRPr="007A0F12" w:rsidRDefault="007A0F12" w:rsidP="007A0F12">
            <w:pPr>
              <w:pStyle w:val="Prrafodelista"/>
              <w:rPr>
                <w:rFonts w:ascii="Century Gothic" w:hAnsi="Century Gothic"/>
                <w:sz w:val="22"/>
                <w:szCs w:val="22"/>
              </w:rPr>
            </w:pPr>
          </w:p>
          <w:p w14:paraId="53ACFAC6"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ENRIQUECIMIENTO SIN CAUSA</w:t>
            </w:r>
            <w:r>
              <w:rPr>
                <w:rFonts w:ascii="Century Gothic" w:hAnsi="Century Gothic"/>
                <w:sz w:val="22"/>
                <w:szCs w:val="22"/>
              </w:rPr>
              <w:t>.</w:t>
            </w:r>
          </w:p>
          <w:p w14:paraId="2E1D5F43" w14:textId="77777777" w:rsidR="007A0F12" w:rsidRPr="007A0F12" w:rsidRDefault="007A0F12" w:rsidP="007A0F12">
            <w:pPr>
              <w:pStyle w:val="Prrafodelista"/>
              <w:rPr>
                <w:rFonts w:ascii="Century Gothic" w:hAnsi="Century Gothic"/>
                <w:sz w:val="22"/>
                <w:szCs w:val="22"/>
              </w:rPr>
            </w:pPr>
          </w:p>
          <w:p w14:paraId="77BAB56E"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PRESCRIPCIÓN DE LA ACCIÓN DERIVADA DEL CONTRATO DE SEGURO</w:t>
            </w:r>
            <w:r>
              <w:rPr>
                <w:rFonts w:ascii="Century Gothic" w:hAnsi="Century Gothic"/>
                <w:sz w:val="22"/>
                <w:szCs w:val="22"/>
              </w:rPr>
              <w:t>.</w:t>
            </w:r>
          </w:p>
          <w:p w14:paraId="50CF445B" w14:textId="77777777" w:rsidR="007A0F12" w:rsidRPr="007A0F12" w:rsidRDefault="007A0F12" w:rsidP="007A0F12">
            <w:pPr>
              <w:pStyle w:val="Prrafodelista"/>
              <w:rPr>
                <w:rFonts w:ascii="Century Gothic" w:hAnsi="Century Gothic"/>
                <w:sz w:val="22"/>
                <w:szCs w:val="22"/>
              </w:rPr>
            </w:pPr>
          </w:p>
          <w:p w14:paraId="7F6820A4"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AUSENCIA DE LA OBLIGACIÓN DE INDEMNIZACIÓN POR CUANTO NO SE CUMPLE CON LOS PRESUPUESTOS DE LA MODALIDAD DE COBERTURA TEMPORAL CLAIMS MADE FRENTE A LA PÓLIZA NO. AA05294</w:t>
            </w:r>
            <w:r>
              <w:rPr>
                <w:rFonts w:ascii="Century Gothic" w:hAnsi="Century Gothic"/>
                <w:sz w:val="22"/>
                <w:szCs w:val="22"/>
              </w:rPr>
              <w:t>.</w:t>
            </w:r>
          </w:p>
          <w:p w14:paraId="58B94311" w14:textId="77777777" w:rsidR="007A0F12" w:rsidRPr="007A0F12" w:rsidRDefault="007A0F12" w:rsidP="007A0F12">
            <w:pPr>
              <w:pStyle w:val="Prrafodelista"/>
              <w:rPr>
                <w:rFonts w:ascii="Century Gothic" w:hAnsi="Century Gothic"/>
                <w:sz w:val="22"/>
                <w:szCs w:val="22"/>
              </w:rPr>
            </w:pPr>
          </w:p>
          <w:p w14:paraId="10199074"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INEXISTENCIA DE OBLIGACIÓN INDEMNIZATORIA A CARGO DE LA EQUIDAD SEGUROS GENERALES OC, POR EL INCUMPLIMIENTO DE CARGAS DE QUE TRATA EL ARTÍCULO 1077 DEL C.CO.</w:t>
            </w:r>
          </w:p>
          <w:p w14:paraId="3FC777C0" w14:textId="77777777" w:rsidR="007A0F12" w:rsidRPr="007A0F12" w:rsidRDefault="007A0F12" w:rsidP="007A0F12">
            <w:pPr>
              <w:pStyle w:val="Prrafodelista"/>
              <w:rPr>
                <w:rFonts w:ascii="Century Gothic" w:hAnsi="Century Gothic"/>
                <w:sz w:val="22"/>
                <w:szCs w:val="22"/>
              </w:rPr>
            </w:pPr>
          </w:p>
          <w:p w14:paraId="1938FCDA"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EL SEGURO CONTENIDO EN LA PÓLIZA RESPONSABILIDAD CIVIL CLÍNICAS ES DE CARÁCTER MERAMENTE INDEMNIZATORIO</w:t>
            </w:r>
            <w:r>
              <w:rPr>
                <w:rFonts w:ascii="Century Gothic" w:hAnsi="Century Gothic"/>
                <w:sz w:val="22"/>
                <w:szCs w:val="22"/>
              </w:rPr>
              <w:t>.</w:t>
            </w:r>
          </w:p>
          <w:p w14:paraId="3A49051F" w14:textId="77777777" w:rsidR="007A0F12" w:rsidRPr="007A0F12" w:rsidRDefault="007A0F12" w:rsidP="007A0F12">
            <w:pPr>
              <w:pStyle w:val="Prrafodelista"/>
              <w:rPr>
                <w:rFonts w:ascii="Century Gothic" w:hAnsi="Century Gothic"/>
                <w:sz w:val="22"/>
                <w:szCs w:val="22"/>
              </w:rPr>
            </w:pPr>
          </w:p>
          <w:p w14:paraId="4CE31D0E"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CONFIGURACIÓN DE LA EXCLUSIÓN DE DAÑO GENÉTICO Y OTRAS EXCLUSIONES DE LA PÓLIZA DE SEGURO NO. AA073773</w:t>
            </w:r>
            <w:r>
              <w:rPr>
                <w:rFonts w:ascii="Century Gothic" w:hAnsi="Century Gothic"/>
                <w:sz w:val="22"/>
                <w:szCs w:val="22"/>
              </w:rPr>
              <w:t>.</w:t>
            </w:r>
          </w:p>
          <w:p w14:paraId="3FDE6FF0" w14:textId="77777777" w:rsidR="007A0F12" w:rsidRPr="007A0F12" w:rsidRDefault="007A0F12" w:rsidP="007A0F12">
            <w:pPr>
              <w:pStyle w:val="Prrafodelista"/>
              <w:rPr>
                <w:rFonts w:ascii="Century Gothic" w:hAnsi="Century Gothic"/>
                <w:sz w:val="22"/>
                <w:szCs w:val="22"/>
              </w:rPr>
            </w:pPr>
          </w:p>
          <w:p w14:paraId="7A9A4711"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EN CUALQUIER CASO, DE NINGUNA FORMA SE PODRÁ EXCEDER EL LÍMITE DEL VALOR ASEGURADO</w:t>
            </w:r>
            <w:r>
              <w:rPr>
                <w:rFonts w:ascii="Century Gothic" w:hAnsi="Century Gothic"/>
                <w:sz w:val="22"/>
                <w:szCs w:val="22"/>
              </w:rPr>
              <w:t>.</w:t>
            </w:r>
          </w:p>
          <w:p w14:paraId="0BA53FB4" w14:textId="77777777" w:rsidR="007A0F12" w:rsidRPr="007A0F12" w:rsidRDefault="007A0F12" w:rsidP="007A0F12">
            <w:pPr>
              <w:pStyle w:val="Prrafodelista"/>
              <w:rPr>
                <w:rFonts w:ascii="Century Gothic" w:hAnsi="Century Gothic"/>
                <w:sz w:val="22"/>
                <w:szCs w:val="22"/>
              </w:rPr>
            </w:pPr>
          </w:p>
          <w:p w14:paraId="4C2FAE01"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EN CUALQUIER CASO, SE DEBERÁ TENER EN CUENTA EL DEDUCIBLE PACTADO</w:t>
            </w:r>
            <w:r>
              <w:rPr>
                <w:rFonts w:ascii="Century Gothic" w:hAnsi="Century Gothic"/>
                <w:sz w:val="22"/>
                <w:szCs w:val="22"/>
              </w:rPr>
              <w:t>.</w:t>
            </w:r>
          </w:p>
          <w:p w14:paraId="5C333C1F" w14:textId="77777777" w:rsidR="007A0F12" w:rsidRPr="007A0F12" w:rsidRDefault="007A0F12" w:rsidP="007A0F12">
            <w:pPr>
              <w:pStyle w:val="Prrafodelista"/>
              <w:rPr>
                <w:rFonts w:ascii="Century Gothic" w:hAnsi="Century Gothic"/>
                <w:sz w:val="22"/>
                <w:szCs w:val="22"/>
              </w:rPr>
            </w:pPr>
          </w:p>
          <w:p w14:paraId="08118BF8"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SUJECIÓN A LAS CONDICIONES PARTICULARES Y GENERALES DEL CONTRATO DE SEGURO, EN LA QUE SE IDENTIFICAN LAS PÓLIZAS No. AA073773 Y No. AA005294, EL CLAUSULADO Y LOS AMPAROS</w:t>
            </w:r>
            <w:r>
              <w:rPr>
                <w:rFonts w:ascii="Century Gothic" w:hAnsi="Century Gothic"/>
                <w:sz w:val="22"/>
                <w:szCs w:val="22"/>
              </w:rPr>
              <w:t>.</w:t>
            </w:r>
          </w:p>
          <w:p w14:paraId="24336D35" w14:textId="77777777" w:rsidR="007A0F12" w:rsidRPr="007A0F12" w:rsidRDefault="007A0F12" w:rsidP="007A0F12">
            <w:pPr>
              <w:pStyle w:val="Prrafodelista"/>
              <w:rPr>
                <w:rFonts w:ascii="Century Gothic" w:hAnsi="Century Gothic"/>
                <w:sz w:val="22"/>
                <w:szCs w:val="22"/>
              </w:rPr>
            </w:pPr>
          </w:p>
          <w:p w14:paraId="557F6C42"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DISPONIBILIDAD DE LA SUMA ASEGURADA</w:t>
            </w:r>
            <w:r>
              <w:rPr>
                <w:rFonts w:ascii="Century Gothic" w:hAnsi="Century Gothic"/>
                <w:sz w:val="22"/>
                <w:szCs w:val="22"/>
              </w:rPr>
              <w:t>.</w:t>
            </w:r>
          </w:p>
          <w:p w14:paraId="14690B5A" w14:textId="77777777" w:rsidR="007A0F12" w:rsidRPr="007A0F12" w:rsidRDefault="007A0F12" w:rsidP="007A0F12">
            <w:pPr>
              <w:pStyle w:val="Prrafodelista"/>
              <w:rPr>
                <w:rFonts w:ascii="Century Gothic" w:hAnsi="Century Gothic"/>
                <w:sz w:val="22"/>
                <w:szCs w:val="22"/>
              </w:rPr>
            </w:pPr>
          </w:p>
          <w:p w14:paraId="34690E7A" w14:textId="77777777" w:rsid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EL CONTRATO ES LEY PARA LAS PARTES</w:t>
            </w:r>
            <w:r>
              <w:rPr>
                <w:rFonts w:ascii="Century Gothic" w:hAnsi="Century Gothic"/>
                <w:sz w:val="22"/>
                <w:szCs w:val="22"/>
              </w:rPr>
              <w:t>.</w:t>
            </w:r>
          </w:p>
          <w:p w14:paraId="3D5D33BD" w14:textId="77777777" w:rsidR="007A0F12" w:rsidRPr="007A0F12" w:rsidRDefault="007A0F12" w:rsidP="007A0F12">
            <w:pPr>
              <w:pStyle w:val="Prrafodelista"/>
              <w:rPr>
                <w:rFonts w:ascii="Century Gothic" w:hAnsi="Century Gothic"/>
                <w:sz w:val="22"/>
                <w:szCs w:val="22"/>
              </w:rPr>
            </w:pPr>
          </w:p>
          <w:p w14:paraId="52CE2D52" w14:textId="2B745BB7" w:rsidR="007A0F12" w:rsidRPr="007A0F12" w:rsidRDefault="007A0F12" w:rsidP="007A0F12">
            <w:pPr>
              <w:pStyle w:val="Prrafodelista"/>
              <w:numPr>
                <w:ilvl w:val="0"/>
                <w:numId w:val="2"/>
              </w:numPr>
              <w:spacing w:line="276" w:lineRule="auto"/>
              <w:jc w:val="both"/>
              <w:rPr>
                <w:rFonts w:ascii="Century Gothic" w:hAnsi="Century Gothic"/>
                <w:sz w:val="22"/>
                <w:szCs w:val="22"/>
              </w:rPr>
            </w:pPr>
            <w:r w:rsidRPr="007A0F12">
              <w:rPr>
                <w:rFonts w:ascii="Century Gothic" w:hAnsi="Century Gothic"/>
                <w:sz w:val="22"/>
                <w:szCs w:val="22"/>
              </w:rPr>
              <w:t>GENÉRICA, INNOMINADA Y OTRAS</w:t>
            </w:r>
            <w:r>
              <w:rPr>
                <w:rFonts w:ascii="Century Gothic" w:hAnsi="Century Gothic"/>
                <w:sz w:val="22"/>
                <w:szCs w:val="22"/>
              </w:rPr>
              <w:t>.</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DDCDF2A" w:rsidR="00EE687D" w:rsidRPr="00BA1E5F" w:rsidRDefault="008631DE" w:rsidP="00EB6AB4">
            <w:pPr>
              <w:jc w:val="both"/>
              <w:rPr>
                <w:rFonts w:ascii="Century Gothic" w:hAnsi="Century Gothic" w:cs="Segoe UI"/>
                <w:sz w:val="22"/>
                <w:szCs w:val="22"/>
                <w:lang w:eastAsia="es-CO"/>
              </w:rPr>
            </w:pPr>
            <w:r>
              <w:rPr>
                <w:rFonts w:ascii="Century Gothic" w:hAnsi="Century Gothic" w:cs="Segoe UI"/>
                <w:sz w:val="22"/>
                <w:szCs w:val="22"/>
                <w:lang w:eastAsia="es-CO"/>
              </w:rPr>
              <w:t>N/T</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35A2425B" w:rsidR="006F0CAA" w:rsidRPr="00BA1E5F" w:rsidRDefault="008631DE" w:rsidP="00EB6AB4">
            <w:pPr>
              <w:jc w:val="both"/>
              <w:rPr>
                <w:rFonts w:ascii="Century Gothic" w:hAnsi="Century Gothic" w:cs="Segoe UI"/>
                <w:sz w:val="22"/>
                <w:szCs w:val="22"/>
                <w:lang w:eastAsia="es-CO"/>
              </w:rPr>
            </w:pPr>
            <w:r>
              <w:rPr>
                <w:rFonts w:ascii="Century Gothic" w:hAnsi="Century Gothic" w:cs="Segoe UI"/>
                <w:sz w:val="22"/>
                <w:szCs w:val="22"/>
                <w:lang w:eastAsia="es-CO"/>
              </w:rPr>
              <w:t>N/T</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42D73F99" w:rsidR="00EE687D" w:rsidRPr="008631DE" w:rsidRDefault="008631DE" w:rsidP="00EB6AB4">
            <w:pPr>
              <w:jc w:val="both"/>
              <w:rPr>
                <w:rFonts w:ascii="Century Gothic" w:hAnsi="Century Gothic" w:cs="Segoe UI"/>
                <w:sz w:val="22"/>
                <w:szCs w:val="22"/>
                <w:lang w:val="es-CO" w:eastAsia="es-CO"/>
              </w:rPr>
            </w:pPr>
            <w:r w:rsidRPr="008631DE">
              <w:rPr>
                <w:rFonts w:ascii="Century Gothic" w:hAnsi="Century Gothic" w:cs="Segoe UI"/>
                <w:sz w:val="22"/>
                <w:szCs w:val="22"/>
                <w:lang w:val="es-CO" w:eastAsia="es-CO"/>
              </w:rPr>
              <w:t>AA073773</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1DBE132F" w:rsidR="00EE687D" w:rsidRPr="008631DE" w:rsidRDefault="008631DE" w:rsidP="00EB6AB4">
            <w:pPr>
              <w:jc w:val="both"/>
              <w:rPr>
                <w:rFonts w:ascii="Century Gothic" w:hAnsi="Century Gothic" w:cs="Segoe UI"/>
                <w:sz w:val="22"/>
                <w:szCs w:val="22"/>
                <w:lang w:val="es-CO" w:eastAsia="es-CO"/>
              </w:rPr>
            </w:pPr>
            <w:r w:rsidRPr="008631DE">
              <w:rPr>
                <w:rFonts w:ascii="Century Gothic" w:hAnsi="Century Gothic" w:cs="Segoe UI"/>
                <w:sz w:val="22"/>
                <w:szCs w:val="22"/>
                <w:lang w:val="es-CO" w:eastAsia="es-CO"/>
              </w:rPr>
              <w:t>AA309467</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1FF2B583" w:rsidR="00EE687D" w:rsidRPr="00BA1E5F" w:rsidRDefault="008631DE"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5BC76DDB" w:rsidR="00B90E05" w:rsidRPr="00BA1E5F" w:rsidRDefault="00F9219A" w:rsidP="00EB6AB4">
            <w:pPr>
              <w:jc w:val="both"/>
              <w:rPr>
                <w:rFonts w:ascii="Century Gothic" w:hAnsi="Century Gothic" w:cs="Segoe UI"/>
                <w:sz w:val="22"/>
                <w:szCs w:val="22"/>
                <w:lang w:eastAsia="es-CO"/>
              </w:rPr>
            </w:pPr>
            <w:r>
              <w:rPr>
                <w:rFonts w:ascii="Century Gothic" w:hAnsi="Century Gothic" w:cs="Segoe UI"/>
                <w:sz w:val="22"/>
                <w:szCs w:val="22"/>
                <w:lang w:eastAsia="es-CO"/>
              </w:rPr>
              <w:t>N/T</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AC3434C" w:rsidR="00EE687D" w:rsidRPr="00BA1E5F" w:rsidRDefault="00F9219A" w:rsidP="00EB6AB4">
            <w:pPr>
              <w:jc w:val="both"/>
              <w:rPr>
                <w:rFonts w:ascii="Century Gothic" w:hAnsi="Century Gothic" w:cs="Segoe UI"/>
                <w:sz w:val="22"/>
                <w:szCs w:val="22"/>
                <w:lang w:eastAsia="es-CO"/>
              </w:rPr>
            </w:pPr>
            <w:r>
              <w:rPr>
                <w:rFonts w:ascii="Century Gothic" w:hAnsi="Century Gothic" w:cs="Segoe UI"/>
                <w:sz w:val="22"/>
                <w:szCs w:val="22"/>
                <w:lang w:eastAsia="es-CO"/>
              </w:rPr>
              <w:t>N/T</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EBCC9F0" w:rsidR="001C44B4" w:rsidRPr="00134FA7" w:rsidRDefault="00134FA7" w:rsidP="001C44B4">
            <w:pPr>
              <w:jc w:val="both"/>
              <w:rPr>
                <w:rFonts w:ascii="Century Gothic" w:hAnsi="Century Gothic" w:cs="Segoe UI"/>
                <w:sz w:val="22"/>
                <w:szCs w:val="22"/>
                <w:lang w:val="es-CO" w:eastAsia="es-CO"/>
              </w:rPr>
            </w:pPr>
            <w:r w:rsidRPr="00134FA7">
              <w:rPr>
                <w:rFonts w:ascii="Century Gothic" w:hAnsi="Century Gothic" w:cs="Segoe UI"/>
                <w:sz w:val="22"/>
                <w:szCs w:val="22"/>
                <w:lang w:val="es-CO" w:eastAsia="es-CO"/>
              </w:rPr>
              <w:t>26 de septiembre de 2019</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03C03FD" w:rsidR="001C44B4" w:rsidRPr="00134FA7" w:rsidRDefault="00134FA7" w:rsidP="001C44B4">
            <w:pPr>
              <w:jc w:val="both"/>
              <w:rPr>
                <w:rFonts w:ascii="Century Gothic" w:hAnsi="Century Gothic" w:cs="Segoe UI"/>
                <w:sz w:val="22"/>
                <w:szCs w:val="22"/>
                <w:lang w:val="es-CO" w:eastAsia="es-CO"/>
              </w:rPr>
            </w:pPr>
            <w:r w:rsidRPr="00134FA7">
              <w:rPr>
                <w:rFonts w:ascii="Century Gothic" w:hAnsi="Century Gothic" w:cs="Segoe UI"/>
                <w:sz w:val="22"/>
                <w:szCs w:val="22"/>
                <w:lang w:val="es-CO" w:eastAsia="es-CO"/>
              </w:rPr>
              <w:t>21 de noviembre de 2024</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D15E804" w:rsidR="001C44B4" w:rsidRPr="00BA1E5F" w:rsidRDefault="00134FA7" w:rsidP="001C44B4">
            <w:pPr>
              <w:jc w:val="both"/>
              <w:rPr>
                <w:rFonts w:ascii="Century Gothic" w:hAnsi="Century Gothic" w:cs="Segoe UI"/>
                <w:sz w:val="22"/>
                <w:szCs w:val="22"/>
                <w:lang w:eastAsia="es-CO"/>
              </w:rPr>
            </w:pPr>
            <w:r w:rsidRPr="005114F8">
              <w:rPr>
                <w:rFonts w:ascii="Century Gothic" w:hAnsi="Century Gothic" w:cs="Segoe UI"/>
                <w:sz w:val="22"/>
                <w:szCs w:val="22"/>
                <w:lang w:eastAsia="es-CO"/>
              </w:rPr>
              <w:t>NO REFIERE</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2FEA0968" w:rsidR="001C44B4" w:rsidRPr="008631DE" w:rsidRDefault="008631DE" w:rsidP="001C44B4">
            <w:pPr>
              <w:jc w:val="both"/>
              <w:rPr>
                <w:rFonts w:ascii="Century Gothic" w:hAnsi="Century Gothic" w:cs="Segoe UI"/>
                <w:sz w:val="22"/>
                <w:szCs w:val="22"/>
                <w:lang w:val="es-CO" w:eastAsia="es-CO"/>
              </w:rPr>
            </w:pPr>
            <w:r w:rsidRPr="008631DE">
              <w:rPr>
                <w:rFonts w:ascii="Century Gothic" w:hAnsi="Century Gothic" w:cs="Segoe UI"/>
                <w:sz w:val="22"/>
                <w:szCs w:val="22"/>
                <w:lang w:val="es-CO" w:eastAsia="es-CO"/>
              </w:rPr>
              <w:t>HOSPITAL SAN JUAN DE DIOS</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7A995F1" w:rsidR="001C44B4" w:rsidRPr="008631DE" w:rsidRDefault="008631DE" w:rsidP="001C44B4">
            <w:pPr>
              <w:jc w:val="both"/>
              <w:rPr>
                <w:rFonts w:ascii="Century Gothic" w:hAnsi="Century Gothic" w:cs="Segoe UI"/>
                <w:sz w:val="22"/>
                <w:szCs w:val="22"/>
                <w:lang w:val="es-CO" w:eastAsia="es-CO"/>
              </w:rPr>
            </w:pPr>
            <w:r w:rsidRPr="008631DE">
              <w:rPr>
                <w:rFonts w:ascii="Century Gothic" w:hAnsi="Century Gothic" w:cs="Segoe UI"/>
                <w:sz w:val="22"/>
                <w:szCs w:val="22"/>
                <w:lang w:val="es-CO" w:eastAsia="es-CO"/>
              </w:rPr>
              <w:t>HOSPITAL SAN JUAN DE DIOS</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14124CA7" w:rsidR="001C44B4" w:rsidRPr="008631DE" w:rsidRDefault="008631DE" w:rsidP="001C44B4">
            <w:pPr>
              <w:jc w:val="both"/>
              <w:rPr>
                <w:rFonts w:ascii="Century Gothic" w:hAnsi="Century Gothic" w:cs="Segoe UI"/>
                <w:sz w:val="22"/>
                <w:szCs w:val="22"/>
                <w:lang w:val="es-CO" w:eastAsia="es-CO"/>
              </w:rPr>
            </w:pPr>
            <w:r w:rsidRPr="008631DE">
              <w:rPr>
                <w:rFonts w:ascii="Century Gothic" w:hAnsi="Century Gothic" w:cs="Segoe UI"/>
                <w:sz w:val="22"/>
                <w:szCs w:val="22"/>
                <w:lang w:val="es-CO" w:eastAsia="es-CO"/>
              </w:rPr>
              <w:t>R.C. PROFESIONAL CLINICAS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B2BD1BB" w:rsidR="001C44B4" w:rsidRPr="008631DE" w:rsidRDefault="008631DE" w:rsidP="001C44B4">
            <w:pPr>
              <w:jc w:val="both"/>
              <w:rPr>
                <w:rFonts w:ascii="Century Gothic" w:hAnsi="Century Gothic" w:cs="Segoe UI"/>
                <w:sz w:val="22"/>
                <w:szCs w:val="22"/>
                <w:lang w:val="es-CO" w:eastAsia="es-CO"/>
              </w:rPr>
            </w:pPr>
            <w:r w:rsidRPr="008631DE">
              <w:rPr>
                <w:rFonts w:ascii="Century Gothic" w:hAnsi="Century Gothic" w:cs="Segoe UI"/>
                <w:sz w:val="22"/>
                <w:szCs w:val="22"/>
                <w:lang w:val="es-CO" w:eastAsia="es-CO"/>
              </w:rPr>
              <w:t>Responsabilidad Civil Profesional Médica</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52B8B8A" w:rsidR="001C44B4" w:rsidRPr="008631DE" w:rsidRDefault="008631DE" w:rsidP="008631DE">
            <w:pPr>
              <w:pStyle w:val="NormalWeb"/>
              <w:jc w:val="both"/>
              <w:rPr>
                <w:rFonts w:ascii="Aptos" w:hAnsi="Aptos" w:cs="Segoe UI"/>
                <w:color w:val="242424"/>
              </w:rPr>
            </w:pPr>
            <w:r>
              <w:rPr>
                <w:rFonts w:ascii="Century Gothic" w:hAnsi="Century Gothic" w:cs="Segoe UI"/>
                <w:color w:val="242424"/>
                <w:sz w:val="20"/>
                <w:szCs w:val="20"/>
                <w:bdr w:val="none" w:sz="0" w:space="0" w:color="auto" w:frame="1"/>
              </w:rPr>
              <w:br/>
            </w:r>
            <w:r w:rsidRPr="004D2ACD">
              <w:rPr>
                <w:rFonts w:ascii="Century Gothic" w:eastAsiaTheme="minorHAnsi" w:hAnsi="Century Gothic" w:cs="Segoe UI"/>
                <w:sz w:val="22"/>
                <w:szCs w:val="22"/>
              </w:rPr>
              <w:t>$1,000,000,000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1D21CFD" w:rsidR="001129B6" w:rsidRPr="00BA1E5F" w:rsidRDefault="00134FA7" w:rsidP="001C44B4">
            <w:pPr>
              <w:jc w:val="both"/>
              <w:rPr>
                <w:rFonts w:ascii="Century Gothic" w:hAnsi="Century Gothic" w:cs="Segoe UI"/>
                <w:sz w:val="22"/>
                <w:szCs w:val="22"/>
                <w:lang w:eastAsia="es-CO"/>
              </w:rPr>
            </w:pPr>
            <w:r w:rsidRPr="005114F8">
              <w:rPr>
                <w:rFonts w:ascii="Century Gothic" w:hAnsi="Century Gothic" w:cs="Segoe UI"/>
                <w:sz w:val="22"/>
                <w:szCs w:val="22"/>
                <w:lang w:eastAsia="es-CO"/>
              </w:rPr>
              <w:t>NO REFIERE</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C592A1A"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134FA7">
              <w:rPr>
                <w:rFonts w:ascii="Century Gothic" w:hAnsi="Century Gothic" w:cs="Segoe UI"/>
                <w:sz w:val="22"/>
                <w:szCs w:val="22"/>
                <w:lang w:eastAsia="es-CO"/>
              </w:rPr>
              <w:t>N/T</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6412244A" w:rsidR="002633C0" w:rsidRPr="00BA1E5F" w:rsidRDefault="002B588F"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2D804D62" w:rsidR="002633C0" w:rsidRPr="00BA1E5F" w:rsidRDefault="00B41557" w:rsidP="003314A2">
            <w:pPr>
              <w:spacing w:line="360" w:lineRule="auto"/>
              <w:rPr>
                <w:rFonts w:ascii="Century Gothic" w:hAnsi="Century Gothic"/>
                <w:sz w:val="22"/>
                <w:szCs w:val="22"/>
              </w:rPr>
            </w:pPr>
            <w:r>
              <w:rPr>
                <w:rFonts w:ascii="Century Gothic" w:hAnsi="Century Gothic"/>
                <w:sz w:val="22"/>
                <w:szCs w:val="22"/>
              </w:rPr>
              <w:t>$224.632.299</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57161BD7" w14:textId="04728051" w:rsidR="00BA1E5F" w:rsidRDefault="005114F8" w:rsidP="005114F8">
            <w:pPr>
              <w:spacing w:line="360" w:lineRule="auto"/>
              <w:jc w:val="both"/>
              <w:rPr>
                <w:rFonts w:ascii="Century Gothic" w:hAnsi="Century Gothic"/>
                <w:sz w:val="22"/>
                <w:szCs w:val="22"/>
              </w:rPr>
            </w:pPr>
            <w:r>
              <w:rPr>
                <w:rFonts w:ascii="Century Gothic" w:hAnsi="Century Gothic"/>
                <w:sz w:val="22"/>
                <w:szCs w:val="22"/>
              </w:rPr>
              <w:t xml:space="preserve">La presente contingencia se califica como </w:t>
            </w:r>
            <w:r w:rsidR="002B588F">
              <w:rPr>
                <w:rFonts w:ascii="Century Gothic" w:hAnsi="Century Gothic"/>
                <w:sz w:val="22"/>
                <w:szCs w:val="22"/>
              </w:rPr>
              <w:t>remota</w:t>
            </w:r>
            <w:r>
              <w:rPr>
                <w:rFonts w:ascii="Century Gothic" w:hAnsi="Century Gothic"/>
                <w:sz w:val="22"/>
                <w:szCs w:val="22"/>
              </w:rPr>
              <w:t xml:space="preserve"> ya que la póliza de responsabilidad civil profesional clínicas No. AA073773 presta cobertura material y temporal. </w:t>
            </w:r>
            <w:r w:rsidR="003432A7">
              <w:rPr>
                <w:rFonts w:ascii="Century Gothic" w:hAnsi="Century Gothic"/>
                <w:sz w:val="22"/>
                <w:szCs w:val="22"/>
              </w:rPr>
              <w:t>Adicionalmente</w:t>
            </w:r>
            <w:r>
              <w:rPr>
                <w:rFonts w:ascii="Century Gothic" w:hAnsi="Century Gothic"/>
                <w:sz w:val="22"/>
                <w:szCs w:val="22"/>
              </w:rPr>
              <w:t xml:space="preserve">, la póliza de responsabilidad profesional clínicas No. AA005294 presta cobertura material, sin embargo, no presta cobertura temporal. Por otra parte, la responsabilidad del asegurado solo podrá determinarse una </w:t>
            </w:r>
            <w:r w:rsidR="00E06215">
              <w:rPr>
                <w:rFonts w:ascii="Century Gothic" w:hAnsi="Century Gothic"/>
                <w:sz w:val="22"/>
                <w:szCs w:val="22"/>
              </w:rPr>
              <w:t xml:space="preserve">vez </w:t>
            </w:r>
            <w:r>
              <w:rPr>
                <w:rFonts w:ascii="Century Gothic" w:hAnsi="Century Gothic"/>
                <w:sz w:val="22"/>
                <w:szCs w:val="22"/>
              </w:rPr>
              <w:t>se surta el debate probatorio.</w:t>
            </w:r>
          </w:p>
          <w:p w14:paraId="027494AF" w14:textId="77777777" w:rsidR="00097CDC" w:rsidRDefault="00097CDC" w:rsidP="005114F8">
            <w:pPr>
              <w:spacing w:line="360" w:lineRule="auto"/>
              <w:jc w:val="both"/>
              <w:rPr>
                <w:rFonts w:ascii="Century Gothic" w:hAnsi="Century Gothic"/>
                <w:sz w:val="22"/>
                <w:szCs w:val="22"/>
              </w:rPr>
            </w:pPr>
          </w:p>
          <w:p w14:paraId="5A346254" w14:textId="11F97B79" w:rsidR="002B143A" w:rsidRDefault="00097CDC" w:rsidP="005114F8">
            <w:pPr>
              <w:spacing w:line="360" w:lineRule="auto"/>
              <w:jc w:val="both"/>
              <w:rPr>
                <w:rFonts w:ascii="Century Gothic" w:hAnsi="Century Gothic"/>
                <w:sz w:val="22"/>
                <w:szCs w:val="22"/>
              </w:rPr>
            </w:pPr>
            <w:r>
              <w:rPr>
                <w:rFonts w:ascii="Century Gothic" w:hAnsi="Century Gothic"/>
                <w:sz w:val="22"/>
                <w:szCs w:val="22"/>
              </w:rPr>
              <w:t xml:space="preserve">La póliza de responsabilidad profesional clínicas No. AA073773 presta cobertura material ya que ampara la responsabilidad </w:t>
            </w:r>
            <w:r w:rsidR="003432A7">
              <w:rPr>
                <w:rFonts w:ascii="Century Gothic" w:hAnsi="Century Gothic"/>
                <w:sz w:val="22"/>
                <w:szCs w:val="22"/>
              </w:rPr>
              <w:t>civil clínicas y hospitales</w:t>
            </w:r>
            <w:r w:rsidR="00D566B0">
              <w:rPr>
                <w:rFonts w:ascii="Century Gothic" w:hAnsi="Century Gothic"/>
                <w:sz w:val="22"/>
                <w:szCs w:val="22"/>
              </w:rPr>
              <w:t xml:space="preserve">, la cual se endilga al asegurado, por </w:t>
            </w:r>
            <w:r w:rsidR="00D566B0">
              <w:rPr>
                <w:rFonts w:ascii="Century Gothic" w:hAnsi="Century Gothic"/>
                <w:sz w:val="22"/>
                <w:szCs w:val="22"/>
              </w:rPr>
              <w:lastRenderedPageBreak/>
              <w:t xml:space="preserve">otra parte, la póliza presta cobertura temporal ya que se pactó en la modalidad </w:t>
            </w:r>
            <w:proofErr w:type="spellStart"/>
            <w:r w:rsidR="00D566B0">
              <w:rPr>
                <w:rFonts w:ascii="Century Gothic" w:hAnsi="Century Gothic"/>
                <w:sz w:val="22"/>
                <w:szCs w:val="22"/>
              </w:rPr>
              <w:t>claims</w:t>
            </w:r>
            <w:proofErr w:type="spellEnd"/>
            <w:r w:rsidR="00D566B0">
              <w:rPr>
                <w:rFonts w:ascii="Century Gothic" w:hAnsi="Century Gothic"/>
                <w:sz w:val="22"/>
                <w:szCs w:val="22"/>
              </w:rPr>
              <w:t xml:space="preserve"> </w:t>
            </w:r>
            <w:proofErr w:type="spellStart"/>
            <w:r w:rsidR="00D566B0">
              <w:rPr>
                <w:rFonts w:ascii="Century Gothic" w:hAnsi="Century Gothic"/>
                <w:sz w:val="22"/>
                <w:szCs w:val="22"/>
              </w:rPr>
              <w:t>made</w:t>
            </w:r>
            <w:proofErr w:type="spellEnd"/>
            <w:r w:rsidR="00D566B0">
              <w:rPr>
                <w:rFonts w:ascii="Century Gothic" w:hAnsi="Century Gothic"/>
                <w:sz w:val="22"/>
                <w:szCs w:val="22"/>
              </w:rPr>
              <w:t xml:space="preserve"> con un retroactivo desde el 1 de enero de 2016, por lo que los hechos que motivan la demanda sucedieron dentro del retroactivo mencionado</w:t>
            </w:r>
            <w:r w:rsidR="004D2ACD">
              <w:rPr>
                <w:rFonts w:ascii="Century Gothic" w:hAnsi="Century Gothic"/>
                <w:sz w:val="22"/>
                <w:szCs w:val="22"/>
              </w:rPr>
              <w:t>, esto es, el 26 de septiembre de 2019</w:t>
            </w:r>
            <w:r w:rsidR="00D566B0">
              <w:rPr>
                <w:rFonts w:ascii="Century Gothic" w:hAnsi="Century Gothic"/>
                <w:sz w:val="22"/>
                <w:szCs w:val="22"/>
              </w:rPr>
              <w:t xml:space="preserve">. Adicionalmente, la reclamación extrajudicial fue efectuada mediante audiencia de conciliación celebrada el día 20 de noviembre de 2024, por lo que se efectuó dentro de la vigencia de la póliza comprendida entre el </w:t>
            </w:r>
            <w:r w:rsidR="002B143A">
              <w:rPr>
                <w:rFonts w:ascii="Century Gothic" w:hAnsi="Century Gothic"/>
                <w:sz w:val="22"/>
                <w:szCs w:val="22"/>
              </w:rPr>
              <w:t>7 de enero de 2022 al 7 de enero de 2025.</w:t>
            </w:r>
          </w:p>
          <w:p w14:paraId="58700B59" w14:textId="77777777" w:rsidR="002B143A" w:rsidRDefault="002B143A" w:rsidP="005114F8">
            <w:pPr>
              <w:spacing w:line="360" w:lineRule="auto"/>
              <w:jc w:val="both"/>
              <w:rPr>
                <w:rFonts w:ascii="Century Gothic" w:hAnsi="Century Gothic"/>
                <w:sz w:val="22"/>
                <w:szCs w:val="22"/>
              </w:rPr>
            </w:pPr>
          </w:p>
          <w:p w14:paraId="6A65FA80" w14:textId="2B028C4D" w:rsidR="00097CDC" w:rsidRDefault="002B143A" w:rsidP="005114F8">
            <w:pPr>
              <w:spacing w:line="360" w:lineRule="auto"/>
              <w:jc w:val="both"/>
              <w:rPr>
                <w:rFonts w:ascii="Century Gothic" w:hAnsi="Century Gothic"/>
                <w:sz w:val="22"/>
                <w:szCs w:val="22"/>
              </w:rPr>
            </w:pPr>
            <w:r>
              <w:rPr>
                <w:rFonts w:ascii="Century Gothic" w:hAnsi="Century Gothic"/>
                <w:sz w:val="22"/>
                <w:szCs w:val="22"/>
              </w:rPr>
              <w:t xml:space="preserve">La póliza de responsabilidad profesional clínicas No. AA005294 presta cobertura material, ya que ampara la responsabilidad civil clínicas y hospitales, la cual se endilga al asegurado, por otra parte, la póliza no presta cobertura temporal ya que se pactó en la modalidad </w:t>
            </w:r>
            <w:proofErr w:type="spellStart"/>
            <w:r>
              <w:rPr>
                <w:rFonts w:ascii="Century Gothic" w:hAnsi="Century Gothic"/>
                <w:sz w:val="22"/>
                <w:szCs w:val="22"/>
              </w:rPr>
              <w:t>claims</w:t>
            </w:r>
            <w:proofErr w:type="spellEnd"/>
            <w:r>
              <w:rPr>
                <w:rFonts w:ascii="Century Gothic" w:hAnsi="Century Gothic"/>
                <w:sz w:val="22"/>
                <w:szCs w:val="22"/>
              </w:rPr>
              <w:t xml:space="preserve"> </w:t>
            </w:r>
            <w:proofErr w:type="spellStart"/>
            <w:r>
              <w:rPr>
                <w:rFonts w:ascii="Century Gothic" w:hAnsi="Century Gothic"/>
                <w:sz w:val="22"/>
                <w:szCs w:val="22"/>
              </w:rPr>
              <w:t>made</w:t>
            </w:r>
            <w:proofErr w:type="spellEnd"/>
            <w:r>
              <w:rPr>
                <w:rFonts w:ascii="Century Gothic" w:hAnsi="Century Gothic"/>
                <w:sz w:val="22"/>
                <w:szCs w:val="22"/>
              </w:rPr>
              <w:t xml:space="preserve"> con un retroactivo desde el 1 de enero de 2016, motivo por el cual los hechos de la demanda sucedieron dentro del retroactivo mencionado, sin embargo, la reclamación se efectuó mediante la audiencia de conciliación extrajudicial el día 20 de enero de 2024, por lo tanto, fue posterior a la vigencia de dicha póliza la cual finalizó el día 7 de enero de 2021.</w:t>
            </w:r>
          </w:p>
          <w:p w14:paraId="11116776" w14:textId="77777777" w:rsidR="002B143A" w:rsidRDefault="002B143A" w:rsidP="005114F8">
            <w:pPr>
              <w:spacing w:line="360" w:lineRule="auto"/>
              <w:jc w:val="both"/>
              <w:rPr>
                <w:rFonts w:ascii="Century Gothic" w:hAnsi="Century Gothic"/>
                <w:sz w:val="22"/>
                <w:szCs w:val="22"/>
              </w:rPr>
            </w:pPr>
          </w:p>
          <w:p w14:paraId="58FF1192" w14:textId="1BCD3A6B" w:rsidR="002B143A" w:rsidRPr="00BA1E5F" w:rsidRDefault="002B143A" w:rsidP="005114F8">
            <w:pPr>
              <w:spacing w:line="360" w:lineRule="auto"/>
              <w:jc w:val="both"/>
              <w:rPr>
                <w:rFonts w:ascii="Century Gothic" w:hAnsi="Century Gothic"/>
                <w:sz w:val="22"/>
                <w:szCs w:val="22"/>
              </w:rPr>
            </w:pPr>
            <w:r>
              <w:rPr>
                <w:rFonts w:ascii="Century Gothic" w:hAnsi="Century Gothic"/>
                <w:sz w:val="22"/>
                <w:szCs w:val="22"/>
              </w:rPr>
              <w:t xml:space="preserve">Lo anterior deberá analizarse de forma conjunta con la responsabilidad civil del asegurado, la cual solo se podrá corroborar una vez se surta la práctica de pruebas teniendo en cuenta los siguientes aspectos: i) </w:t>
            </w:r>
            <w:r w:rsidR="001A5F9B">
              <w:rPr>
                <w:rFonts w:ascii="Century Gothic" w:hAnsi="Century Gothic"/>
                <w:sz w:val="22"/>
                <w:szCs w:val="22"/>
              </w:rPr>
              <w:t xml:space="preserve">Se verifica en la historia clínica emitida por el Hospital San Juan de Dios </w:t>
            </w:r>
            <w:r w:rsidR="000054FA">
              <w:rPr>
                <w:rFonts w:ascii="Century Gothic" w:hAnsi="Century Gothic"/>
                <w:sz w:val="22"/>
                <w:szCs w:val="22"/>
              </w:rPr>
              <w:t xml:space="preserve">el día 27 de septiembre de 2019 </w:t>
            </w:r>
            <w:r w:rsidR="001A5F9B">
              <w:rPr>
                <w:rFonts w:ascii="Century Gothic" w:hAnsi="Century Gothic"/>
                <w:sz w:val="22"/>
                <w:szCs w:val="22"/>
              </w:rPr>
              <w:t xml:space="preserve">que la menor Brianna Nicoll sufrió de asfixia leve y moderada al momento de su nacimiento, acompañada de posteriores eventos de convulsiones; </w:t>
            </w:r>
            <w:proofErr w:type="spellStart"/>
            <w:r w:rsidR="001A5F9B">
              <w:rPr>
                <w:rFonts w:ascii="Century Gothic" w:hAnsi="Century Gothic"/>
                <w:sz w:val="22"/>
                <w:szCs w:val="22"/>
              </w:rPr>
              <w:t>ii</w:t>
            </w:r>
            <w:proofErr w:type="spellEnd"/>
            <w:r w:rsidR="001A5F9B">
              <w:rPr>
                <w:rFonts w:ascii="Century Gothic" w:hAnsi="Century Gothic"/>
                <w:sz w:val="22"/>
                <w:szCs w:val="22"/>
              </w:rPr>
              <w:t>) Se verifica</w:t>
            </w:r>
            <w:r w:rsidR="000054FA">
              <w:rPr>
                <w:rFonts w:ascii="Century Gothic" w:hAnsi="Century Gothic"/>
                <w:sz w:val="22"/>
                <w:szCs w:val="22"/>
              </w:rPr>
              <w:t xml:space="preserve"> en historia clínica de febrero de 2021 y febrero de 2023</w:t>
            </w:r>
            <w:r w:rsidR="001A5F9B">
              <w:rPr>
                <w:rFonts w:ascii="Century Gothic" w:hAnsi="Century Gothic"/>
                <w:sz w:val="22"/>
                <w:szCs w:val="22"/>
              </w:rPr>
              <w:t xml:space="preserve"> que la menor sufrió microcefalia</w:t>
            </w:r>
            <w:r w:rsidR="000054FA">
              <w:rPr>
                <w:rFonts w:ascii="Century Gothic" w:hAnsi="Century Gothic"/>
                <w:sz w:val="22"/>
                <w:szCs w:val="22"/>
              </w:rPr>
              <w:t xml:space="preserve"> y su movilidad se vio totalmente afectada</w:t>
            </w:r>
            <w:r w:rsidR="001A5F9B">
              <w:rPr>
                <w:rFonts w:ascii="Century Gothic" w:hAnsi="Century Gothic"/>
                <w:sz w:val="22"/>
                <w:szCs w:val="22"/>
              </w:rPr>
              <w:t xml:space="preserve"> siendo necesario que se someta a cirugías estéticas en la Fundación Clínica Noel; </w:t>
            </w:r>
            <w:proofErr w:type="spellStart"/>
            <w:r w:rsidR="001A5F9B">
              <w:rPr>
                <w:rFonts w:ascii="Century Gothic" w:hAnsi="Century Gothic"/>
                <w:sz w:val="22"/>
                <w:szCs w:val="22"/>
              </w:rPr>
              <w:t>iii</w:t>
            </w:r>
            <w:proofErr w:type="spellEnd"/>
            <w:r w:rsidR="001A5F9B">
              <w:rPr>
                <w:rFonts w:ascii="Century Gothic" w:hAnsi="Century Gothic"/>
                <w:sz w:val="22"/>
                <w:szCs w:val="22"/>
              </w:rPr>
              <w:t xml:space="preserve">) Por otra parte, se constatan los antecedentes de la madre de la menor, </w:t>
            </w:r>
            <w:proofErr w:type="spellStart"/>
            <w:r w:rsidR="001A5F9B">
              <w:rPr>
                <w:rFonts w:ascii="Century Gothic" w:hAnsi="Century Gothic"/>
                <w:sz w:val="22"/>
                <w:szCs w:val="22"/>
              </w:rPr>
              <w:t>Milexis</w:t>
            </w:r>
            <w:proofErr w:type="spellEnd"/>
            <w:r w:rsidR="001A5F9B">
              <w:rPr>
                <w:rFonts w:ascii="Century Gothic" w:hAnsi="Century Gothic"/>
                <w:sz w:val="22"/>
                <w:szCs w:val="22"/>
              </w:rPr>
              <w:t xml:space="preserve"> Andreina Díaz, relativos a obesidad y preeclampsia; </w:t>
            </w:r>
            <w:proofErr w:type="spellStart"/>
            <w:r w:rsidR="001A5F9B">
              <w:rPr>
                <w:rFonts w:ascii="Century Gothic" w:hAnsi="Century Gothic"/>
                <w:sz w:val="22"/>
                <w:szCs w:val="22"/>
              </w:rPr>
              <w:t>iv</w:t>
            </w:r>
            <w:proofErr w:type="spellEnd"/>
            <w:r w:rsidR="001A5F9B">
              <w:rPr>
                <w:rFonts w:ascii="Century Gothic" w:hAnsi="Century Gothic"/>
                <w:sz w:val="22"/>
                <w:szCs w:val="22"/>
              </w:rPr>
              <w:t>) adicionalmente a lo mencionado, se verifica que</w:t>
            </w:r>
            <w:r w:rsidR="009141C9">
              <w:rPr>
                <w:rFonts w:ascii="Century Gothic" w:hAnsi="Century Gothic"/>
                <w:sz w:val="22"/>
                <w:szCs w:val="22"/>
              </w:rPr>
              <w:t xml:space="preserve"> a la madre de</w:t>
            </w:r>
            <w:r w:rsidR="00E06215">
              <w:rPr>
                <w:rFonts w:ascii="Century Gothic" w:hAnsi="Century Gothic"/>
                <w:sz w:val="22"/>
                <w:szCs w:val="22"/>
              </w:rPr>
              <w:t xml:space="preserve"> </w:t>
            </w:r>
            <w:r w:rsidR="009141C9">
              <w:rPr>
                <w:rFonts w:ascii="Century Gothic" w:hAnsi="Century Gothic"/>
                <w:sz w:val="22"/>
                <w:szCs w:val="22"/>
              </w:rPr>
              <w:t xml:space="preserve">la menor se le hicieron controles recurrentes por parte del especialista, así como diversas ecografías que no daban cuenta de ninguna deformidad en la </w:t>
            </w:r>
            <w:r w:rsidR="00E06215">
              <w:rPr>
                <w:rFonts w:ascii="Century Gothic" w:hAnsi="Century Gothic"/>
                <w:sz w:val="22"/>
                <w:szCs w:val="22"/>
              </w:rPr>
              <w:t xml:space="preserve">evolución </w:t>
            </w:r>
            <w:r w:rsidR="009141C9">
              <w:rPr>
                <w:rFonts w:ascii="Century Gothic" w:hAnsi="Century Gothic"/>
                <w:sz w:val="22"/>
                <w:szCs w:val="22"/>
              </w:rPr>
              <w:t>del feto; v) Así mismo,</w:t>
            </w:r>
            <w:r w:rsidR="001A5F9B">
              <w:rPr>
                <w:rFonts w:ascii="Century Gothic" w:hAnsi="Century Gothic"/>
                <w:sz w:val="22"/>
                <w:szCs w:val="22"/>
              </w:rPr>
              <w:t xml:space="preserve"> </w:t>
            </w:r>
            <w:r w:rsidR="009141C9">
              <w:rPr>
                <w:rFonts w:ascii="Century Gothic" w:hAnsi="Century Gothic"/>
                <w:sz w:val="22"/>
                <w:szCs w:val="22"/>
              </w:rPr>
              <w:t xml:space="preserve">se constata la existencia de criterios médicos para efectuar la cesárea tras haber intentado aplicar medicamentos sin éxito para dilatar el canal de parto </w:t>
            </w:r>
            <w:r w:rsidR="004648AA">
              <w:rPr>
                <w:rFonts w:ascii="Century Gothic" w:hAnsi="Century Gothic"/>
                <w:sz w:val="22"/>
                <w:szCs w:val="22"/>
              </w:rPr>
              <w:t xml:space="preserve">; vi) Las actuaciones posteriores al nacimiento de la menor fueron desplegadas con diligencia, remitiéndola a UCI Neonatal y practicando fisioterapias respiratorias con el especialista; </w:t>
            </w:r>
            <w:proofErr w:type="spellStart"/>
            <w:r w:rsidR="004648AA">
              <w:rPr>
                <w:rFonts w:ascii="Century Gothic" w:hAnsi="Century Gothic"/>
                <w:sz w:val="22"/>
                <w:szCs w:val="22"/>
              </w:rPr>
              <w:t>vii</w:t>
            </w:r>
            <w:proofErr w:type="spellEnd"/>
            <w:r w:rsidR="004648AA">
              <w:rPr>
                <w:rFonts w:ascii="Century Gothic" w:hAnsi="Century Gothic"/>
                <w:sz w:val="22"/>
                <w:szCs w:val="22"/>
              </w:rPr>
              <w:t xml:space="preserve">) Por lo anterior, solo al momento de practicar las pruebas solicitadas podrá determinarse si el Hospital San Juan de Dios mediante su personal actuó con </w:t>
            </w:r>
            <w:r w:rsidR="004648AA">
              <w:rPr>
                <w:rFonts w:ascii="Century Gothic" w:hAnsi="Century Gothic"/>
                <w:sz w:val="22"/>
                <w:szCs w:val="22"/>
              </w:rPr>
              <w:lastRenderedPageBreak/>
              <w:t xml:space="preserve">apego a la lex </w:t>
            </w:r>
            <w:proofErr w:type="spellStart"/>
            <w:r w:rsidR="004648AA">
              <w:rPr>
                <w:rFonts w:ascii="Century Gothic" w:hAnsi="Century Gothic"/>
                <w:sz w:val="22"/>
                <w:szCs w:val="22"/>
              </w:rPr>
              <w:t>artis</w:t>
            </w:r>
            <w:proofErr w:type="spellEnd"/>
            <w:r w:rsidR="004648AA">
              <w:rPr>
                <w:rFonts w:ascii="Century Gothic" w:hAnsi="Century Gothic"/>
                <w:sz w:val="22"/>
                <w:szCs w:val="22"/>
              </w:rPr>
              <w:t xml:space="preserve"> y de forma prudente, oportuna y con la pericia requerida, o si existió alguna falla en la atención médica debido a la cual se desencadenaron los efectos negativos en la salud de la menor Brianna Nicoll; </w:t>
            </w:r>
            <w:proofErr w:type="spellStart"/>
            <w:r w:rsidR="004648AA">
              <w:rPr>
                <w:rFonts w:ascii="Century Gothic" w:hAnsi="Century Gothic"/>
                <w:sz w:val="22"/>
                <w:szCs w:val="22"/>
              </w:rPr>
              <w:t>viii</w:t>
            </w:r>
            <w:proofErr w:type="spellEnd"/>
            <w:r w:rsidR="004648AA">
              <w:rPr>
                <w:rFonts w:ascii="Century Gothic" w:hAnsi="Century Gothic"/>
                <w:sz w:val="22"/>
                <w:szCs w:val="22"/>
              </w:rPr>
              <w:t xml:space="preserve">) Solo en la práctica probatoria se podrá determinar si los antecedentes de la señora </w:t>
            </w:r>
            <w:proofErr w:type="spellStart"/>
            <w:r w:rsidR="004648AA">
              <w:rPr>
                <w:rFonts w:ascii="Century Gothic" w:hAnsi="Century Gothic"/>
                <w:sz w:val="22"/>
                <w:szCs w:val="22"/>
              </w:rPr>
              <w:t>Milexis</w:t>
            </w:r>
            <w:proofErr w:type="spellEnd"/>
            <w:r w:rsidR="004648AA">
              <w:rPr>
                <w:rFonts w:ascii="Century Gothic" w:hAnsi="Century Gothic"/>
                <w:sz w:val="22"/>
                <w:szCs w:val="22"/>
              </w:rPr>
              <w:t xml:space="preserve"> Andreina Díaz tuvieron incidencia en los efectos en la salud de la menor Brianna Nicoll; </w:t>
            </w:r>
            <w:proofErr w:type="spellStart"/>
            <w:r w:rsidR="004648AA">
              <w:rPr>
                <w:rFonts w:ascii="Century Gothic" w:hAnsi="Century Gothic"/>
                <w:sz w:val="22"/>
                <w:szCs w:val="22"/>
              </w:rPr>
              <w:t>ix</w:t>
            </w:r>
            <w:proofErr w:type="spellEnd"/>
            <w:r w:rsidR="004648AA">
              <w:rPr>
                <w:rFonts w:ascii="Century Gothic" w:hAnsi="Century Gothic"/>
                <w:sz w:val="22"/>
                <w:szCs w:val="22"/>
              </w:rPr>
              <w:t xml:space="preserve">) Finalmente, se señala que en el presente caso no se encuentra configurada la prescripción pues, si bien la demanda se presentó el día 22 de noviembre de 2024, es decir 5 años y 2 meses después de la ocurrencia de los hechos, debe considerarse que con motivo de la pandemia del </w:t>
            </w:r>
            <w:proofErr w:type="spellStart"/>
            <w:r w:rsidR="004648AA">
              <w:rPr>
                <w:rFonts w:ascii="Century Gothic" w:hAnsi="Century Gothic"/>
                <w:sz w:val="22"/>
                <w:szCs w:val="22"/>
              </w:rPr>
              <w:t>Covid</w:t>
            </w:r>
            <w:proofErr w:type="spellEnd"/>
            <w:r w:rsidR="004648AA">
              <w:rPr>
                <w:rFonts w:ascii="Century Gothic" w:hAnsi="Century Gothic"/>
                <w:sz w:val="22"/>
                <w:szCs w:val="22"/>
              </w:rPr>
              <w:t xml:space="preserve"> 19, se suspendieron todos los términos desde el 13 de marzo de 2020 al 30 de junio del 2020, por lo que estos se retomaron desde el 1 de julio de dicho año dando una ventana de tiempo adicional a la parte accionante para presentar la demanda.</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8726" w14:textId="77777777" w:rsidR="0042239E" w:rsidRDefault="0042239E" w:rsidP="00E7033F">
      <w:r>
        <w:separator/>
      </w:r>
    </w:p>
  </w:endnote>
  <w:endnote w:type="continuationSeparator" w:id="0">
    <w:p w14:paraId="7A5B3628" w14:textId="77777777" w:rsidR="0042239E" w:rsidRDefault="0042239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A216" w14:textId="77777777" w:rsidR="0042239E" w:rsidRDefault="0042239E" w:rsidP="00E7033F">
      <w:r>
        <w:separator/>
      </w:r>
    </w:p>
  </w:footnote>
  <w:footnote w:type="continuationSeparator" w:id="0">
    <w:p w14:paraId="708AEEF0" w14:textId="77777777" w:rsidR="0042239E" w:rsidRDefault="0042239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CD4"/>
    <w:multiLevelType w:val="hybridMultilevel"/>
    <w:tmpl w:val="C952D226"/>
    <w:lvl w:ilvl="0" w:tplc="76DEC1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57A7478"/>
    <w:multiLevelType w:val="hybridMultilevel"/>
    <w:tmpl w:val="62DAB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9841261">
    <w:abstractNumId w:val="0"/>
  </w:num>
  <w:num w:numId="2" w16cid:durableId="155539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54FA"/>
    <w:rsid w:val="00015115"/>
    <w:rsid w:val="00040B50"/>
    <w:rsid w:val="000554F9"/>
    <w:rsid w:val="00060489"/>
    <w:rsid w:val="00072BFC"/>
    <w:rsid w:val="00093261"/>
    <w:rsid w:val="00097CDC"/>
    <w:rsid w:val="000D23FC"/>
    <w:rsid w:val="001129B6"/>
    <w:rsid w:val="00134FA7"/>
    <w:rsid w:val="00181E11"/>
    <w:rsid w:val="001A5F9B"/>
    <w:rsid w:val="001C44B4"/>
    <w:rsid w:val="001E096B"/>
    <w:rsid w:val="001E1616"/>
    <w:rsid w:val="001E5C79"/>
    <w:rsid w:val="00207A51"/>
    <w:rsid w:val="00227C53"/>
    <w:rsid w:val="00263011"/>
    <w:rsid w:val="002633C0"/>
    <w:rsid w:val="00270F09"/>
    <w:rsid w:val="00290E97"/>
    <w:rsid w:val="002A0E98"/>
    <w:rsid w:val="002B143A"/>
    <w:rsid w:val="002B588F"/>
    <w:rsid w:val="002D1066"/>
    <w:rsid w:val="00306D58"/>
    <w:rsid w:val="00311097"/>
    <w:rsid w:val="00314CAF"/>
    <w:rsid w:val="00324E27"/>
    <w:rsid w:val="003314A2"/>
    <w:rsid w:val="003432A7"/>
    <w:rsid w:val="003827E1"/>
    <w:rsid w:val="003B44CB"/>
    <w:rsid w:val="003B7F1A"/>
    <w:rsid w:val="00403BFC"/>
    <w:rsid w:val="00416AD2"/>
    <w:rsid w:val="0042239E"/>
    <w:rsid w:val="00431582"/>
    <w:rsid w:val="00432CDA"/>
    <w:rsid w:val="00437455"/>
    <w:rsid w:val="004470C4"/>
    <w:rsid w:val="004648AA"/>
    <w:rsid w:val="00493936"/>
    <w:rsid w:val="004B437E"/>
    <w:rsid w:val="004B5643"/>
    <w:rsid w:val="004B6FCA"/>
    <w:rsid w:val="004C7D4E"/>
    <w:rsid w:val="004D2ACD"/>
    <w:rsid w:val="00504FFB"/>
    <w:rsid w:val="00506750"/>
    <w:rsid w:val="005114F8"/>
    <w:rsid w:val="0056443A"/>
    <w:rsid w:val="005731DA"/>
    <w:rsid w:val="005C17E5"/>
    <w:rsid w:val="005F61D3"/>
    <w:rsid w:val="006056E7"/>
    <w:rsid w:val="006329C1"/>
    <w:rsid w:val="00653C6F"/>
    <w:rsid w:val="0067059A"/>
    <w:rsid w:val="00686D8A"/>
    <w:rsid w:val="00694306"/>
    <w:rsid w:val="006A1563"/>
    <w:rsid w:val="006C27C3"/>
    <w:rsid w:val="006C32CE"/>
    <w:rsid w:val="006E712D"/>
    <w:rsid w:val="006F0CAA"/>
    <w:rsid w:val="00761B63"/>
    <w:rsid w:val="007A0F12"/>
    <w:rsid w:val="007C37D7"/>
    <w:rsid w:val="00826F50"/>
    <w:rsid w:val="008631DE"/>
    <w:rsid w:val="008B3B10"/>
    <w:rsid w:val="008B59F4"/>
    <w:rsid w:val="008B61E5"/>
    <w:rsid w:val="008B685D"/>
    <w:rsid w:val="008D6894"/>
    <w:rsid w:val="008E249B"/>
    <w:rsid w:val="008F6B57"/>
    <w:rsid w:val="009141C9"/>
    <w:rsid w:val="0095378E"/>
    <w:rsid w:val="00963314"/>
    <w:rsid w:val="009820E4"/>
    <w:rsid w:val="00987619"/>
    <w:rsid w:val="00992368"/>
    <w:rsid w:val="00996B7A"/>
    <w:rsid w:val="009A06ED"/>
    <w:rsid w:val="009C4AD0"/>
    <w:rsid w:val="00A55DF5"/>
    <w:rsid w:val="00A80CA0"/>
    <w:rsid w:val="00A90755"/>
    <w:rsid w:val="00A924E6"/>
    <w:rsid w:val="00B04145"/>
    <w:rsid w:val="00B2787D"/>
    <w:rsid w:val="00B41557"/>
    <w:rsid w:val="00B62720"/>
    <w:rsid w:val="00B90E05"/>
    <w:rsid w:val="00B97871"/>
    <w:rsid w:val="00BA0472"/>
    <w:rsid w:val="00BA1E5F"/>
    <w:rsid w:val="00BC3398"/>
    <w:rsid w:val="00BD1D2F"/>
    <w:rsid w:val="00C936CC"/>
    <w:rsid w:val="00D33414"/>
    <w:rsid w:val="00D35F0D"/>
    <w:rsid w:val="00D444E3"/>
    <w:rsid w:val="00D566B0"/>
    <w:rsid w:val="00DA685B"/>
    <w:rsid w:val="00DA7CEB"/>
    <w:rsid w:val="00DC1B33"/>
    <w:rsid w:val="00DD6A64"/>
    <w:rsid w:val="00DE5BEB"/>
    <w:rsid w:val="00E06215"/>
    <w:rsid w:val="00E31B82"/>
    <w:rsid w:val="00E7033F"/>
    <w:rsid w:val="00E802BC"/>
    <w:rsid w:val="00EA26D8"/>
    <w:rsid w:val="00EA7A3A"/>
    <w:rsid w:val="00EB5FFB"/>
    <w:rsid w:val="00ED0D38"/>
    <w:rsid w:val="00ED6E9A"/>
    <w:rsid w:val="00EE687D"/>
    <w:rsid w:val="00F62D63"/>
    <w:rsid w:val="00F67EF8"/>
    <w:rsid w:val="00F829ED"/>
    <w:rsid w:val="00F856C2"/>
    <w:rsid w:val="00F90650"/>
    <w:rsid w:val="00F9219A"/>
    <w:rsid w:val="00FA01CC"/>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1DE"/>
    <w:pPr>
      <w:spacing w:before="100" w:beforeAutospacing="1" w:after="100" w:afterAutospacing="1"/>
    </w:pPr>
    <w:rPr>
      <w:rFonts w:ascii="Times New Roman" w:eastAsia="Times New Roman" w:hAnsi="Times New Roman" w:cs="Times New Roman"/>
      <w:lang w:val="es-CO" w:eastAsia="es-CO"/>
    </w:rPr>
  </w:style>
  <w:style w:type="paragraph" w:styleId="Prrafodelista">
    <w:name w:val="List Paragraph"/>
    <w:basedOn w:val="Normal"/>
    <w:uiPriority w:val="34"/>
    <w:qFormat/>
    <w:rsid w:val="00BD1D2F"/>
    <w:pPr>
      <w:ind w:left="720"/>
      <w:contextualSpacing/>
    </w:pPr>
  </w:style>
  <w:style w:type="character" w:styleId="Refdecomentario">
    <w:name w:val="annotation reference"/>
    <w:basedOn w:val="Fuentedeprrafopredeter"/>
    <w:uiPriority w:val="99"/>
    <w:semiHidden/>
    <w:unhideWhenUsed/>
    <w:rsid w:val="00A924E6"/>
    <w:rPr>
      <w:sz w:val="16"/>
      <w:szCs w:val="16"/>
    </w:rPr>
  </w:style>
  <w:style w:type="paragraph" w:styleId="Textocomentario">
    <w:name w:val="annotation text"/>
    <w:basedOn w:val="Normal"/>
    <w:link w:val="TextocomentarioCar"/>
    <w:uiPriority w:val="99"/>
    <w:unhideWhenUsed/>
    <w:rsid w:val="00A924E6"/>
    <w:rPr>
      <w:sz w:val="20"/>
      <w:szCs w:val="20"/>
    </w:rPr>
  </w:style>
  <w:style w:type="character" w:customStyle="1" w:styleId="TextocomentarioCar">
    <w:name w:val="Texto comentario Car"/>
    <w:basedOn w:val="Fuentedeprrafopredeter"/>
    <w:link w:val="Textocomentario"/>
    <w:uiPriority w:val="99"/>
    <w:rsid w:val="00A924E6"/>
    <w:rPr>
      <w:sz w:val="20"/>
      <w:szCs w:val="20"/>
    </w:rPr>
  </w:style>
  <w:style w:type="paragraph" w:styleId="Asuntodelcomentario">
    <w:name w:val="annotation subject"/>
    <w:basedOn w:val="Textocomentario"/>
    <w:next w:val="Textocomentario"/>
    <w:link w:val="AsuntodelcomentarioCar"/>
    <w:uiPriority w:val="99"/>
    <w:semiHidden/>
    <w:unhideWhenUsed/>
    <w:rsid w:val="00A924E6"/>
    <w:rPr>
      <w:b/>
      <w:bCs/>
    </w:rPr>
  </w:style>
  <w:style w:type="character" w:customStyle="1" w:styleId="AsuntodelcomentarioCar">
    <w:name w:val="Asunto del comentario Car"/>
    <w:basedOn w:val="TextocomentarioCar"/>
    <w:link w:val="Asuntodelcomentario"/>
    <w:uiPriority w:val="99"/>
    <w:semiHidden/>
    <w:rsid w:val="00A924E6"/>
    <w:rPr>
      <w:b/>
      <w:bCs/>
      <w:sz w:val="20"/>
      <w:szCs w:val="20"/>
    </w:rPr>
  </w:style>
  <w:style w:type="paragraph" w:styleId="Revisin">
    <w:name w:val="Revision"/>
    <w:hidden/>
    <w:uiPriority w:val="99"/>
    <w:semiHidden/>
    <w:rsid w:val="00A9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13576">
      <w:bodyDiv w:val="1"/>
      <w:marLeft w:val="0"/>
      <w:marRight w:val="0"/>
      <w:marTop w:val="0"/>
      <w:marBottom w:val="0"/>
      <w:divBdr>
        <w:top w:val="none" w:sz="0" w:space="0" w:color="auto"/>
        <w:left w:val="none" w:sz="0" w:space="0" w:color="auto"/>
        <w:bottom w:val="none" w:sz="0" w:space="0" w:color="auto"/>
        <w:right w:val="none" w:sz="0" w:space="0" w:color="auto"/>
      </w:divBdr>
    </w:div>
    <w:div w:id="605650760">
      <w:bodyDiv w:val="1"/>
      <w:marLeft w:val="0"/>
      <w:marRight w:val="0"/>
      <w:marTop w:val="0"/>
      <w:marBottom w:val="0"/>
      <w:divBdr>
        <w:top w:val="none" w:sz="0" w:space="0" w:color="auto"/>
        <w:left w:val="none" w:sz="0" w:space="0" w:color="auto"/>
        <w:bottom w:val="none" w:sz="0" w:space="0" w:color="auto"/>
        <w:right w:val="none" w:sz="0" w:space="0" w:color="auto"/>
      </w:divBdr>
    </w:div>
    <w:div w:id="630983418">
      <w:bodyDiv w:val="1"/>
      <w:marLeft w:val="0"/>
      <w:marRight w:val="0"/>
      <w:marTop w:val="0"/>
      <w:marBottom w:val="0"/>
      <w:divBdr>
        <w:top w:val="none" w:sz="0" w:space="0" w:color="auto"/>
        <w:left w:val="none" w:sz="0" w:space="0" w:color="auto"/>
        <w:bottom w:val="none" w:sz="0" w:space="0" w:color="auto"/>
        <w:right w:val="none" w:sz="0" w:space="0" w:color="auto"/>
      </w:divBdr>
    </w:div>
    <w:div w:id="676351115">
      <w:bodyDiv w:val="1"/>
      <w:marLeft w:val="0"/>
      <w:marRight w:val="0"/>
      <w:marTop w:val="0"/>
      <w:marBottom w:val="0"/>
      <w:divBdr>
        <w:top w:val="none" w:sz="0" w:space="0" w:color="auto"/>
        <w:left w:val="none" w:sz="0" w:space="0" w:color="auto"/>
        <w:bottom w:val="none" w:sz="0" w:space="0" w:color="auto"/>
        <w:right w:val="none" w:sz="0" w:space="0" w:color="auto"/>
      </w:divBdr>
    </w:div>
    <w:div w:id="736561178">
      <w:bodyDiv w:val="1"/>
      <w:marLeft w:val="0"/>
      <w:marRight w:val="0"/>
      <w:marTop w:val="0"/>
      <w:marBottom w:val="0"/>
      <w:divBdr>
        <w:top w:val="none" w:sz="0" w:space="0" w:color="auto"/>
        <w:left w:val="none" w:sz="0" w:space="0" w:color="auto"/>
        <w:bottom w:val="none" w:sz="0" w:space="0" w:color="auto"/>
        <w:right w:val="none" w:sz="0" w:space="0" w:color="auto"/>
      </w:divBdr>
    </w:div>
    <w:div w:id="981691556">
      <w:bodyDiv w:val="1"/>
      <w:marLeft w:val="0"/>
      <w:marRight w:val="0"/>
      <w:marTop w:val="0"/>
      <w:marBottom w:val="0"/>
      <w:divBdr>
        <w:top w:val="none" w:sz="0" w:space="0" w:color="auto"/>
        <w:left w:val="none" w:sz="0" w:space="0" w:color="auto"/>
        <w:bottom w:val="none" w:sz="0" w:space="0" w:color="auto"/>
        <w:right w:val="none" w:sz="0" w:space="0" w:color="auto"/>
      </w:divBdr>
    </w:div>
    <w:div w:id="1031027563">
      <w:bodyDiv w:val="1"/>
      <w:marLeft w:val="0"/>
      <w:marRight w:val="0"/>
      <w:marTop w:val="0"/>
      <w:marBottom w:val="0"/>
      <w:divBdr>
        <w:top w:val="none" w:sz="0" w:space="0" w:color="auto"/>
        <w:left w:val="none" w:sz="0" w:space="0" w:color="auto"/>
        <w:bottom w:val="none" w:sz="0" w:space="0" w:color="auto"/>
        <w:right w:val="none" w:sz="0" w:space="0" w:color="auto"/>
      </w:divBdr>
    </w:div>
    <w:div w:id="1080978447">
      <w:bodyDiv w:val="1"/>
      <w:marLeft w:val="0"/>
      <w:marRight w:val="0"/>
      <w:marTop w:val="0"/>
      <w:marBottom w:val="0"/>
      <w:divBdr>
        <w:top w:val="none" w:sz="0" w:space="0" w:color="auto"/>
        <w:left w:val="none" w:sz="0" w:space="0" w:color="auto"/>
        <w:bottom w:val="none" w:sz="0" w:space="0" w:color="auto"/>
        <w:right w:val="none" w:sz="0" w:space="0" w:color="auto"/>
      </w:divBdr>
    </w:div>
    <w:div w:id="1110667117">
      <w:bodyDiv w:val="1"/>
      <w:marLeft w:val="0"/>
      <w:marRight w:val="0"/>
      <w:marTop w:val="0"/>
      <w:marBottom w:val="0"/>
      <w:divBdr>
        <w:top w:val="none" w:sz="0" w:space="0" w:color="auto"/>
        <w:left w:val="none" w:sz="0" w:space="0" w:color="auto"/>
        <w:bottom w:val="none" w:sz="0" w:space="0" w:color="auto"/>
        <w:right w:val="none" w:sz="0" w:space="0" w:color="auto"/>
      </w:divBdr>
    </w:div>
    <w:div w:id="1185553658">
      <w:bodyDiv w:val="1"/>
      <w:marLeft w:val="0"/>
      <w:marRight w:val="0"/>
      <w:marTop w:val="0"/>
      <w:marBottom w:val="0"/>
      <w:divBdr>
        <w:top w:val="none" w:sz="0" w:space="0" w:color="auto"/>
        <w:left w:val="none" w:sz="0" w:space="0" w:color="auto"/>
        <w:bottom w:val="none" w:sz="0" w:space="0" w:color="auto"/>
        <w:right w:val="none" w:sz="0" w:space="0" w:color="auto"/>
      </w:divBdr>
    </w:div>
    <w:div w:id="1425345021">
      <w:bodyDiv w:val="1"/>
      <w:marLeft w:val="0"/>
      <w:marRight w:val="0"/>
      <w:marTop w:val="0"/>
      <w:marBottom w:val="0"/>
      <w:divBdr>
        <w:top w:val="none" w:sz="0" w:space="0" w:color="auto"/>
        <w:left w:val="none" w:sz="0" w:space="0" w:color="auto"/>
        <w:bottom w:val="none" w:sz="0" w:space="0" w:color="auto"/>
        <w:right w:val="none" w:sz="0" w:space="0" w:color="auto"/>
      </w:divBdr>
    </w:div>
    <w:div w:id="1441795424">
      <w:bodyDiv w:val="1"/>
      <w:marLeft w:val="0"/>
      <w:marRight w:val="0"/>
      <w:marTop w:val="0"/>
      <w:marBottom w:val="0"/>
      <w:divBdr>
        <w:top w:val="none" w:sz="0" w:space="0" w:color="auto"/>
        <w:left w:val="none" w:sz="0" w:space="0" w:color="auto"/>
        <w:bottom w:val="none" w:sz="0" w:space="0" w:color="auto"/>
        <w:right w:val="none" w:sz="0" w:space="0" w:color="auto"/>
      </w:divBdr>
    </w:div>
    <w:div w:id="1535653848">
      <w:bodyDiv w:val="1"/>
      <w:marLeft w:val="0"/>
      <w:marRight w:val="0"/>
      <w:marTop w:val="0"/>
      <w:marBottom w:val="0"/>
      <w:divBdr>
        <w:top w:val="none" w:sz="0" w:space="0" w:color="auto"/>
        <w:left w:val="none" w:sz="0" w:space="0" w:color="auto"/>
        <w:bottom w:val="none" w:sz="0" w:space="0" w:color="auto"/>
        <w:right w:val="none" w:sz="0" w:space="0" w:color="auto"/>
      </w:divBdr>
    </w:div>
    <w:div w:id="1539974373">
      <w:bodyDiv w:val="1"/>
      <w:marLeft w:val="0"/>
      <w:marRight w:val="0"/>
      <w:marTop w:val="0"/>
      <w:marBottom w:val="0"/>
      <w:divBdr>
        <w:top w:val="none" w:sz="0" w:space="0" w:color="auto"/>
        <w:left w:val="none" w:sz="0" w:space="0" w:color="auto"/>
        <w:bottom w:val="none" w:sz="0" w:space="0" w:color="auto"/>
        <w:right w:val="none" w:sz="0" w:space="0" w:color="auto"/>
      </w:divBdr>
    </w:div>
    <w:div w:id="1603952410">
      <w:bodyDiv w:val="1"/>
      <w:marLeft w:val="0"/>
      <w:marRight w:val="0"/>
      <w:marTop w:val="0"/>
      <w:marBottom w:val="0"/>
      <w:divBdr>
        <w:top w:val="none" w:sz="0" w:space="0" w:color="auto"/>
        <w:left w:val="none" w:sz="0" w:space="0" w:color="auto"/>
        <w:bottom w:val="none" w:sz="0" w:space="0" w:color="auto"/>
        <w:right w:val="none" w:sz="0" w:space="0" w:color="auto"/>
      </w:divBdr>
    </w:div>
    <w:div w:id="1678729480">
      <w:bodyDiv w:val="1"/>
      <w:marLeft w:val="0"/>
      <w:marRight w:val="0"/>
      <w:marTop w:val="0"/>
      <w:marBottom w:val="0"/>
      <w:divBdr>
        <w:top w:val="none" w:sz="0" w:space="0" w:color="auto"/>
        <w:left w:val="none" w:sz="0" w:space="0" w:color="auto"/>
        <w:bottom w:val="none" w:sz="0" w:space="0" w:color="auto"/>
        <w:right w:val="none" w:sz="0" w:space="0" w:color="auto"/>
      </w:divBdr>
    </w:div>
    <w:div w:id="1766925215">
      <w:bodyDiv w:val="1"/>
      <w:marLeft w:val="0"/>
      <w:marRight w:val="0"/>
      <w:marTop w:val="0"/>
      <w:marBottom w:val="0"/>
      <w:divBdr>
        <w:top w:val="none" w:sz="0" w:space="0" w:color="auto"/>
        <w:left w:val="none" w:sz="0" w:space="0" w:color="auto"/>
        <w:bottom w:val="none" w:sz="0" w:space="0" w:color="auto"/>
        <w:right w:val="none" w:sz="0" w:space="0" w:color="auto"/>
      </w:divBdr>
    </w:div>
    <w:div w:id="1826241166">
      <w:bodyDiv w:val="1"/>
      <w:marLeft w:val="0"/>
      <w:marRight w:val="0"/>
      <w:marTop w:val="0"/>
      <w:marBottom w:val="0"/>
      <w:divBdr>
        <w:top w:val="none" w:sz="0" w:space="0" w:color="auto"/>
        <w:left w:val="none" w:sz="0" w:space="0" w:color="auto"/>
        <w:bottom w:val="none" w:sz="0" w:space="0" w:color="auto"/>
        <w:right w:val="none" w:sz="0" w:space="0" w:color="auto"/>
      </w:divBdr>
    </w:div>
    <w:div w:id="1958633483">
      <w:bodyDiv w:val="1"/>
      <w:marLeft w:val="0"/>
      <w:marRight w:val="0"/>
      <w:marTop w:val="0"/>
      <w:marBottom w:val="0"/>
      <w:divBdr>
        <w:top w:val="none" w:sz="0" w:space="0" w:color="auto"/>
        <w:left w:val="none" w:sz="0" w:space="0" w:color="auto"/>
        <w:bottom w:val="none" w:sz="0" w:space="0" w:color="auto"/>
        <w:right w:val="none" w:sz="0" w:space="0" w:color="auto"/>
      </w:divBdr>
    </w:div>
    <w:div w:id="2040348830">
      <w:bodyDiv w:val="1"/>
      <w:marLeft w:val="0"/>
      <w:marRight w:val="0"/>
      <w:marTop w:val="0"/>
      <w:marBottom w:val="0"/>
      <w:divBdr>
        <w:top w:val="none" w:sz="0" w:space="0" w:color="auto"/>
        <w:left w:val="none" w:sz="0" w:space="0" w:color="auto"/>
        <w:bottom w:val="none" w:sz="0" w:space="0" w:color="auto"/>
        <w:right w:val="none" w:sz="0" w:space="0" w:color="auto"/>
      </w:divBdr>
    </w:div>
    <w:div w:id="2071297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Pages>
  <Words>2482</Words>
  <Characters>13654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Daniel Lozano Villota</cp:lastModifiedBy>
  <cp:revision>47</cp:revision>
  <cp:lastPrinted>2025-01-20T16:39:00Z</cp:lastPrinted>
  <dcterms:created xsi:type="dcterms:W3CDTF">2025-01-20T16:39:00Z</dcterms:created>
  <dcterms:modified xsi:type="dcterms:W3CDTF">2025-04-02T00:22:00Z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