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BEC7" w14:textId="77777777" w:rsidR="00BB3A3E" w:rsidRPr="00846A52" w:rsidRDefault="00BB3A3E" w:rsidP="00846A52">
      <w:pPr>
        <w:spacing w:after="0" w:line="312" w:lineRule="auto"/>
        <w:ind w:left="0" w:right="-7"/>
        <w:rPr>
          <w:color w:val="auto"/>
        </w:rPr>
      </w:pPr>
    </w:p>
    <w:p w14:paraId="3ABDA7FD" w14:textId="7E8795AB" w:rsidR="008F3DB2" w:rsidRPr="00846A52" w:rsidRDefault="008F3DB2" w:rsidP="00846A52">
      <w:pPr>
        <w:spacing w:after="0" w:line="312" w:lineRule="auto"/>
        <w:ind w:left="0" w:right="-7"/>
        <w:rPr>
          <w:color w:val="auto"/>
        </w:rPr>
      </w:pPr>
      <w:r w:rsidRPr="00846A52">
        <w:rPr>
          <w:color w:val="auto"/>
        </w:rPr>
        <w:t xml:space="preserve">Señores </w:t>
      </w:r>
    </w:p>
    <w:p w14:paraId="18E26E14" w14:textId="17D80F4B" w:rsidR="008F3DB2" w:rsidRPr="00846A52" w:rsidRDefault="008F3DB2" w:rsidP="00846A52">
      <w:pPr>
        <w:spacing w:after="0" w:line="312" w:lineRule="auto"/>
        <w:ind w:left="0" w:right="-7"/>
        <w:rPr>
          <w:color w:val="auto"/>
        </w:rPr>
      </w:pPr>
      <w:r w:rsidRPr="00846A52">
        <w:rPr>
          <w:b/>
          <w:color w:val="auto"/>
        </w:rPr>
        <w:t>CONTRALORÍA GENERAL DE</w:t>
      </w:r>
      <w:r w:rsidR="006C1F7C" w:rsidRPr="00846A52">
        <w:rPr>
          <w:b/>
          <w:color w:val="auto"/>
        </w:rPr>
        <w:t xml:space="preserve"> SANTIAGO DE CALI</w:t>
      </w:r>
    </w:p>
    <w:p w14:paraId="63B09386" w14:textId="2C7C0B14" w:rsidR="008F3DB2" w:rsidRPr="00846A52" w:rsidRDefault="009E2E0B" w:rsidP="00846A52">
      <w:pPr>
        <w:spacing w:after="0" w:line="312" w:lineRule="auto"/>
        <w:ind w:left="0" w:right="-7"/>
        <w:rPr>
          <w:b/>
          <w:color w:val="auto"/>
        </w:rPr>
      </w:pPr>
      <w:r w:rsidRPr="00846A52">
        <w:rPr>
          <w:b/>
          <w:color w:val="auto"/>
        </w:rPr>
        <w:t xml:space="preserve">Dirección </w:t>
      </w:r>
      <w:r w:rsidR="006C1F7C" w:rsidRPr="00846A52">
        <w:rPr>
          <w:b/>
          <w:color w:val="auto"/>
        </w:rPr>
        <w:t>Operativa de Responsabilidad Fiscal</w:t>
      </w:r>
    </w:p>
    <w:p w14:paraId="01C24FFD" w14:textId="69E0E78B" w:rsidR="002635A3" w:rsidRPr="00846A52" w:rsidRDefault="002635A3" w:rsidP="00846A52">
      <w:pPr>
        <w:spacing w:after="0" w:line="312" w:lineRule="auto"/>
        <w:ind w:left="0" w:right="-7"/>
        <w:rPr>
          <w:bCs/>
          <w:color w:val="auto"/>
        </w:rPr>
      </w:pPr>
      <w:proofErr w:type="spellStart"/>
      <w:r w:rsidRPr="00846A52">
        <w:rPr>
          <w:b/>
          <w:color w:val="auto"/>
        </w:rPr>
        <w:t>Ant</w:t>
      </w:r>
      <w:proofErr w:type="spellEnd"/>
      <w:r w:rsidRPr="00846A52">
        <w:rPr>
          <w:b/>
          <w:color w:val="auto"/>
        </w:rPr>
        <w:t xml:space="preserve">. </w:t>
      </w:r>
      <w:r w:rsidRPr="00846A52">
        <w:rPr>
          <w:bCs/>
          <w:color w:val="auto"/>
        </w:rPr>
        <w:t xml:space="preserve">María Fernanda López Libreros </w:t>
      </w:r>
    </w:p>
    <w:p w14:paraId="2FF8F67B" w14:textId="77777777" w:rsidR="004C3914" w:rsidRPr="00846A52" w:rsidRDefault="004C3914" w:rsidP="00846A52">
      <w:pPr>
        <w:spacing w:after="0" w:line="312" w:lineRule="auto"/>
        <w:ind w:left="0" w:right="-7" w:firstLine="0"/>
        <w:rPr>
          <w:color w:val="auto"/>
        </w:rPr>
      </w:pPr>
      <w:hyperlink r:id="rId8" w:history="1">
        <w:r w:rsidRPr="00846A52">
          <w:rPr>
            <w:rStyle w:val="Hipervnculo"/>
          </w:rPr>
          <w:t>secretariacomun@contraloriacali.gov.co</w:t>
        </w:r>
      </w:hyperlink>
    </w:p>
    <w:p w14:paraId="4B3D51F9" w14:textId="2B5452DF" w:rsidR="00FD5E50" w:rsidRPr="00846A52" w:rsidRDefault="00CE5329" w:rsidP="00846A52">
      <w:pPr>
        <w:spacing w:after="0" w:line="312" w:lineRule="auto"/>
        <w:ind w:left="0" w:right="-7" w:firstLine="0"/>
      </w:pPr>
      <w:hyperlink r:id="rId9" w:history="1">
        <w:r w:rsidRPr="00846A52">
          <w:rPr>
            <w:rStyle w:val="Hipervnculo"/>
          </w:rPr>
          <w:t>notificacionesjudiciales@contraloriacali.gov.co</w:t>
        </w:r>
      </w:hyperlink>
    </w:p>
    <w:p w14:paraId="20C31F99" w14:textId="43DD5B21" w:rsidR="003C162A" w:rsidRPr="00846A52" w:rsidRDefault="003C162A" w:rsidP="00846A52">
      <w:pPr>
        <w:spacing w:after="0" w:line="312" w:lineRule="auto"/>
        <w:ind w:left="0" w:right="-7" w:firstLine="0"/>
      </w:pPr>
      <w:hyperlink r:id="rId10" w:history="1">
        <w:r w:rsidRPr="00846A52">
          <w:rPr>
            <w:rStyle w:val="Hipervnculo"/>
          </w:rPr>
          <w:t>doresponsafiscal@contraloriacali.gov.co</w:t>
        </w:r>
      </w:hyperlink>
    </w:p>
    <w:p w14:paraId="1A4456DB" w14:textId="26A6687A" w:rsidR="003C162A" w:rsidRPr="00846A52" w:rsidRDefault="003C162A" w:rsidP="00846A52">
      <w:pPr>
        <w:spacing w:after="0" w:line="312" w:lineRule="auto"/>
        <w:ind w:left="0" w:right="-7" w:firstLine="0"/>
      </w:pPr>
      <w:hyperlink r:id="rId11" w:history="1">
        <w:r w:rsidRPr="00846A52">
          <w:rPr>
            <w:rStyle w:val="Hipervnculo"/>
          </w:rPr>
          <w:t>respo_fiscal@contraloriacali.gov.co</w:t>
        </w:r>
      </w:hyperlink>
    </w:p>
    <w:p w14:paraId="0673B283" w14:textId="77777777" w:rsidR="00F7594A" w:rsidRPr="00846A52" w:rsidRDefault="00F7594A" w:rsidP="00846A52">
      <w:pPr>
        <w:spacing w:after="0" w:line="312" w:lineRule="auto"/>
        <w:ind w:left="0" w:right="-7" w:firstLine="0"/>
        <w:rPr>
          <w:color w:val="auto"/>
        </w:rPr>
      </w:pPr>
    </w:p>
    <w:p w14:paraId="3A7E4DE5" w14:textId="77777777" w:rsidR="007005E6" w:rsidRPr="00846A52" w:rsidRDefault="007005E6" w:rsidP="00846A52">
      <w:pPr>
        <w:spacing w:after="0" w:line="312" w:lineRule="auto"/>
        <w:ind w:left="0" w:right="-7" w:firstLine="0"/>
        <w:rPr>
          <w:color w:val="auto"/>
        </w:rPr>
      </w:pPr>
    </w:p>
    <w:p w14:paraId="49F1179B" w14:textId="76FADC25" w:rsidR="008F3DB2" w:rsidRPr="00846A52" w:rsidRDefault="008F3DB2" w:rsidP="00846A52">
      <w:pPr>
        <w:spacing w:after="0" w:line="312" w:lineRule="auto"/>
        <w:ind w:left="0" w:right="-7"/>
        <w:rPr>
          <w:color w:val="auto"/>
        </w:rPr>
      </w:pPr>
      <w:r w:rsidRPr="00846A52">
        <w:rPr>
          <w:b/>
          <w:color w:val="auto"/>
        </w:rPr>
        <w:t xml:space="preserve">REFERENCIA: </w:t>
      </w:r>
      <w:r w:rsidR="00EA1C7B" w:rsidRPr="00846A52">
        <w:rPr>
          <w:b/>
          <w:color w:val="auto"/>
          <w:u w:val="single"/>
        </w:rPr>
        <w:t>PRONUNCIAMIENTO</w:t>
      </w:r>
      <w:r w:rsidR="003121DB" w:rsidRPr="00846A52">
        <w:rPr>
          <w:b/>
          <w:color w:val="auto"/>
          <w:u w:val="single"/>
        </w:rPr>
        <w:t xml:space="preserve"> </w:t>
      </w:r>
      <w:r w:rsidR="00B92BCD" w:rsidRPr="00846A52">
        <w:rPr>
          <w:b/>
          <w:color w:val="auto"/>
          <w:u w:val="single"/>
        </w:rPr>
        <w:t xml:space="preserve">FRENTE AL AUTO DE </w:t>
      </w:r>
      <w:r w:rsidR="003121DB" w:rsidRPr="00846A52">
        <w:rPr>
          <w:b/>
          <w:color w:val="auto"/>
          <w:u w:val="single"/>
        </w:rPr>
        <w:t xml:space="preserve">APERTURA </w:t>
      </w:r>
      <w:r w:rsidR="00B92BCD" w:rsidRPr="00846A52">
        <w:rPr>
          <w:b/>
          <w:color w:val="auto"/>
          <w:u w:val="single"/>
        </w:rPr>
        <w:t>No</w:t>
      </w:r>
      <w:r w:rsidR="00735408" w:rsidRPr="00846A52">
        <w:rPr>
          <w:b/>
          <w:color w:val="auto"/>
          <w:u w:val="single"/>
        </w:rPr>
        <w:t>. 1900.27.06.24.</w:t>
      </w:r>
      <w:r w:rsidR="008B5EAA" w:rsidRPr="00846A52">
        <w:rPr>
          <w:b/>
          <w:color w:val="auto"/>
          <w:u w:val="single"/>
        </w:rPr>
        <w:t xml:space="preserve">205 </w:t>
      </w:r>
      <w:r w:rsidR="00735408" w:rsidRPr="00846A52">
        <w:rPr>
          <w:b/>
          <w:color w:val="auto"/>
          <w:u w:val="single"/>
        </w:rPr>
        <w:t xml:space="preserve">del </w:t>
      </w:r>
      <w:r w:rsidR="008B5EAA" w:rsidRPr="00846A52">
        <w:rPr>
          <w:b/>
          <w:color w:val="auto"/>
          <w:u w:val="single"/>
        </w:rPr>
        <w:t>15 de noviembre de 2024.</w:t>
      </w:r>
    </w:p>
    <w:p w14:paraId="41236ED9" w14:textId="77777777" w:rsidR="008F3DB2" w:rsidRPr="00846A52" w:rsidRDefault="008F3DB2" w:rsidP="00846A52">
      <w:pPr>
        <w:spacing w:after="0" w:line="312" w:lineRule="auto"/>
        <w:ind w:left="0" w:right="-7" w:firstLine="0"/>
        <w:rPr>
          <w:color w:val="auto"/>
        </w:rPr>
      </w:pPr>
      <w:r w:rsidRPr="00846A52">
        <w:rPr>
          <w:rFonts w:eastAsia="Calibri"/>
          <w:color w:val="auto"/>
        </w:rPr>
        <w:t xml:space="preserve"> </w:t>
      </w:r>
    </w:p>
    <w:p w14:paraId="076056FF" w14:textId="3D24B37A" w:rsidR="008F3DB2" w:rsidRPr="00846A52" w:rsidRDefault="008F3DB2" w:rsidP="00846A52">
      <w:pPr>
        <w:tabs>
          <w:tab w:val="center" w:pos="5307"/>
        </w:tabs>
        <w:spacing w:after="0" w:line="312" w:lineRule="auto"/>
        <w:ind w:left="0" w:right="-7" w:firstLine="0"/>
        <w:rPr>
          <w:color w:val="auto"/>
        </w:rPr>
      </w:pPr>
      <w:r w:rsidRPr="00846A52">
        <w:rPr>
          <w:b/>
          <w:color w:val="auto"/>
        </w:rPr>
        <w:t>PROCESO:</w:t>
      </w:r>
      <w:r w:rsidRPr="00846A52">
        <w:rPr>
          <w:color w:val="auto"/>
        </w:rPr>
        <w:t xml:space="preserve">                              PROCESO </w:t>
      </w:r>
      <w:r w:rsidR="00735408" w:rsidRPr="00846A52">
        <w:rPr>
          <w:color w:val="auto"/>
        </w:rPr>
        <w:t>ORDINARIO</w:t>
      </w:r>
      <w:r w:rsidR="00C95C7E" w:rsidRPr="00846A52">
        <w:rPr>
          <w:color w:val="auto"/>
        </w:rPr>
        <w:t xml:space="preserve"> </w:t>
      </w:r>
      <w:r w:rsidRPr="00846A52">
        <w:rPr>
          <w:color w:val="auto"/>
        </w:rPr>
        <w:t xml:space="preserve">DE RESPONSABILIDAD FISCAL </w:t>
      </w:r>
    </w:p>
    <w:p w14:paraId="15F63826" w14:textId="37E46157" w:rsidR="008F3DB2" w:rsidRPr="00846A52" w:rsidRDefault="008F3DB2" w:rsidP="00846A52">
      <w:pPr>
        <w:tabs>
          <w:tab w:val="center" w:pos="4013"/>
        </w:tabs>
        <w:spacing w:after="0" w:line="312" w:lineRule="auto"/>
        <w:ind w:left="0" w:right="-7" w:firstLine="0"/>
        <w:rPr>
          <w:color w:val="auto"/>
        </w:rPr>
      </w:pPr>
      <w:r w:rsidRPr="00846A52">
        <w:rPr>
          <w:b/>
          <w:color w:val="auto"/>
        </w:rPr>
        <w:t>EXPEDIENTE:</w:t>
      </w:r>
      <w:r w:rsidRPr="00846A52">
        <w:rPr>
          <w:color w:val="auto"/>
        </w:rPr>
        <w:t xml:space="preserve">                         </w:t>
      </w:r>
      <w:r w:rsidR="00735408" w:rsidRPr="00846A52">
        <w:rPr>
          <w:b/>
          <w:color w:val="auto"/>
        </w:rPr>
        <w:t>1900.</w:t>
      </w:r>
      <w:r w:rsidR="004A1D0A" w:rsidRPr="00846A52">
        <w:rPr>
          <w:b/>
          <w:color w:val="auto"/>
        </w:rPr>
        <w:t>27.06.24.</w:t>
      </w:r>
      <w:r w:rsidR="008B5EAA" w:rsidRPr="00846A52">
        <w:rPr>
          <w:b/>
          <w:color w:val="auto"/>
        </w:rPr>
        <w:t>1696</w:t>
      </w:r>
    </w:p>
    <w:p w14:paraId="7D36F93E" w14:textId="3917B425" w:rsidR="008F3DB2" w:rsidRPr="00846A52" w:rsidRDefault="008F3DB2" w:rsidP="00846A52">
      <w:pPr>
        <w:spacing w:after="0" w:line="312" w:lineRule="auto"/>
        <w:ind w:left="0" w:right="-7" w:firstLine="0"/>
        <w:rPr>
          <w:color w:val="auto"/>
        </w:rPr>
      </w:pPr>
      <w:r w:rsidRPr="00846A52">
        <w:rPr>
          <w:b/>
          <w:color w:val="auto"/>
        </w:rPr>
        <w:t>ENTIDAD AFECTADA:</w:t>
      </w:r>
      <w:r w:rsidRPr="00846A52">
        <w:rPr>
          <w:color w:val="auto"/>
        </w:rPr>
        <w:t xml:space="preserve">           </w:t>
      </w:r>
      <w:r w:rsidR="005C11FA" w:rsidRPr="00846A52">
        <w:rPr>
          <w:color w:val="auto"/>
        </w:rPr>
        <w:t>SECRETARIA DEL DEPORTE Y LA RECREACIÓN</w:t>
      </w:r>
    </w:p>
    <w:p w14:paraId="4104B78F" w14:textId="47F2DD04" w:rsidR="008F3DB2" w:rsidRPr="00846A52" w:rsidRDefault="008F3DB2" w:rsidP="00846A52">
      <w:pPr>
        <w:tabs>
          <w:tab w:val="right" w:pos="9508"/>
        </w:tabs>
        <w:spacing w:after="0" w:line="312" w:lineRule="auto"/>
        <w:ind w:left="0" w:right="-7" w:firstLine="0"/>
        <w:rPr>
          <w:color w:val="auto"/>
        </w:rPr>
      </w:pPr>
      <w:r w:rsidRPr="00846A52">
        <w:rPr>
          <w:b/>
          <w:color w:val="auto"/>
        </w:rPr>
        <w:t>VINCULADO:</w:t>
      </w:r>
      <w:r w:rsidRPr="00846A52">
        <w:rPr>
          <w:color w:val="auto"/>
        </w:rPr>
        <w:t xml:space="preserve">                          </w:t>
      </w:r>
      <w:r w:rsidR="005C11FA" w:rsidRPr="00846A52">
        <w:rPr>
          <w:color w:val="auto"/>
        </w:rPr>
        <w:t xml:space="preserve">CARLOS ALBERTO DIAGO Y </w:t>
      </w:r>
      <w:r w:rsidRPr="00846A52">
        <w:rPr>
          <w:color w:val="auto"/>
        </w:rPr>
        <w:t>OTROS.</w:t>
      </w:r>
    </w:p>
    <w:p w14:paraId="005530D0" w14:textId="2255328F" w:rsidR="00DB0FCD" w:rsidRPr="00846A52" w:rsidRDefault="008F3DB2" w:rsidP="00846A52">
      <w:pPr>
        <w:spacing w:after="0" w:line="312" w:lineRule="auto"/>
        <w:rPr>
          <w:b/>
          <w:bCs/>
          <w:u w:val="single"/>
        </w:rPr>
      </w:pPr>
      <w:r w:rsidRPr="00846A52">
        <w:rPr>
          <w:b/>
          <w:color w:val="auto"/>
        </w:rPr>
        <w:t>TERCERO VINCULADO</w:t>
      </w:r>
      <w:r w:rsidRPr="00846A52">
        <w:rPr>
          <w:color w:val="auto"/>
        </w:rPr>
        <w:t xml:space="preserve">:        </w:t>
      </w:r>
      <w:r w:rsidR="00B1679F" w:rsidRPr="00846A52">
        <w:rPr>
          <w:b/>
          <w:bCs/>
          <w:u w:val="single"/>
        </w:rPr>
        <w:t>LA PREVISORA S.A. COMPAÑÍA DE SEGUROS</w:t>
      </w:r>
    </w:p>
    <w:p w14:paraId="6D02C27C" w14:textId="5F3E4C90" w:rsidR="008F3DB2" w:rsidRPr="00846A52" w:rsidRDefault="008F3DB2" w:rsidP="00846A52">
      <w:pPr>
        <w:tabs>
          <w:tab w:val="center" w:pos="5514"/>
        </w:tabs>
        <w:spacing w:after="0" w:line="312" w:lineRule="auto"/>
        <w:ind w:left="0" w:right="-7" w:firstLine="0"/>
        <w:rPr>
          <w:color w:val="auto"/>
        </w:rPr>
      </w:pPr>
    </w:p>
    <w:p w14:paraId="6261FD9D" w14:textId="55850209" w:rsidR="0019083A" w:rsidRPr="00846A52" w:rsidRDefault="008F3DB2" w:rsidP="00846A52">
      <w:pPr>
        <w:spacing w:after="0" w:line="312" w:lineRule="auto"/>
        <w:ind w:left="0" w:right="-7" w:firstLine="0"/>
        <w:rPr>
          <w:color w:val="auto"/>
        </w:rPr>
      </w:pPr>
      <w:r w:rsidRPr="00846A52">
        <w:rPr>
          <w:color w:val="auto"/>
        </w:rPr>
        <w:t xml:space="preserve"> </w:t>
      </w:r>
    </w:p>
    <w:p w14:paraId="1FF50546" w14:textId="2C67AFE3" w:rsidR="00B376DF" w:rsidRPr="00846A52" w:rsidRDefault="00DB0FCD" w:rsidP="00846A52">
      <w:pPr>
        <w:spacing w:after="0" w:line="312" w:lineRule="auto"/>
      </w:pPr>
      <w:r w:rsidRPr="00846A52">
        <w:rPr>
          <w:b/>
        </w:rPr>
        <w:t>GUSTAVO ALBERTO HERRERA ÁVILA</w:t>
      </w:r>
      <w:r w:rsidRPr="00846A52">
        <w:rPr>
          <w:bCs/>
        </w:rPr>
        <w:t>,</w:t>
      </w:r>
      <w:r w:rsidRPr="00846A52">
        <w:rPr>
          <w:b/>
        </w:rPr>
        <w:t xml:space="preserve"> </w:t>
      </w:r>
      <w:r w:rsidRPr="00846A52">
        <w:t>identificado con cédula de ciudadanía No. 19.395.114 de Bogotá, abogado titulado y en ejercicio, portador de la tarjeta profesional No. 39.116 del Consejo Superior de la Judicatura, actuando en mi calidad de apoderado de</w:t>
      </w:r>
      <w:r w:rsidR="00D802B1" w:rsidRPr="00846A52">
        <w:t xml:space="preserve"> </w:t>
      </w:r>
      <w:r w:rsidR="00D802B1" w:rsidRPr="00846A52">
        <w:rPr>
          <w:b/>
          <w:bCs/>
        </w:rPr>
        <w:t>LA PREVISORA S.A. COMPAÑÍA DE SEGUROS</w:t>
      </w:r>
      <w:r w:rsidR="00D802B1" w:rsidRPr="00846A52">
        <w:t>.,</w:t>
      </w:r>
      <w:r w:rsidR="00D802B1" w:rsidRPr="00846A52">
        <w:rPr>
          <w:b/>
          <w:bCs/>
        </w:rPr>
        <w:t xml:space="preserve"> </w:t>
      </w:r>
      <w:r w:rsidR="00D802B1" w:rsidRPr="00846A52">
        <w:t>sociedad de economía mixta del orden nacional, sometida al régimen de las empresas comerciales e industriales del Estado, dotada de personería jurídica, autonomía administrativa y capital independiente, vinculada al Ministerio de Hacienda y Crédito Público, sometida a control y vigilancia de la Superintendencia Financiera de Colombia, con domicilio principal en la calle</w:t>
      </w:r>
      <w:r w:rsidR="00D802B1" w:rsidRPr="00846A52">
        <w:rPr>
          <w:rFonts w:eastAsia="Calibri"/>
        </w:rPr>
        <w:t xml:space="preserve"> 57 número 9 - 07, </w:t>
      </w:r>
      <w:r w:rsidR="00D802B1" w:rsidRPr="00846A52">
        <w:t xml:space="preserve">de la ciudad de Bogotá D.C., identificada con el NIT. 860.002.400-2, representada legalmente por </w:t>
      </w:r>
      <w:r w:rsidR="006B3F5C" w:rsidRPr="00846A52">
        <w:t xml:space="preserve">la Doctora </w:t>
      </w:r>
      <w:r w:rsidR="00225713" w:rsidRPr="00846A52">
        <w:t xml:space="preserve">Liliana </w:t>
      </w:r>
      <w:r w:rsidR="0031336F" w:rsidRPr="00846A52">
        <w:t>C</w:t>
      </w:r>
      <w:r w:rsidR="00225713" w:rsidRPr="00846A52">
        <w:t>epeda Piragauta</w:t>
      </w:r>
      <w:r w:rsidR="00D802B1" w:rsidRPr="00846A52">
        <w:t>, identificad</w:t>
      </w:r>
      <w:r w:rsidR="006B3F5C" w:rsidRPr="00846A52">
        <w:t>a</w:t>
      </w:r>
      <w:r w:rsidR="00D802B1" w:rsidRPr="00846A52">
        <w:t xml:space="preserve"> con la cédula de ciudadanía No. </w:t>
      </w:r>
      <w:r w:rsidR="00225713" w:rsidRPr="00846A52">
        <w:t>52.076.367</w:t>
      </w:r>
      <w:r w:rsidR="00D802B1" w:rsidRPr="00846A52">
        <w:t xml:space="preserve"> conforme se acredita con el poder y certificado de existencia y representación legal adjunto</w:t>
      </w:r>
      <w:r w:rsidR="006A0F49" w:rsidRPr="00846A52">
        <w:t xml:space="preserve">. </w:t>
      </w:r>
      <w:r w:rsidR="00FB2CB6" w:rsidRPr="00846A52">
        <w:t>Encontrándome dentro del término legal oportuno c</w:t>
      </w:r>
      <w:r w:rsidRPr="00846A52">
        <w:t xml:space="preserve">omedidamente procedo a presentar </w:t>
      </w:r>
      <w:r w:rsidR="00EC04DF">
        <w:rPr>
          <w:b/>
          <w:bCs/>
          <w:u w:val="single"/>
        </w:rPr>
        <w:t>PRONUNCIAMIENTO</w:t>
      </w:r>
      <w:r w:rsidRPr="00846A52">
        <w:t xml:space="preserve"> frente al </w:t>
      </w:r>
      <w:r w:rsidRPr="00846A52">
        <w:rPr>
          <w:b/>
          <w:bCs/>
          <w:u w:val="single"/>
        </w:rPr>
        <w:t xml:space="preserve">AUTO DE </w:t>
      </w:r>
      <w:r w:rsidR="00AC32D3" w:rsidRPr="00846A52">
        <w:rPr>
          <w:b/>
          <w:bCs/>
          <w:u w:val="single"/>
        </w:rPr>
        <w:t xml:space="preserve">APERTURA </w:t>
      </w:r>
      <w:r w:rsidR="006266D2" w:rsidRPr="00846A52">
        <w:rPr>
          <w:b/>
          <w:bCs/>
          <w:u w:val="single"/>
        </w:rPr>
        <w:t>No.19</w:t>
      </w:r>
      <w:r w:rsidR="00DE0697" w:rsidRPr="00846A52">
        <w:rPr>
          <w:b/>
          <w:bCs/>
          <w:u w:val="single"/>
        </w:rPr>
        <w:t>0</w:t>
      </w:r>
      <w:r w:rsidR="006266D2" w:rsidRPr="00846A52">
        <w:rPr>
          <w:b/>
          <w:bCs/>
          <w:u w:val="single"/>
        </w:rPr>
        <w:t>0.27.06.24.</w:t>
      </w:r>
      <w:r w:rsidR="00A07D02" w:rsidRPr="00846A52">
        <w:rPr>
          <w:b/>
          <w:bCs/>
          <w:u w:val="single"/>
        </w:rPr>
        <w:t>205</w:t>
      </w:r>
      <w:r w:rsidR="006266D2" w:rsidRPr="00846A52">
        <w:rPr>
          <w:b/>
          <w:bCs/>
          <w:u w:val="single"/>
        </w:rPr>
        <w:t xml:space="preserve"> del </w:t>
      </w:r>
      <w:r w:rsidR="00D33F9D" w:rsidRPr="00846A52">
        <w:rPr>
          <w:b/>
          <w:bCs/>
          <w:u w:val="single"/>
        </w:rPr>
        <w:t>15 de noviembre</w:t>
      </w:r>
      <w:r w:rsidR="006266D2" w:rsidRPr="00846A52">
        <w:rPr>
          <w:b/>
          <w:bCs/>
          <w:u w:val="single"/>
        </w:rPr>
        <w:t xml:space="preserve"> de 2024</w:t>
      </w:r>
      <w:r w:rsidRPr="00846A52">
        <w:t xml:space="preserve"> por medio del cual se vinculó a mi representada en virtud </w:t>
      </w:r>
      <w:bookmarkStart w:id="0" w:name="_Hlk127376595"/>
      <w:r w:rsidRPr="00846A52">
        <w:t>de</w:t>
      </w:r>
      <w:r w:rsidR="00D33F9D" w:rsidRPr="00846A52">
        <w:t xml:space="preserve">l coaseguro del 12% existente en la </w:t>
      </w:r>
      <w:r w:rsidR="00D33F9D" w:rsidRPr="000D3A0C">
        <w:rPr>
          <w:b/>
          <w:bCs/>
        </w:rPr>
        <w:t>Póliza de Seguro de Modular Comercial No. 1000074</w:t>
      </w:r>
      <w:bookmarkEnd w:id="0"/>
      <w:r w:rsidRPr="00846A52">
        <w:t>, solicitando que desde ya sea exonerada de cualquier tipo de responsabilidad que pretenda endilgársele, y consecuentemente se proceda a resolver su desvinculación</w:t>
      </w:r>
      <w:r w:rsidR="00A13CB2" w:rsidRPr="00846A52">
        <w:t>, toda vez que el contrato de seguros no presta cobertura material</w:t>
      </w:r>
      <w:r w:rsidRPr="00846A52">
        <w:t>. Todo ello conforme a los argumentos fácticos y jurídicos que se exponen a continuación</w:t>
      </w:r>
      <w:r w:rsidR="00D86289" w:rsidRPr="00846A52">
        <w:t>:</w:t>
      </w:r>
    </w:p>
    <w:p w14:paraId="750A2F8B" w14:textId="77777777" w:rsidR="00E50DBB" w:rsidRPr="00846A52" w:rsidRDefault="00E50DBB" w:rsidP="00846A52">
      <w:pPr>
        <w:spacing w:after="0" w:line="312" w:lineRule="auto"/>
        <w:ind w:left="0" w:right="-7"/>
        <w:rPr>
          <w:b/>
          <w:u w:val="single"/>
        </w:rPr>
      </w:pPr>
    </w:p>
    <w:p w14:paraId="11A3A605" w14:textId="77777777" w:rsidR="004E384E" w:rsidRPr="00846A52" w:rsidRDefault="004E384E" w:rsidP="00846A52">
      <w:pPr>
        <w:spacing w:after="0" w:line="312" w:lineRule="auto"/>
        <w:ind w:left="0" w:right="-7"/>
        <w:jc w:val="center"/>
        <w:rPr>
          <w:b/>
          <w:u w:val="single"/>
        </w:rPr>
      </w:pPr>
    </w:p>
    <w:p w14:paraId="75C44D23" w14:textId="77777777" w:rsidR="004E384E" w:rsidRPr="00846A52" w:rsidRDefault="004E384E" w:rsidP="00846A52">
      <w:pPr>
        <w:spacing w:after="0" w:line="312" w:lineRule="auto"/>
        <w:ind w:left="0" w:right="-7"/>
        <w:jc w:val="center"/>
        <w:rPr>
          <w:b/>
          <w:u w:val="single"/>
        </w:rPr>
      </w:pPr>
    </w:p>
    <w:p w14:paraId="79AB2A65" w14:textId="77777777" w:rsidR="004E384E" w:rsidRPr="00846A52" w:rsidRDefault="004E384E" w:rsidP="00846A52">
      <w:pPr>
        <w:spacing w:after="0" w:line="312" w:lineRule="auto"/>
        <w:ind w:left="0" w:right="-7"/>
        <w:jc w:val="center"/>
        <w:rPr>
          <w:b/>
          <w:u w:val="single"/>
        </w:rPr>
      </w:pPr>
    </w:p>
    <w:p w14:paraId="5CA89936" w14:textId="77777777" w:rsidR="004E384E" w:rsidRPr="00846A52" w:rsidRDefault="004E384E" w:rsidP="00846A52">
      <w:pPr>
        <w:spacing w:after="0" w:line="312" w:lineRule="auto"/>
        <w:ind w:left="0" w:right="-7"/>
        <w:jc w:val="center"/>
        <w:rPr>
          <w:b/>
          <w:u w:val="single"/>
        </w:rPr>
      </w:pPr>
    </w:p>
    <w:p w14:paraId="6EDA9C68" w14:textId="77777777" w:rsidR="004E384E" w:rsidRPr="00846A52" w:rsidRDefault="004E384E" w:rsidP="00846A52">
      <w:pPr>
        <w:spacing w:after="0" w:line="312" w:lineRule="auto"/>
        <w:ind w:left="0" w:right="-7"/>
        <w:jc w:val="center"/>
        <w:rPr>
          <w:b/>
          <w:u w:val="single"/>
        </w:rPr>
      </w:pPr>
    </w:p>
    <w:p w14:paraId="00FCC657" w14:textId="77777777" w:rsidR="004E384E" w:rsidRPr="00846A52" w:rsidRDefault="004E384E" w:rsidP="00846A52">
      <w:pPr>
        <w:spacing w:after="0" w:line="312" w:lineRule="auto"/>
        <w:ind w:left="0" w:right="-7"/>
        <w:jc w:val="center"/>
        <w:rPr>
          <w:b/>
          <w:u w:val="single"/>
        </w:rPr>
      </w:pPr>
    </w:p>
    <w:p w14:paraId="3AF170E9" w14:textId="53AF23C9" w:rsidR="00B376DF" w:rsidRPr="00846A52" w:rsidRDefault="00E50DBB" w:rsidP="00846A52">
      <w:pPr>
        <w:spacing w:after="0" w:line="312" w:lineRule="auto"/>
        <w:ind w:left="0" w:right="-7"/>
        <w:jc w:val="center"/>
        <w:rPr>
          <w:b/>
          <w:u w:val="single"/>
        </w:rPr>
      </w:pPr>
      <w:r w:rsidRPr="00846A52">
        <w:rPr>
          <w:b/>
          <w:u w:val="single"/>
        </w:rPr>
        <w:lastRenderedPageBreak/>
        <w:t>CAPÍTULO I. ANTECEDENTES DEL PROCESO DE RESPONSABILIDAD FISCAL</w:t>
      </w:r>
    </w:p>
    <w:p w14:paraId="5B8576BB" w14:textId="77777777" w:rsidR="00B376DF" w:rsidRPr="00846A52" w:rsidRDefault="00B376DF" w:rsidP="00846A52">
      <w:pPr>
        <w:spacing w:after="0" w:line="312" w:lineRule="auto"/>
        <w:ind w:right="-7"/>
        <w:rPr>
          <w:b/>
          <w:u w:val="single"/>
        </w:rPr>
      </w:pPr>
    </w:p>
    <w:p w14:paraId="2A28C6D7" w14:textId="77777777" w:rsidR="00B376DF" w:rsidRPr="00846A52" w:rsidRDefault="00B376DF" w:rsidP="00846A52">
      <w:pPr>
        <w:spacing w:after="0" w:line="312" w:lineRule="auto"/>
        <w:ind w:right="-7"/>
        <w:rPr>
          <w:i/>
          <w:u w:val="single"/>
        </w:rPr>
      </w:pPr>
      <w:r w:rsidRPr="00846A52">
        <w:rPr>
          <w:i/>
          <w:u w:val="single"/>
        </w:rPr>
        <w:t>Objeto de la Investigación Fiscal:</w:t>
      </w:r>
    </w:p>
    <w:p w14:paraId="5E299E1F" w14:textId="77777777" w:rsidR="00B376DF" w:rsidRPr="00846A52" w:rsidRDefault="00B376DF" w:rsidP="00846A52">
      <w:pPr>
        <w:spacing w:after="0" w:line="312" w:lineRule="auto"/>
        <w:ind w:right="-7"/>
      </w:pPr>
    </w:p>
    <w:p w14:paraId="2032F983" w14:textId="14A7C858" w:rsidR="00925D9B" w:rsidRPr="00846A52" w:rsidRDefault="00B376DF" w:rsidP="00846A52">
      <w:pPr>
        <w:spacing w:after="0" w:line="312" w:lineRule="auto"/>
        <w:ind w:right="-7"/>
      </w:pPr>
      <w:r w:rsidRPr="00846A52">
        <w:t xml:space="preserve">El proceso de responsabilidad fiscal aquí discutido tiene por objeto la investigación de </w:t>
      </w:r>
      <w:r w:rsidR="008A39C5" w:rsidRPr="00846A52">
        <w:t>p</w:t>
      </w:r>
      <w:r w:rsidRPr="00846A52">
        <w:t xml:space="preserve">resuntas irregularidades presentadas </w:t>
      </w:r>
      <w:r w:rsidR="00D056FE" w:rsidRPr="00846A52">
        <w:t xml:space="preserve">con el contrato </w:t>
      </w:r>
      <w:r w:rsidR="00D170B5" w:rsidRPr="00D170B5">
        <w:t>de obra</w:t>
      </w:r>
      <w:r w:rsidR="00D170B5" w:rsidRPr="00846A52">
        <w:t xml:space="preserve"> </w:t>
      </w:r>
      <w:r w:rsidR="00D170B5" w:rsidRPr="00D170B5">
        <w:t xml:space="preserve">N°4162.010.26.1.4017-2022, cuyo objeto es </w:t>
      </w:r>
      <w:r w:rsidR="00D170B5" w:rsidRPr="00D170B5">
        <w:rPr>
          <w:i/>
          <w:iCs/>
        </w:rPr>
        <w:t>ejecutar a precios unitarios fijos el</w:t>
      </w:r>
      <w:r w:rsidR="00D170B5" w:rsidRPr="00846A52">
        <w:rPr>
          <w:i/>
          <w:iCs/>
        </w:rPr>
        <w:t xml:space="preserve"> </w:t>
      </w:r>
      <w:r w:rsidR="00D170B5" w:rsidRPr="00D170B5">
        <w:rPr>
          <w:i/>
          <w:iCs/>
        </w:rPr>
        <w:t>fortalecimiento de los escenarios deportivos y recreativos del distrito de Santiago de</w:t>
      </w:r>
      <w:r w:rsidR="00D170B5" w:rsidRPr="00846A52">
        <w:rPr>
          <w:i/>
          <w:iCs/>
        </w:rPr>
        <w:t xml:space="preserve"> </w:t>
      </w:r>
      <w:r w:rsidR="00D170B5" w:rsidRPr="00D170B5">
        <w:rPr>
          <w:i/>
          <w:iCs/>
        </w:rPr>
        <w:t>Cali en las comunas y según los bps siguientes comuna 10 BP. 26003947, comuna</w:t>
      </w:r>
      <w:r w:rsidR="00D170B5" w:rsidRPr="00846A52">
        <w:rPr>
          <w:i/>
          <w:iCs/>
        </w:rPr>
        <w:t xml:space="preserve"> </w:t>
      </w:r>
      <w:r w:rsidR="00D170B5" w:rsidRPr="00D170B5">
        <w:rPr>
          <w:i/>
          <w:iCs/>
        </w:rPr>
        <w:t>11 BP 26003930 y comuna 12 BP 26003933</w:t>
      </w:r>
      <w:r w:rsidR="00D170B5" w:rsidRPr="00D170B5">
        <w:t>,</w:t>
      </w:r>
      <w:r w:rsidR="00EC04DF">
        <w:t xml:space="preserve"> pues en criterio del órgano de control</w:t>
      </w:r>
      <w:r w:rsidR="00D170B5" w:rsidRPr="00D170B5">
        <w:t xml:space="preserve"> se evidenció agrietamiento en la pista</w:t>
      </w:r>
      <w:r w:rsidR="00D170B5" w:rsidRPr="00846A52">
        <w:t xml:space="preserve"> de trote del </w:t>
      </w:r>
      <w:r w:rsidR="00995A8B" w:rsidRPr="00846A52">
        <w:t xml:space="preserve">escenario deportivo barrio la Independencia carrera </w:t>
      </w:r>
      <w:r w:rsidR="00D170B5" w:rsidRPr="00846A52">
        <w:t xml:space="preserve">41B </w:t>
      </w:r>
      <w:r w:rsidR="00995A8B" w:rsidRPr="00846A52">
        <w:t xml:space="preserve">con calle </w:t>
      </w:r>
      <w:r w:rsidR="00D170B5" w:rsidRPr="00846A52">
        <w:t xml:space="preserve">30 </w:t>
      </w:r>
      <w:r w:rsidR="00995A8B" w:rsidRPr="00846A52">
        <w:t>y</w:t>
      </w:r>
      <w:r w:rsidR="00D170B5" w:rsidRPr="00846A52">
        <w:t xml:space="preserve"> 30A </w:t>
      </w:r>
      <w:r w:rsidR="00995A8B" w:rsidRPr="00846A52">
        <w:t>comuna</w:t>
      </w:r>
      <w:r w:rsidR="00D170B5" w:rsidRPr="00846A52">
        <w:t xml:space="preserve"> 11. </w:t>
      </w:r>
      <w:r w:rsidR="00D056FE" w:rsidRPr="00846A52">
        <w:t>Lo anterior,</w:t>
      </w:r>
      <w:r w:rsidR="00EC04DF">
        <w:t xml:space="preserve"> presuntamente</w:t>
      </w:r>
      <w:r w:rsidR="00D056FE" w:rsidRPr="00846A52">
        <w:t xml:space="preserve"> se ocasiona por </w:t>
      </w:r>
      <w:r w:rsidR="005675AF" w:rsidRPr="00846A52">
        <w:t>falta de seguimiento y control por parte de</w:t>
      </w:r>
      <w:r w:rsidR="00EC04DF">
        <w:t xml:space="preserve"> la</w:t>
      </w:r>
      <w:r w:rsidR="005675AF" w:rsidRPr="00846A52">
        <w:t xml:space="preserve"> </w:t>
      </w:r>
      <w:r w:rsidR="005675AF" w:rsidRPr="005675AF">
        <w:t>Secretaría del Deporte y la Recreación e interventoría y supervisión al no</w:t>
      </w:r>
      <w:r w:rsidR="005675AF" w:rsidRPr="00846A52">
        <w:t xml:space="preserve"> exigir la buena calidad del objeto contratado.</w:t>
      </w:r>
    </w:p>
    <w:p w14:paraId="0F754191" w14:textId="77777777" w:rsidR="005675AF" w:rsidRPr="00846A52" w:rsidRDefault="005675AF" w:rsidP="00846A52">
      <w:pPr>
        <w:spacing w:after="0" w:line="312" w:lineRule="auto"/>
        <w:ind w:right="-7"/>
      </w:pPr>
    </w:p>
    <w:p w14:paraId="161CCB27" w14:textId="1947BA49" w:rsidR="00B376DF" w:rsidRPr="00846A52" w:rsidRDefault="00B376DF" w:rsidP="00846A52">
      <w:pPr>
        <w:tabs>
          <w:tab w:val="center" w:pos="4013"/>
        </w:tabs>
        <w:spacing w:after="0" w:line="312" w:lineRule="auto"/>
        <w:ind w:left="0" w:right="-7" w:firstLine="0"/>
        <w:rPr>
          <w:bCs/>
          <w:color w:val="auto"/>
        </w:rPr>
      </w:pPr>
      <w:r w:rsidRPr="00846A52">
        <w:t>En este sentido, por medio de</w:t>
      </w:r>
      <w:r w:rsidR="00A01696" w:rsidRPr="00846A52">
        <w:t xml:space="preserve">l </w:t>
      </w:r>
      <w:r w:rsidR="00F10FDE" w:rsidRPr="00846A52">
        <w:rPr>
          <w:bCs/>
          <w:color w:val="auto"/>
        </w:rPr>
        <w:t>auto de apertura No. 1900.27.06.24.205 del 15 de noviembre de 2024</w:t>
      </w:r>
      <w:r w:rsidR="00617216" w:rsidRPr="00846A52">
        <w:t>,</w:t>
      </w:r>
      <w:r w:rsidR="00FC3C98" w:rsidRPr="00846A52">
        <w:t xml:space="preserve"> se</w:t>
      </w:r>
      <w:r w:rsidR="00617216" w:rsidRPr="00846A52">
        <w:t xml:space="preserve"> </w:t>
      </w:r>
      <w:r w:rsidR="000843DC" w:rsidRPr="00846A52">
        <w:t xml:space="preserve">decidió </w:t>
      </w:r>
      <w:r w:rsidR="00EC04DF">
        <w:t xml:space="preserve">endilgar </w:t>
      </w:r>
      <w:r w:rsidR="000843DC" w:rsidRPr="00846A52">
        <w:t>responsabilidad fiscal en el proceso que hoy nos ocupa, por el presunto detrimento patrimonial en cuantía de</w:t>
      </w:r>
      <w:r w:rsidR="00F508F9" w:rsidRPr="00846A52">
        <w:t xml:space="preserve"> </w:t>
      </w:r>
      <w:r w:rsidR="00FD5397" w:rsidRPr="009D5D69">
        <w:rPr>
          <w:b/>
          <w:bCs/>
        </w:rPr>
        <w:t>NOVECIENTOS OCHENTA Y SIETE MIL QUINIENTOS</w:t>
      </w:r>
      <w:r w:rsidR="00FD5397" w:rsidRPr="00846A52">
        <w:rPr>
          <w:b/>
          <w:bCs/>
        </w:rPr>
        <w:t xml:space="preserve"> NOVENTA Y DOS PESOS MCTE (</w:t>
      </w:r>
      <w:r w:rsidR="00FD5397" w:rsidRPr="009D5D69">
        <w:rPr>
          <w:b/>
          <w:bCs/>
        </w:rPr>
        <w:t>$987.592</w:t>
      </w:r>
      <w:r w:rsidR="00FD5397" w:rsidRPr="00846A52">
        <w:rPr>
          <w:b/>
          <w:bCs/>
        </w:rPr>
        <w:t>)</w:t>
      </w:r>
      <w:r w:rsidR="00EC04DF">
        <w:rPr>
          <w:b/>
          <w:bCs/>
        </w:rPr>
        <w:t>,</w:t>
      </w:r>
      <w:r w:rsidR="00FD5397" w:rsidRPr="00846A52">
        <w:rPr>
          <w:b/>
          <w:bCs/>
        </w:rPr>
        <w:t xml:space="preserve"> </w:t>
      </w:r>
      <w:r w:rsidR="000843DC" w:rsidRPr="00846A52">
        <w:t>a la</w:t>
      </w:r>
      <w:r w:rsidR="00706769" w:rsidRPr="00846A52">
        <w:t>s</w:t>
      </w:r>
      <w:r w:rsidR="000843DC" w:rsidRPr="00846A52">
        <w:t xml:space="preserve"> siguiente</w:t>
      </w:r>
      <w:r w:rsidR="00706769" w:rsidRPr="00846A52">
        <w:t>s</w:t>
      </w:r>
      <w:r w:rsidR="000843DC" w:rsidRPr="00846A52">
        <w:t xml:space="preserve"> persona</w:t>
      </w:r>
      <w:r w:rsidR="00706769" w:rsidRPr="00846A52">
        <w:t>s</w:t>
      </w:r>
      <w:r w:rsidR="000843DC" w:rsidRPr="00846A52">
        <w:t>:</w:t>
      </w:r>
    </w:p>
    <w:p w14:paraId="42667B1B" w14:textId="77777777" w:rsidR="0020134D" w:rsidRPr="00846A52" w:rsidRDefault="0020134D" w:rsidP="00846A52">
      <w:pPr>
        <w:spacing w:after="0" w:line="312" w:lineRule="auto"/>
        <w:ind w:left="0" w:right="-7" w:firstLine="0"/>
      </w:pPr>
    </w:p>
    <w:p w14:paraId="3467055D" w14:textId="2FA74778" w:rsidR="00E135B4" w:rsidRPr="00846A52" w:rsidRDefault="00E135B4" w:rsidP="00846A52">
      <w:pPr>
        <w:pStyle w:val="Prrafodelista"/>
        <w:numPr>
          <w:ilvl w:val="0"/>
          <w:numId w:val="30"/>
        </w:numPr>
        <w:spacing w:after="0" w:line="312" w:lineRule="auto"/>
        <w:ind w:left="284" w:right="-7" w:hanging="284"/>
        <w:rPr>
          <w:rFonts w:ascii="Arial" w:hAnsi="Arial" w:cs="Arial"/>
        </w:rPr>
      </w:pPr>
      <w:r w:rsidRPr="00846A52">
        <w:rPr>
          <w:rFonts w:ascii="Arial" w:hAnsi="Arial" w:cs="Arial"/>
          <w:b/>
          <w:bCs/>
        </w:rPr>
        <w:t>CARLOS ALBERTO DIAGO ÁLZATE</w:t>
      </w:r>
      <w:r w:rsidRPr="00846A52">
        <w:rPr>
          <w:rFonts w:ascii="Arial" w:hAnsi="Arial" w:cs="Arial"/>
        </w:rPr>
        <w:t xml:space="preserve">, en su calidad de </w:t>
      </w:r>
      <w:r w:rsidR="00546C1A" w:rsidRPr="00846A52">
        <w:rPr>
          <w:rFonts w:ascii="Arial" w:hAnsi="Arial" w:cs="Arial"/>
        </w:rPr>
        <w:t>secretario</w:t>
      </w:r>
      <w:r w:rsidRPr="00846A52">
        <w:rPr>
          <w:rFonts w:ascii="Arial" w:hAnsi="Arial" w:cs="Arial"/>
        </w:rPr>
        <w:t xml:space="preserve"> de Despacho para la época de los hechos.</w:t>
      </w:r>
    </w:p>
    <w:p w14:paraId="7F14D30A" w14:textId="77777777" w:rsidR="00E135B4" w:rsidRPr="00E135B4" w:rsidRDefault="00E135B4" w:rsidP="00846A52">
      <w:pPr>
        <w:spacing w:after="0" w:line="312" w:lineRule="auto"/>
        <w:ind w:left="284" w:right="-7" w:hanging="284"/>
      </w:pPr>
    </w:p>
    <w:p w14:paraId="5E5F0041" w14:textId="2D437625" w:rsidR="00E135B4" w:rsidRPr="00846A52" w:rsidRDefault="00E135B4" w:rsidP="00846A52">
      <w:pPr>
        <w:pStyle w:val="Prrafodelista"/>
        <w:numPr>
          <w:ilvl w:val="0"/>
          <w:numId w:val="30"/>
        </w:numPr>
        <w:spacing w:after="0" w:line="312" w:lineRule="auto"/>
        <w:ind w:left="284" w:right="-7" w:hanging="284"/>
        <w:rPr>
          <w:rFonts w:ascii="Arial" w:hAnsi="Arial" w:cs="Arial"/>
        </w:rPr>
      </w:pPr>
      <w:r w:rsidRPr="00846A52">
        <w:rPr>
          <w:rFonts w:ascii="Arial" w:hAnsi="Arial" w:cs="Arial"/>
          <w:b/>
          <w:bCs/>
        </w:rPr>
        <w:t xml:space="preserve">EQUIVER S.A.S, </w:t>
      </w:r>
      <w:r w:rsidRPr="00846A52">
        <w:rPr>
          <w:rFonts w:ascii="Arial" w:hAnsi="Arial" w:cs="Arial"/>
        </w:rPr>
        <w:t>en calidad de contratista</w:t>
      </w:r>
      <w:r w:rsidR="00546C1A" w:rsidRPr="00846A52">
        <w:rPr>
          <w:rFonts w:ascii="Arial" w:hAnsi="Arial" w:cs="Arial"/>
        </w:rPr>
        <w:t xml:space="preserve"> para la fecha de los hechos. </w:t>
      </w:r>
    </w:p>
    <w:p w14:paraId="0BA128CB" w14:textId="77777777" w:rsidR="00E135B4" w:rsidRPr="00846A52" w:rsidRDefault="00E135B4" w:rsidP="00846A52">
      <w:pPr>
        <w:spacing w:after="0" w:line="312" w:lineRule="auto"/>
        <w:ind w:left="284" w:right="-7" w:hanging="284"/>
      </w:pPr>
    </w:p>
    <w:p w14:paraId="0F7CAA75" w14:textId="0AF42E6A" w:rsidR="00F370E3" w:rsidRPr="00846A52" w:rsidRDefault="00F370E3" w:rsidP="00846A52">
      <w:pPr>
        <w:spacing w:after="0" w:line="312" w:lineRule="auto"/>
      </w:pPr>
      <w:r w:rsidRPr="00846A52">
        <w:t>Con base en la anterior información, la Contraloría avocó conocimiento con el fin de determinar y e</w:t>
      </w:r>
      <w:r w:rsidR="00FC3C98" w:rsidRPr="00846A52">
        <w:t>stablecer la responsabilidad de los</w:t>
      </w:r>
      <w:r w:rsidRPr="00846A52">
        <w:t xml:space="preserve"> sujeto</w:t>
      </w:r>
      <w:r w:rsidR="00FC3C98" w:rsidRPr="00846A52">
        <w:t>s</w:t>
      </w:r>
      <w:r w:rsidRPr="00846A52">
        <w:t xml:space="preserve"> procesal</w:t>
      </w:r>
      <w:r w:rsidR="00FC3C98" w:rsidRPr="00846A52">
        <w:t>es</w:t>
      </w:r>
      <w:r w:rsidRPr="00846A52">
        <w:t xml:space="preserve"> antes mencionado</w:t>
      </w:r>
      <w:r w:rsidR="00EC04DF">
        <w:t>s</w:t>
      </w:r>
      <w:r w:rsidRPr="00846A52">
        <w:t>, para también verificar si en ejercicio de la gestión fiscal o con ocasión de esta, se ha causado por acción u omisión, y en forma dolosa o gravemente culposa, un menoscabo o detrimento al patrimonio del Estado</w:t>
      </w:r>
      <w:r w:rsidR="00EC04DF">
        <w:t>.</w:t>
      </w:r>
    </w:p>
    <w:p w14:paraId="21499824" w14:textId="77777777" w:rsidR="00F370E3" w:rsidRPr="00846A52" w:rsidRDefault="00F370E3" w:rsidP="00846A52">
      <w:pPr>
        <w:spacing w:after="0" w:line="312" w:lineRule="auto"/>
        <w:rPr>
          <w:u w:val="single"/>
        </w:rPr>
      </w:pPr>
    </w:p>
    <w:p w14:paraId="2F8D5DAD" w14:textId="352DF45C" w:rsidR="00F370E3" w:rsidRPr="00846A52" w:rsidRDefault="00F370E3" w:rsidP="00846A52">
      <w:pPr>
        <w:spacing w:after="0" w:line="312" w:lineRule="auto"/>
        <w:jc w:val="center"/>
        <w:rPr>
          <w:b/>
          <w:bCs/>
          <w:u w:val="single"/>
          <w:lang w:val="es-ES"/>
        </w:rPr>
      </w:pPr>
      <w:r w:rsidRPr="00846A52">
        <w:rPr>
          <w:b/>
          <w:bCs/>
          <w:u w:val="single"/>
        </w:rPr>
        <w:t xml:space="preserve">Vinculación de </w:t>
      </w:r>
      <w:r w:rsidR="00033F16" w:rsidRPr="00846A52">
        <w:rPr>
          <w:b/>
          <w:bCs/>
          <w:u w:val="single"/>
          <w:lang w:val="es-ES"/>
        </w:rPr>
        <w:t xml:space="preserve">LA PREVISORA S.A. COMPAÑÍA DE SEGUROS </w:t>
      </w:r>
      <w:r w:rsidRPr="00846A52">
        <w:rPr>
          <w:b/>
          <w:bCs/>
          <w:u w:val="single"/>
        </w:rPr>
        <w:t>en calidad de tercero civilmente responsable:</w:t>
      </w:r>
    </w:p>
    <w:p w14:paraId="5D4F7FA7" w14:textId="77777777" w:rsidR="00F370E3" w:rsidRPr="00846A52" w:rsidRDefault="00F370E3" w:rsidP="00846A52">
      <w:pPr>
        <w:spacing w:after="0" w:line="312" w:lineRule="auto"/>
        <w:rPr>
          <w:highlight w:val="cyan"/>
          <w:u w:val="single"/>
        </w:rPr>
      </w:pPr>
    </w:p>
    <w:p w14:paraId="270F3746" w14:textId="625B6B7F" w:rsidR="00643738" w:rsidRPr="00846A52" w:rsidRDefault="00F370E3" w:rsidP="00846A52">
      <w:pPr>
        <w:spacing w:after="0"/>
      </w:pPr>
      <w:r w:rsidRPr="00846A52">
        <w:t xml:space="preserve">La vinculación de mi representada se efectuó </w:t>
      </w:r>
      <w:bookmarkStart w:id="1" w:name="_Hlk118379186"/>
      <w:r w:rsidR="005404B5" w:rsidRPr="00846A52">
        <w:t xml:space="preserve">en virtud del coaseguro del 12% existente en la </w:t>
      </w:r>
      <w:r w:rsidR="005404B5" w:rsidRPr="000D3A0C">
        <w:rPr>
          <w:b/>
          <w:bCs/>
        </w:rPr>
        <w:t>Póliza de Seguro de Modular Comercial No. 1000074</w:t>
      </w:r>
      <w:r w:rsidRPr="00846A52">
        <w:rPr>
          <w:b/>
          <w:bCs/>
        </w:rPr>
        <w:t>,</w:t>
      </w:r>
      <w:r w:rsidRPr="00846A52">
        <w:t xml:space="preserve"> con las vigencias </w:t>
      </w:r>
      <w:r w:rsidR="00EC04DF">
        <w:t>descritas más adelante y tomada</w:t>
      </w:r>
      <w:r w:rsidRPr="00846A52">
        <w:t xml:space="preserve"> por parte de</w:t>
      </w:r>
      <w:bookmarkEnd w:id="1"/>
      <w:r w:rsidR="00D75E34" w:rsidRPr="00846A52">
        <w:t xml:space="preserve">l </w:t>
      </w:r>
      <w:r w:rsidR="00643738" w:rsidRPr="00846A52">
        <w:rPr>
          <w:b/>
          <w:bCs/>
        </w:rPr>
        <w:t xml:space="preserve">DISTRITO ESPECIAL DE SANTIAGO DE CALI. </w:t>
      </w:r>
    </w:p>
    <w:p w14:paraId="4BD4C976" w14:textId="2EE3946A" w:rsidR="00F370E3" w:rsidRPr="00846A52" w:rsidRDefault="00F370E3" w:rsidP="00846A52">
      <w:pPr>
        <w:spacing w:after="0" w:line="312" w:lineRule="auto"/>
        <w:ind w:left="0" w:firstLine="0"/>
      </w:pPr>
    </w:p>
    <w:p w14:paraId="3D417EA5" w14:textId="77777777" w:rsidR="00F370E3" w:rsidRPr="0058437E" w:rsidRDefault="00F370E3" w:rsidP="00846A52">
      <w:pPr>
        <w:spacing w:after="0" w:line="312" w:lineRule="auto"/>
        <w:ind w:left="14"/>
        <w:rPr>
          <w:rStyle w:val="eop"/>
          <w:shd w:val="clear" w:color="auto" w:fill="FFFFFF"/>
        </w:rPr>
      </w:pPr>
      <w:r w:rsidRPr="00846A52">
        <w:rPr>
          <w:rStyle w:val="normaltextrun"/>
          <w:shd w:val="clear" w:color="auto" w:fill="FFFFFF"/>
        </w:rPr>
        <w:t xml:space="preserve">Es imperativo recordar que existen diferentes modalidades de cobertura en los contratos de seguro. Las más comunes en la actividad </w:t>
      </w:r>
      <w:proofErr w:type="spellStart"/>
      <w:r w:rsidRPr="00846A52">
        <w:rPr>
          <w:rStyle w:val="normaltextrun"/>
          <w:shd w:val="clear" w:color="auto" w:fill="FFFFFF"/>
        </w:rPr>
        <w:t>aseguraticia</w:t>
      </w:r>
      <w:proofErr w:type="spellEnd"/>
      <w:r w:rsidRPr="00846A52">
        <w:rPr>
          <w:rStyle w:val="normaltextrun"/>
          <w:shd w:val="clear" w:color="auto" w:fill="FFFFFF"/>
        </w:rPr>
        <w:t xml:space="preserve"> son las siguientes: ocurrencia, descubrimiento y reclamación o </w:t>
      </w:r>
      <w:proofErr w:type="spellStart"/>
      <w:r w:rsidRPr="00846A52">
        <w:rPr>
          <w:rStyle w:val="normaltextrun"/>
          <w:i/>
          <w:iCs/>
          <w:shd w:val="clear" w:color="auto" w:fill="FFFFFF"/>
        </w:rPr>
        <w:t>claims</w:t>
      </w:r>
      <w:proofErr w:type="spellEnd"/>
      <w:r w:rsidRPr="00846A52">
        <w:rPr>
          <w:rStyle w:val="normaltextrun"/>
          <w:i/>
          <w:iCs/>
          <w:shd w:val="clear" w:color="auto" w:fill="FFFFFF"/>
        </w:rPr>
        <w:t xml:space="preserve"> </w:t>
      </w:r>
      <w:proofErr w:type="spellStart"/>
      <w:r w:rsidRPr="00846A52">
        <w:rPr>
          <w:rStyle w:val="normaltextrun"/>
          <w:i/>
          <w:iCs/>
          <w:shd w:val="clear" w:color="auto" w:fill="FFFFFF"/>
        </w:rPr>
        <w:t>made</w:t>
      </w:r>
      <w:proofErr w:type="spellEnd"/>
      <w:r w:rsidRPr="00846A52">
        <w:rPr>
          <w:rStyle w:val="normaltextrun"/>
          <w:shd w:val="clear" w:color="auto" w:fill="FFFFFF"/>
        </w:rPr>
        <w:t xml:space="preserve">. La primera hace referencia a la cobertura que se brinda cuando el hecho que da lugar al amparo ocurre mientras la póliza está vigente. </w:t>
      </w:r>
      <w:r w:rsidRPr="0058437E">
        <w:rPr>
          <w:rStyle w:val="normaltextrun"/>
          <w:b/>
          <w:bCs/>
          <w:u w:val="single"/>
          <w:shd w:val="clear" w:color="auto" w:fill="FFFFFF"/>
        </w:rPr>
        <w:t>Bajo la modalidad de descubrimiento se ofrece cobertura cuando el tomador, asegurado o beneficiario conoce el hecho dañoso dentro de la vigencia de la póliza.</w:t>
      </w:r>
      <w:r w:rsidRPr="00846A52">
        <w:rPr>
          <w:rStyle w:val="normaltextrun"/>
          <w:shd w:val="clear" w:color="auto" w:fill="FFFFFF"/>
        </w:rPr>
        <w:t xml:space="preserve"> Por último, </w:t>
      </w:r>
      <w:r w:rsidRPr="0058437E">
        <w:rPr>
          <w:rStyle w:val="normaltextrun"/>
          <w:shd w:val="clear" w:color="auto" w:fill="FFFFFF"/>
        </w:rPr>
        <w:t xml:space="preserve">se tiene que el seguro pactado bajo la modalidad de reclamación o </w:t>
      </w:r>
      <w:proofErr w:type="spellStart"/>
      <w:r w:rsidRPr="0058437E">
        <w:rPr>
          <w:rStyle w:val="normaltextrun"/>
          <w:i/>
          <w:iCs/>
          <w:shd w:val="clear" w:color="auto" w:fill="FFFFFF"/>
        </w:rPr>
        <w:t>claims</w:t>
      </w:r>
      <w:proofErr w:type="spellEnd"/>
      <w:r w:rsidRPr="0058437E">
        <w:rPr>
          <w:rStyle w:val="normaltextrun"/>
          <w:i/>
          <w:iCs/>
          <w:shd w:val="clear" w:color="auto" w:fill="FFFFFF"/>
        </w:rPr>
        <w:t xml:space="preserve"> </w:t>
      </w:r>
      <w:proofErr w:type="spellStart"/>
      <w:r w:rsidRPr="0058437E">
        <w:rPr>
          <w:rStyle w:val="normaltextrun"/>
          <w:i/>
          <w:iCs/>
          <w:shd w:val="clear" w:color="auto" w:fill="FFFFFF"/>
        </w:rPr>
        <w:t>made</w:t>
      </w:r>
      <w:proofErr w:type="spellEnd"/>
      <w:r w:rsidRPr="0058437E">
        <w:rPr>
          <w:rStyle w:val="normaltextrun"/>
          <w:i/>
          <w:iCs/>
          <w:shd w:val="clear" w:color="auto" w:fill="FFFFFF"/>
        </w:rPr>
        <w:t xml:space="preserve"> </w:t>
      </w:r>
      <w:r w:rsidRPr="0058437E">
        <w:rPr>
          <w:rStyle w:val="normaltextrun"/>
          <w:shd w:val="clear" w:color="auto" w:fill="FFFFFF"/>
        </w:rPr>
        <w:t>opera, de un lado, si el interesado presentó su reclamación dentro de la vigencia de la póliza y, de otro, si los hechos por los que se reclama ocurrieron dentro del período de retroactividad pactado.</w:t>
      </w:r>
      <w:r w:rsidRPr="0058437E">
        <w:rPr>
          <w:rStyle w:val="eop"/>
          <w:shd w:val="clear" w:color="auto" w:fill="FFFFFF"/>
        </w:rPr>
        <w:t> </w:t>
      </w:r>
    </w:p>
    <w:p w14:paraId="70ADD790" w14:textId="77777777" w:rsidR="0011393F" w:rsidRPr="0058437E" w:rsidRDefault="0011393F" w:rsidP="00846A52">
      <w:pPr>
        <w:spacing w:after="0" w:line="312" w:lineRule="auto"/>
        <w:ind w:left="14"/>
        <w:rPr>
          <w:rStyle w:val="eop"/>
          <w:shd w:val="clear" w:color="auto" w:fill="FFFFFF"/>
        </w:rPr>
      </w:pPr>
    </w:p>
    <w:p w14:paraId="2590680C" w14:textId="57915224" w:rsidR="00F370E3" w:rsidRPr="00846A52" w:rsidRDefault="00F370E3" w:rsidP="00846A52">
      <w:pPr>
        <w:spacing w:after="0" w:line="312" w:lineRule="auto"/>
        <w:rPr>
          <w:b/>
          <w:bCs/>
          <w:lang w:val="es-ES"/>
        </w:rPr>
      </w:pPr>
      <w:r w:rsidRPr="00846A52">
        <w:lastRenderedPageBreak/>
        <w:t xml:space="preserve">Ahora bien, tal y como se explicará de manera detallada a continuación, </w:t>
      </w:r>
      <w:r w:rsidRPr="00846A52">
        <w:rPr>
          <w:lang w:val="es-ES"/>
        </w:rPr>
        <w:t xml:space="preserve">la </w:t>
      </w:r>
      <w:r w:rsidRPr="00846A52">
        <w:t xml:space="preserve">Contraloría conocedora en este proceso incurrió en un yerro al vincular a mi procurada con base en dicha </w:t>
      </w:r>
      <w:r w:rsidRPr="00846A52">
        <w:rPr>
          <w:color w:val="000000" w:themeColor="text1"/>
        </w:rPr>
        <w:t>póliza de seguro</w:t>
      </w:r>
      <w:r w:rsidRPr="00846A52">
        <w:t>, por cuanto, existen una serie de fundamentos fácticos y jurídicos que demuestran indefectiblemente que la misma no presta cobertura</w:t>
      </w:r>
      <w:r w:rsidR="00062F4B" w:rsidRPr="00846A52">
        <w:t xml:space="preserve"> </w:t>
      </w:r>
      <w:r w:rsidRPr="00846A52">
        <w:t xml:space="preserve">en el caso concreto. </w:t>
      </w:r>
      <w:r w:rsidRPr="00846A52">
        <w:rPr>
          <w:color w:val="000000" w:themeColor="text1"/>
          <w:lang w:val="es-ES"/>
        </w:rPr>
        <w:t xml:space="preserve"> Es por esto, que resulta de suma importancia ponerle de presente al despacho, que actualmente nos encontramos en la etapa procesal pertinente </w:t>
      </w:r>
      <w:r w:rsidR="00EC04DF">
        <w:rPr>
          <w:color w:val="000000" w:themeColor="text1"/>
          <w:lang w:val="es-ES"/>
        </w:rPr>
        <w:t>e idónea para desvincular a la compañía a</w:t>
      </w:r>
      <w:r w:rsidRPr="00846A52">
        <w:rPr>
          <w:color w:val="000000" w:themeColor="text1"/>
          <w:lang w:val="es-ES"/>
        </w:rPr>
        <w:t>seguradora que represento, razón por la cual, comedida y respetuosamente solicito desde ya</w:t>
      </w:r>
      <w:r w:rsidRPr="00846A52">
        <w:rPr>
          <w:b/>
          <w:bCs/>
          <w:color w:val="000000" w:themeColor="text1"/>
          <w:lang w:val="es-ES"/>
        </w:rPr>
        <w:t xml:space="preserve"> </w:t>
      </w:r>
      <w:r w:rsidRPr="00846A52">
        <w:rPr>
          <w:b/>
          <w:bCs/>
          <w:color w:val="000000" w:themeColor="text1"/>
          <w:u w:val="single"/>
          <w:lang w:val="es-ES"/>
        </w:rPr>
        <w:t>LA DESVINCULACIÓN</w:t>
      </w:r>
      <w:r w:rsidRPr="00846A52">
        <w:rPr>
          <w:color w:val="000000" w:themeColor="text1"/>
          <w:lang w:val="es-ES"/>
        </w:rPr>
        <w:t xml:space="preserve"> de</w:t>
      </w:r>
      <w:bookmarkStart w:id="2" w:name="_Hlk118379203"/>
      <w:r w:rsidRPr="00846A52">
        <w:rPr>
          <w:color w:val="000000" w:themeColor="text1"/>
          <w:lang w:val="es-ES"/>
        </w:rPr>
        <w:t xml:space="preserve"> </w:t>
      </w:r>
      <w:bookmarkEnd w:id="2"/>
      <w:r w:rsidR="00A541FC" w:rsidRPr="00846A52">
        <w:rPr>
          <w:b/>
          <w:bCs/>
          <w:lang w:val="es-ES"/>
        </w:rPr>
        <w:t xml:space="preserve">LA PREVISORA S.A. COMPAÑÍA DE SEGUROS </w:t>
      </w:r>
      <w:r w:rsidRPr="00846A52">
        <w:rPr>
          <w:color w:val="000000" w:themeColor="text1"/>
          <w:lang w:val="es-ES"/>
        </w:rPr>
        <w:t>del proceso de responsabilidad fiscal</w:t>
      </w:r>
      <w:r w:rsidRPr="00846A52">
        <w:t xml:space="preserve"> </w:t>
      </w:r>
      <w:r w:rsidRPr="00846A52">
        <w:rPr>
          <w:color w:val="000000" w:themeColor="text1"/>
          <w:lang w:val="es-ES"/>
        </w:rPr>
        <w:t>que actualmente cursa ante su despacho</w:t>
      </w:r>
      <w:r w:rsidRPr="00846A52">
        <w:t>.</w:t>
      </w:r>
    </w:p>
    <w:p w14:paraId="7F1D00C7" w14:textId="706863DE" w:rsidR="00594409" w:rsidRPr="00846A52" w:rsidRDefault="00B376DF" w:rsidP="00846A52">
      <w:pPr>
        <w:spacing w:after="0" w:line="312" w:lineRule="auto"/>
        <w:ind w:right="-7"/>
      </w:pPr>
      <w:r w:rsidRPr="00846A52">
        <w:t xml:space="preserve"> </w:t>
      </w:r>
    </w:p>
    <w:p w14:paraId="706E3BC3" w14:textId="1BE1BD19" w:rsidR="00B376DF" w:rsidRPr="00846A52" w:rsidRDefault="00E50DBB" w:rsidP="00846A52">
      <w:pPr>
        <w:spacing w:after="0" w:line="312" w:lineRule="auto"/>
        <w:ind w:left="0" w:right="-7"/>
        <w:jc w:val="center"/>
      </w:pPr>
      <w:r w:rsidRPr="00846A52">
        <w:rPr>
          <w:b/>
          <w:u w:val="single"/>
        </w:rPr>
        <w:t xml:space="preserve">CAPÍTULO II. </w:t>
      </w:r>
      <w:r w:rsidR="00B376DF" w:rsidRPr="00846A52">
        <w:rPr>
          <w:b/>
          <w:bCs/>
          <w:u w:val="single" w:color="000000"/>
        </w:rPr>
        <w:t>FUNDAMENTOS FÁCTICOS Y JURÍDICOS DE LA DEFENSA FRENTE AL</w:t>
      </w:r>
      <w:r w:rsidR="00B376DF" w:rsidRPr="00846A52">
        <w:rPr>
          <w:b/>
          <w:bCs/>
        </w:rPr>
        <w:t xml:space="preserve"> </w:t>
      </w:r>
      <w:r w:rsidR="00B376DF" w:rsidRPr="00846A52">
        <w:rPr>
          <w:b/>
          <w:bCs/>
          <w:u w:val="single" w:color="000000"/>
        </w:rPr>
        <w:t>PROCESO DE RESPONSABILIDAD FISCAL</w:t>
      </w:r>
    </w:p>
    <w:p w14:paraId="05F565EA" w14:textId="28D067C4" w:rsidR="00B92BCD" w:rsidRPr="00846A52" w:rsidRDefault="00F72BF3" w:rsidP="00846A52">
      <w:pPr>
        <w:spacing w:after="0" w:line="312" w:lineRule="auto"/>
        <w:ind w:right="-7"/>
      </w:pPr>
      <w:r w:rsidRPr="00846A52">
        <w:t xml:space="preserve"> </w:t>
      </w:r>
    </w:p>
    <w:p w14:paraId="29DA42ED" w14:textId="77777777" w:rsidR="00F65649" w:rsidRPr="00846A52" w:rsidRDefault="00F65649" w:rsidP="00846A52">
      <w:pPr>
        <w:spacing w:after="0" w:line="312" w:lineRule="auto"/>
        <w:ind w:right="-7"/>
        <w:rPr>
          <w:rFonts w:eastAsia="Calibri"/>
        </w:rPr>
      </w:pPr>
      <w:r w:rsidRPr="00846A52">
        <w:rPr>
          <w:rFonts w:eastAsia="Calibri"/>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35465910" w14:textId="77777777" w:rsidR="00F65649" w:rsidRPr="00846A52" w:rsidRDefault="00F65649" w:rsidP="00846A52">
      <w:pPr>
        <w:spacing w:after="0" w:line="312" w:lineRule="auto"/>
        <w:ind w:right="-7"/>
        <w:rPr>
          <w:rFonts w:eastAsia="Calibri"/>
        </w:rPr>
      </w:pPr>
    </w:p>
    <w:p w14:paraId="66D381EB" w14:textId="77777777" w:rsidR="00F65649" w:rsidRPr="00846A52" w:rsidRDefault="00F65649" w:rsidP="00846A52">
      <w:pPr>
        <w:tabs>
          <w:tab w:val="left" w:pos="8647"/>
        </w:tabs>
        <w:spacing w:after="0" w:line="240" w:lineRule="auto"/>
        <w:ind w:left="1134" w:right="843" w:hanging="284"/>
        <w:jc w:val="left"/>
        <w:rPr>
          <w:rFonts w:eastAsia="Calibri"/>
          <w:iCs/>
          <w:sz w:val="20"/>
          <w:szCs w:val="20"/>
        </w:rPr>
      </w:pPr>
      <w:r w:rsidRPr="00846A52">
        <w:rPr>
          <w:rFonts w:eastAsia="Calibri"/>
          <w:i/>
        </w:rPr>
        <w:t>“</w:t>
      </w:r>
      <w:r w:rsidRPr="00846A52">
        <w:rPr>
          <w:rFonts w:eastAsia="Calibri"/>
          <w:iCs/>
          <w:sz w:val="20"/>
          <w:szCs w:val="20"/>
        </w:rPr>
        <w:t>ARTICULO 5o. ELEMENTOS DE LA RESPONSABILIDAD FISCAL. La responsabilidad fiscal estará integrada por los siguientes elementos:</w:t>
      </w:r>
    </w:p>
    <w:p w14:paraId="5B2BFCAC" w14:textId="77777777" w:rsidR="00F65649" w:rsidRPr="00846A52" w:rsidRDefault="00F65649" w:rsidP="00846A52">
      <w:pPr>
        <w:tabs>
          <w:tab w:val="left" w:pos="8647"/>
        </w:tabs>
        <w:spacing w:after="0" w:line="240" w:lineRule="auto"/>
        <w:ind w:left="1134" w:right="843" w:hanging="284"/>
        <w:jc w:val="left"/>
        <w:rPr>
          <w:rFonts w:eastAsia="Calibri"/>
          <w:iCs/>
          <w:sz w:val="20"/>
          <w:szCs w:val="20"/>
        </w:rPr>
      </w:pPr>
    </w:p>
    <w:p w14:paraId="41892654" w14:textId="77777777" w:rsidR="00F65649" w:rsidRPr="00846A52" w:rsidRDefault="00F65649" w:rsidP="00846A52">
      <w:pPr>
        <w:numPr>
          <w:ilvl w:val="1"/>
          <w:numId w:val="4"/>
        </w:numPr>
        <w:tabs>
          <w:tab w:val="left" w:pos="8647"/>
        </w:tabs>
        <w:spacing w:after="0" w:line="240" w:lineRule="auto"/>
        <w:ind w:left="1134" w:right="843" w:hanging="284"/>
        <w:jc w:val="left"/>
        <w:rPr>
          <w:rFonts w:eastAsia="Calibri"/>
          <w:iCs/>
          <w:sz w:val="20"/>
          <w:szCs w:val="20"/>
        </w:rPr>
      </w:pPr>
      <w:r w:rsidRPr="00846A52">
        <w:rPr>
          <w:rFonts w:eastAsia="Calibri"/>
          <w:iCs/>
          <w:sz w:val="20"/>
          <w:szCs w:val="20"/>
        </w:rPr>
        <w:t>Una conducta dolosa o culposa atribuible a una persona que realiza gestión fiscal.</w:t>
      </w:r>
    </w:p>
    <w:p w14:paraId="4590482C" w14:textId="77777777" w:rsidR="00F65649" w:rsidRPr="00846A52" w:rsidRDefault="00F65649" w:rsidP="00846A52">
      <w:pPr>
        <w:numPr>
          <w:ilvl w:val="1"/>
          <w:numId w:val="4"/>
        </w:numPr>
        <w:tabs>
          <w:tab w:val="left" w:pos="8647"/>
        </w:tabs>
        <w:spacing w:after="0" w:line="240" w:lineRule="auto"/>
        <w:ind w:left="1134" w:right="843" w:hanging="284"/>
        <w:jc w:val="left"/>
        <w:rPr>
          <w:rFonts w:eastAsia="Calibri"/>
          <w:iCs/>
          <w:sz w:val="20"/>
          <w:szCs w:val="20"/>
        </w:rPr>
      </w:pPr>
      <w:r w:rsidRPr="00846A52">
        <w:rPr>
          <w:rFonts w:eastAsia="Calibri"/>
          <w:iCs/>
          <w:sz w:val="20"/>
          <w:szCs w:val="20"/>
        </w:rPr>
        <w:t>Un daño patrimonial al Estado.</w:t>
      </w:r>
    </w:p>
    <w:p w14:paraId="4B2D89CA" w14:textId="77777777" w:rsidR="00F65649" w:rsidRPr="00846A52" w:rsidRDefault="00F65649" w:rsidP="00846A52">
      <w:pPr>
        <w:numPr>
          <w:ilvl w:val="1"/>
          <w:numId w:val="4"/>
        </w:numPr>
        <w:tabs>
          <w:tab w:val="left" w:pos="8647"/>
        </w:tabs>
        <w:spacing w:after="0" w:line="240" w:lineRule="auto"/>
        <w:ind w:left="1134" w:right="843" w:hanging="284"/>
        <w:jc w:val="left"/>
        <w:rPr>
          <w:rFonts w:eastAsia="Calibri"/>
          <w:i/>
          <w:sz w:val="20"/>
          <w:szCs w:val="20"/>
        </w:rPr>
      </w:pPr>
      <w:r w:rsidRPr="00846A52">
        <w:rPr>
          <w:rFonts w:eastAsia="Calibri"/>
          <w:iCs/>
          <w:sz w:val="20"/>
          <w:szCs w:val="20"/>
        </w:rPr>
        <w:t>Un nexo causal entre los dos elementos anteriores</w:t>
      </w:r>
      <w:r w:rsidRPr="00846A52">
        <w:rPr>
          <w:rFonts w:eastAsia="Calibri"/>
          <w:i/>
          <w:sz w:val="20"/>
          <w:szCs w:val="20"/>
        </w:rPr>
        <w:t>.”</w:t>
      </w:r>
    </w:p>
    <w:p w14:paraId="2D0BE100" w14:textId="77777777" w:rsidR="00F65649" w:rsidRPr="00846A52" w:rsidRDefault="00F65649" w:rsidP="00846A52">
      <w:pPr>
        <w:spacing w:after="0" w:line="312" w:lineRule="auto"/>
        <w:ind w:right="-7"/>
        <w:rPr>
          <w:rFonts w:eastAsia="Calibri"/>
          <w:lang w:val="es-ES"/>
        </w:rPr>
      </w:pPr>
    </w:p>
    <w:p w14:paraId="3BC395F1" w14:textId="77777777" w:rsidR="00F65649" w:rsidRPr="00846A52" w:rsidRDefault="00F65649" w:rsidP="00846A52">
      <w:pPr>
        <w:spacing w:after="0" w:line="312" w:lineRule="auto"/>
        <w:ind w:right="-7"/>
        <w:rPr>
          <w:rFonts w:eastAsia="Calibri"/>
          <w:lang w:val="es-ES"/>
        </w:rPr>
      </w:pPr>
      <w:r w:rsidRPr="00846A52">
        <w:rPr>
          <w:rFonts w:eastAsia="Calibri"/>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595C0954" w14:textId="77777777" w:rsidR="00F65649" w:rsidRPr="00846A52" w:rsidRDefault="00F65649" w:rsidP="00846A52">
      <w:pPr>
        <w:spacing w:after="0" w:line="312" w:lineRule="auto"/>
        <w:ind w:right="-7"/>
        <w:rPr>
          <w:rFonts w:eastAsia="Calibri"/>
          <w:lang w:val="es-ES"/>
        </w:rPr>
      </w:pPr>
    </w:p>
    <w:p w14:paraId="3ADEBFFF" w14:textId="77777777" w:rsidR="00F65649" w:rsidRPr="00846A52" w:rsidRDefault="00F65649" w:rsidP="00846A52">
      <w:pPr>
        <w:shd w:val="clear" w:color="auto" w:fill="FFFFFF"/>
        <w:spacing w:after="0" w:line="240" w:lineRule="auto"/>
        <w:ind w:left="851" w:right="843"/>
        <w:textAlignment w:val="baseline"/>
        <w:rPr>
          <w:iCs/>
          <w:sz w:val="20"/>
          <w:szCs w:val="20"/>
          <w:lang w:val="es-ES_tradnl"/>
        </w:rPr>
      </w:pPr>
      <w:r w:rsidRPr="00846A52">
        <w:rPr>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0E78635F" w14:textId="77777777" w:rsidR="00F65649" w:rsidRPr="00846A52" w:rsidRDefault="00F65649" w:rsidP="00846A52">
      <w:pPr>
        <w:shd w:val="clear" w:color="auto" w:fill="FFFFFF"/>
        <w:spacing w:after="0" w:line="312" w:lineRule="auto"/>
        <w:ind w:left="850" w:right="-7"/>
        <w:textAlignment w:val="baseline"/>
        <w:rPr>
          <w:i/>
          <w:lang w:val="es-ES_tradnl"/>
        </w:rPr>
      </w:pPr>
    </w:p>
    <w:p w14:paraId="282AACF7" w14:textId="6DC97398" w:rsidR="006660E4" w:rsidRPr="00846A52" w:rsidRDefault="00F65649" w:rsidP="00846A52">
      <w:pPr>
        <w:spacing w:after="0" w:line="312" w:lineRule="auto"/>
      </w:pPr>
      <w:r w:rsidRPr="00846A52">
        <w:rPr>
          <w:rFonts w:eastAsia="Times New Roman"/>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846A52">
        <w:rPr>
          <w:rFonts w:eastAsia="Calibri"/>
          <w:lang w:val="es-ES"/>
        </w:rPr>
        <w:t xml:space="preserve">Proceso de Responsabilidad Fiscal identificado con el </w:t>
      </w:r>
      <w:r w:rsidR="006660E4" w:rsidRPr="00846A52">
        <w:t>No</w:t>
      </w:r>
      <w:r w:rsidR="00214A81" w:rsidRPr="00846A52">
        <w:t>.</w:t>
      </w:r>
      <w:r w:rsidR="00214A81" w:rsidRPr="00846A52">
        <w:rPr>
          <w:b/>
          <w:color w:val="auto"/>
        </w:rPr>
        <w:t xml:space="preserve"> 1900.27.06.24.1696</w:t>
      </w:r>
      <w:r w:rsidR="006660E4" w:rsidRPr="00846A52">
        <w:rPr>
          <w:b/>
          <w:bCs/>
        </w:rPr>
        <w:t>.</w:t>
      </w:r>
    </w:p>
    <w:p w14:paraId="2B8C1A05" w14:textId="77777777" w:rsidR="00F40652" w:rsidRPr="00846A52" w:rsidRDefault="00F40652" w:rsidP="00846A52">
      <w:pPr>
        <w:spacing w:after="0" w:line="312" w:lineRule="auto"/>
        <w:rPr>
          <w:b/>
          <w:bCs/>
          <w:lang w:val="es-ES"/>
        </w:rPr>
      </w:pPr>
    </w:p>
    <w:p w14:paraId="6B31CF5C" w14:textId="1B5A3B76" w:rsidR="00A3189F" w:rsidRPr="00846A52" w:rsidRDefault="00A3189F" w:rsidP="00846A52">
      <w:pPr>
        <w:pStyle w:val="Prrafodelista"/>
        <w:numPr>
          <w:ilvl w:val="0"/>
          <w:numId w:val="6"/>
        </w:numPr>
        <w:spacing w:after="0" w:line="312" w:lineRule="auto"/>
        <w:ind w:left="284" w:right="-7" w:hanging="283"/>
        <w:rPr>
          <w:rFonts w:ascii="Arial" w:hAnsi="Arial" w:cs="Arial"/>
          <w:u w:val="single"/>
        </w:rPr>
      </w:pPr>
      <w:bookmarkStart w:id="3" w:name="_Hlk120468455"/>
      <w:r w:rsidRPr="00846A52">
        <w:rPr>
          <w:rFonts w:ascii="Arial" w:hAnsi="Arial" w:cs="Arial"/>
          <w:b/>
          <w:u w:val="single"/>
        </w:rPr>
        <w:t>INEXISTENCIA DE PRUEBA DEL HECHO GENERADOR</w:t>
      </w:r>
      <w:r w:rsidR="00B00C3F" w:rsidRPr="00846A52">
        <w:rPr>
          <w:rFonts w:ascii="Arial" w:hAnsi="Arial" w:cs="Arial"/>
          <w:b/>
          <w:u w:val="single"/>
        </w:rPr>
        <w:t xml:space="preserve"> DEL DAÑO.</w:t>
      </w:r>
      <w:r w:rsidRPr="00846A52">
        <w:rPr>
          <w:rFonts w:ascii="Arial" w:hAnsi="Arial" w:cs="Arial"/>
          <w:b/>
          <w:u w:val="single"/>
        </w:rPr>
        <w:t xml:space="preserve">  </w:t>
      </w:r>
    </w:p>
    <w:p w14:paraId="70ECEEC3" w14:textId="77777777" w:rsidR="00A3189F" w:rsidRPr="00846A52" w:rsidRDefault="00A3189F" w:rsidP="00846A52">
      <w:pPr>
        <w:spacing w:after="0" w:line="312" w:lineRule="auto"/>
        <w:ind w:left="721" w:right="-7"/>
      </w:pPr>
      <w:r w:rsidRPr="00846A52">
        <w:rPr>
          <w:b/>
        </w:rPr>
        <w:t xml:space="preserve"> </w:t>
      </w:r>
    </w:p>
    <w:bookmarkEnd w:id="3"/>
    <w:p w14:paraId="2284D20F" w14:textId="365EC7B6" w:rsidR="00B00C3F" w:rsidRPr="00846A52" w:rsidRDefault="00B00C3F" w:rsidP="00846A52">
      <w:pPr>
        <w:pStyle w:val="Sinespaciado"/>
        <w:spacing w:line="312" w:lineRule="auto"/>
        <w:jc w:val="both"/>
        <w:rPr>
          <w:rFonts w:ascii="Arial" w:eastAsia="Arial" w:hAnsi="Arial" w:cs="Arial"/>
          <w:color w:val="000000" w:themeColor="text1"/>
        </w:rPr>
      </w:pPr>
      <w:r w:rsidRPr="00846A52">
        <w:rPr>
          <w:rFonts w:ascii="Arial" w:eastAsia="Arial" w:hAnsi="Arial" w:cs="Arial"/>
          <w:color w:val="000000" w:themeColor="text1"/>
        </w:rPr>
        <w:lastRenderedPageBreak/>
        <w:t xml:space="preserve">De acuerdo a lo señalado en el auto de </w:t>
      </w:r>
      <w:r w:rsidR="00F03A4D" w:rsidRPr="00846A52">
        <w:rPr>
          <w:rFonts w:ascii="Arial" w:eastAsia="Arial" w:hAnsi="Arial" w:cs="Arial"/>
          <w:color w:val="000000" w:themeColor="text1"/>
        </w:rPr>
        <w:t>apertura</w:t>
      </w:r>
      <w:r w:rsidRPr="00846A52">
        <w:rPr>
          <w:rFonts w:ascii="Arial" w:eastAsia="Arial" w:hAnsi="Arial" w:cs="Arial"/>
          <w:color w:val="000000" w:themeColor="text1"/>
        </w:rPr>
        <w:t xml:space="preserve">, el aspecto central de la investigación radica en una simple afirmación carente de fundamento, sin tan siquiera el ente de control realizar un análisis profundo frente a los supuestos hechos y condutas que generaron la presente investigación y que concluyeron en la existencia de un aparente detrimento patrimonial. En el acápite de </w:t>
      </w:r>
      <w:r w:rsidR="00A824E8" w:rsidRPr="00846A52">
        <w:rPr>
          <w:rFonts w:ascii="Arial" w:eastAsia="Arial" w:hAnsi="Arial" w:cs="Arial"/>
          <w:color w:val="000000" w:themeColor="text1"/>
        </w:rPr>
        <w:t xml:space="preserve">fundamentos de </w:t>
      </w:r>
      <w:r w:rsidRPr="00846A52">
        <w:rPr>
          <w:rFonts w:ascii="Arial" w:eastAsia="Arial" w:hAnsi="Arial" w:cs="Arial"/>
          <w:color w:val="000000" w:themeColor="text1"/>
        </w:rPr>
        <w:t xml:space="preserve">hechos del mencionado auto </w:t>
      </w:r>
      <w:r w:rsidR="00F03A4D" w:rsidRPr="00846A52">
        <w:rPr>
          <w:rFonts w:ascii="Arial" w:eastAsia="Arial" w:hAnsi="Arial" w:cs="Arial"/>
          <w:color w:val="000000" w:themeColor="text1"/>
        </w:rPr>
        <w:t>de apertura</w:t>
      </w:r>
      <w:r w:rsidRPr="00846A52">
        <w:rPr>
          <w:rFonts w:ascii="Arial" w:eastAsia="Arial" w:hAnsi="Arial" w:cs="Arial"/>
          <w:color w:val="000000" w:themeColor="text1"/>
        </w:rPr>
        <w:t xml:space="preserve">, </w:t>
      </w:r>
      <w:r w:rsidR="00A824E8" w:rsidRPr="00846A52">
        <w:rPr>
          <w:rFonts w:ascii="Arial" w:eastAsia="Arial" w:hAnsi="Arial" w:cs="Arial"/>
          <w:color w:val="000000" w:themeColor="text1"/>
        </w:rPr>
        <w:t xml:space="preserve">se </w:t>
      </w:r>
      <w:r w:rsidR="008035B1" w:rsidRPr="00846A52">
        <w:rPr>
          <w:rFonts w:ascii="Arial" w:eastAsia="Arial" w:hAnsi="Arial" w:cs="Arial"/>
          <w:color w:val="000000" w:themeColor="text1"/>
        </w:rPr>
        <w:t xml:space="preserve">indica que </w:t>
      </w:r>
      <w:r w:rsidR="0070545A" w:rsidRPr="00846A52">
        <w:rPr>
          <w:rFonts w:ascii="Arial" w:eastAsia="Arial" w:hAnsi="Arial" w:cs="Arial"/>
          <w:color w:val="000000" w:themeColor="text1"/>
        </w:rPr>
        <w:t>existe una</w:t>
      </w:r>
      <w:r w:rsidR="00A7655F" w:rsidRPr="00846A52">
        <w:rPr>
          <w:rFonts w:ascii="Arial" w:eastAsia="Arial" w:hAnsi="Arial" w:cs="Arial"/>
          <w:color w:val="000000" w:themeColor="text1"/>
        </w:rPr>
        <w:t xml:space="preserve"> supuesta falta de seguimiento y control por parte de la Secretaría del Deporte y la Recreación </w:t>
      </w:r>
      <w:r w:rsidR="006523DD" w:rsidRPr="00846A52">
        <w:rPr>
          <w:rFonts w:ascii="Arial" w:eastAsia="Arial" w:hAnsi="Arial" w:cs="Arial"/>
          <w:color w:val="000000" w:themeColor="text1"/>
        </w:rPr>
        <w:t xml:space="preserve">al contrato de obra No. 4161.010.26.1.4017-2022, sin tan siquiera evaluar las actas de entrega a satisfacción </w:t>
      </w:r>
      <w:r w:rsidR="003A253F" w:rsidRPr="00846A52">
        <w:rPr>
          <w:rFonts w:ascii="Arial" w:eastAsia="Arial" w:hAnsi="Arial" w:cs="Arial"/>
          <w:color w:val="000000" w:themeColor="text1"/>
        </w:rPr>
        <w:t xml:space="preserve">y las condiciones </w:t>
      </w:r>
      <w:r w:rsidR="00C64F7A" w:rsidRPr="00846A52">
        <w:rPr>
          <w:rFonts w:ascii="Arial" w:eastAsia="Arial" w:hAnsi="Arial" w:cs="Arial"/>
          <w:color w:val="000000" w:themeColor="text1"/>
        </w:rPr>
        <w:t>bajo</w:t>
      </w:r>
      <w:r w:rsidR="003A253F" w:rsidRPr="00846A52">
        <w:rPr>
          <w:rFonts w:ascii="Arial" w:eastAsia="Arial" w:hAnsi="Arial" w:cs="Arial"/>
          <w:color w:val="000000" w:themeColor="text1"/>
        </w:rPr>
        <w:t xml:space="preserve"> las cuales se ejecutó el negocio </w:t>
      </w:r>
      <w:r w:rsidR="00C64F7A" w:rsidRPr="00846A52">
        <w:rPr>
          <w:rFonts w:ascii="Arial" w:eastAsia="Arial" w:hAnsi="Arial" w:cs="Arial"/>
          <w:color w:val="000000" w:themeColor="text1"/>
        </w:rPr>
        <w:t>contractual</w:t>
      </w:r>
      <w:r w:rsidR="003A253F" w:rsidRPr="00846A52">
        <w:rPr>
          <w:rFonts w:ascii="Arial" w:eastAsia="Arial" w:hAnsi="Arial" w:cs="Arial"/>
          <w:color w:val="000000" w:themeColor="text1"/>
        </w:rPr>
        <w:t xml:space="preserve">. Pues no puede el ente de control </w:t>
      </w:r>
      <w:r w:rsidR="006B52EC" w:rsidRPr="00846A52">
        <w:rPr>
          <w:rFonts w:ascii="Arial" w:eastAsia="Arial" w:hAnsi="Arial" w:cs="Arial"/>
          <w:color w:val="000000" w:themeColor="text1"/>
        </w:rPr>
        <w:t>de manera anticipada determinar que hay un hecho, cuando no conoce los pormenores del contrato.</w:t>
      </w:r>
      <w:r w:rsidR="00B560E9" w:rsidRPr="00846A52">
        <w:rPr>
          <w:rFonts w:ascii="Arial" w:eastAsia="Arial" w:hAnsi="Arial" w:cs="Arial"/>
          <w:color w:val="000000" w:themeColor="text1"/>
        </w:rPr>
        <w:t xml:space="preserve"> D</w:t>
      </w:r>
      <w:r w:rsidR="006B52EC" w:rsidRPr="00846A52">
        <w:rPr>
          <w:rFonts w:ascii="Arial" w:eastAsia="Arial" w:hAnsi="Arial" w:cs="Arial"/>
          <w:color w:val="000000" w:themeColor="text1"/>
        </w:rPr>
        <w:t xml:space="preserve">ebe recordarse que la </w:t>
      </w:r>
      <w:r w:rsidR="00B560E9" w:rsidRPr="00846A52">
        <w:rPr>
          <w:rFonts w:ascii="Arial" w:eastAsia="Arial" w:hAnsi="Arial" w:cs="Arial"/>
          <w:color w:val="000000" w:themeColor="text1"/>
        </w:rPr>
        <w:t>durabilidad</w:t>
      </w:r>
      <w:r w:rsidR="006B52EC" w:rsidRPr="00846A52">
        <w:rPr>
          <w:rFonts w:ascii="Arial" w:eastAsia="Arial" w:hAnsi="Arial" w:cs="Arial"/>
          <w:color w:val="000000" w:themeColor="text1"/>
        </w:rPr>
        <w:t xml:space="preserve"> de </w:t>
      </w:r>
      <w:r w:rsidR="00B560E9" w:rsidRPr="00846A52">
        <w:rPr>
          <w:rFonts w:ascii="Arial" w:eastAsia="Arial" w:hAnsi="Arial" w:cs="Arial"/>
          <w:color w:val="000000" w:themeColor="text1"/>
        </w:rPr>
        <w:t>las o</w:t>
      </w:r>
      <w:r w:rsidR="006B52EC" w:rsidRPr="00846A52">
        <w:rPr>
          <w:rFonts w:ascii="Arial" w:eastAsia="Arial" w:hAnsi="Arial" w:cs="Arial"/>
          <w:color w:val="000000" w:themeColor="text1"/>
        </w:rPr>
        <w:t>bras</w:t>
      </w:r>
      <w:r w:rsidR="00951B23" w:rsidRPr="00846A52">
        <w:rPr>
          <w:rFonts w:ascii="Arial" w:eastAsia="Arial" w:hAnsi="Arial" w:cs="Arial"/>
          <w:color w:val="000000" w:themeColor="text1"/>
        </w:rPr>
        <w:t xml:space="preserve"> se ven afectadas en su gran proporción por fenómenos naturales al estar expuesto al sol y al agua, por lo que su aparente deterioro puede verse comprometido por tales circunstancias. </w:t>
      </w:r>
      <w:r w:rsidR="00444044" w:rsidRPr="00846A52">
        <w:rPr>
          <w:rFonts w:ascii="Arial" w:eastAsia="Arial" w:hAnsi="Arial" w:cs="Arial"/>
          <w:color w:val="000000" w:themeColor="text1"/>
        </w:rPr>
        <w:t>Máxime cuando el contrato de obra fu</w:t>
      </w:r>
      <w:r w:rsidR="00FC20C2">
        <w:rPr>
          <w:rFonts w:ascii="Arial" w:eastAsia="Arial" w:hAnsi="Arial" w:cs="Arial"/>
          <w:color w:val="000000" w:themeColor="text1"/>
        </w:rPr>
        <w:t>e para “fortalecimiento” y no</w:t>
      </w:r>
      <w:r w:rsidR="00444044" w:rsidRPr="00846A52">
        <w:rPr>
          <w:rFonts w:ascii="Arial" w:eastAsia="Arial" w:hAnsi="Arial" w:cs="Arial"/>
          <w:color w:val="000000" w:themeColor="text1"/>
        </w:rPr>
        <w:t xml:space="preserve"> construcciones nuevas que tienen mas durabilidad en el tiempo. Es decir, que </w:t>
      </w:r>
      <w:r w:rsidR="0046539E" w:rsidRPr="00846A52">
        <w:rPr>
          <w:rFonts w:ascii="Arial" w:eastAsia="Arial" w:hAnsi="Arial" w:cs="Arial"/>
          <w:color w:val="000000" w:themeColor="text1"/>
        </w:rPr>
        <w:t>no</w:t>
      </w:r>
      <w:r w:rsidR="00444044" w:rsidRPr="00846A52">
        <w:rPr>
          <w:rFonts w:ascii="Arial" w:eastAsia="Arial" w:hAnsi="Arial" w:cs="Arial"/>
          <w:color w:val="000000" w:themeColor="text1"/>
        </w:rPr>
        <w:t xml:space="preserve"> existe un hecho generador del daño en cabeza del Distrito, pues </w:t>
      </w:r>
      <w:r w:rsidR="008C0EBC" w:rsidRPr="00846A52">
        <w:rPr>
          <w:rFonts w:ascii="Arial" w:eastAsia="Arial" w:hAnsi="Arial" w:cs="Arial"/>
          <w:color w:val="000000" w:themeColor="text1"/>
        </w:rPr>
        <w:t xml:space="preserve">las supuestas afectaciones que aquí se reclaman recaen única y exclusivamente en cabeza del contratista de la obra que es quien garantiza por un </w:t>
      </w:r>
      <w:r w:rsidR="002651C9" w:rsidRPr="00846A52">
        <w:rPr>
          <w:rFonts w:ascii="Arial" w:eastAsia="Arial" w:hAnsi="Arial" w:cs="Arial"/>
          <w:color w:val="000000" w:themeColor="text1"/>
        </w:rPr>
        <w:t>lapso</w:t>
      </w:r>
      <w:r w:rsidR="00FC20C2">
        <w:rPr>
          <w:rFonts w:ascii="Arial" w:eastAsia="Arial" w:hAnsi="Arial" w:cs="Arial"/>
          <w:color w:val="000000" w:themeColor="text1"/>
        </w:rPr>
        <w:t xml:space="preserve"> la estabilidad de las mismas</w:t>
      </w:r>
      <w:r w:rsidR="008C0EBC" w:rsidRPr="00846A52">
        <w:rPr>
          <w:rFonts w:ascii="Arial" w:eastAsia="Arial" w:hAnsi="Arial" w:cs="Arial"/>
          <w:color w:val="000000" w:themeColor="text1"/>
        </w:rPr>
        <w:t xml:space="preserve"> ya sean de repechaje o construcciones nuevas. Po</w:t>
      </w:r>
      <w:r w:rsidRPr="00846A52">
        <w:rPr>
          <w:rFonts w:ascii="Arial" w:eastAsia="Arial" w:hAnsi="Arial" w:cs="Arial"/>
          <w:color w:val="000000" w:themeColor="text1"/>
        </w:rPr>
        <w:t xml:space="preserve">r lo tanto, ante la falta de existencia de </w:t>
      </w:r>
      <w:r w:rsidR="00EF67A3" w:rsidRPr="00846A52">
        <w:rPr>
          <w:rFonts w:ascii="Arial" w:eastAsia="Arial" w:hAnsi="Arial" w:cs="Arial"/>
          <w:color w:val="000000" w:themeColor="text1"/>
        </w:rPr>
        <w:t>un hecho</w:t>
      </w:r>
      <w:r w:rsidRPr="00846A52">
        <w:rPr>
          <w:rFonts w:ascii="Arial" w:eastAsia="Arial" w:hAnsi="Arial" w:cs="Arial"/>
          <w:color w:val="000000" w:themeColor="text1"/>
        </w:rPr>
        <w:t xml:space="preserve"> que represente la </w:t>
      </w:r>
      <w:r w:rsidRPr="00846A52">
        <w:rPr>
          <w:rFonts w:ascii="Arial" w:eastAsia="Arial" w:hAnsi="Arial" w:cs="Arial"/>
          <w:b/>
          <w:bCs/>
          <w:color w:val="000000" w:themeColor="text1"/>
        </w:rPr>
        <w:t xml:space="preserve">materialización del daño, </w:t>
      </w:r>
      <w:r w:rsidRPr="00846A52">
        <w:rPr>
          <w:rFonts w:ascii="Arial" w:eastAsia="Arial" w:hAnsi="Arial" w:cs="Arial"/>
          <w:color w:val="000000" w:themeColor="text1"/>
        </w:rPr>
        <w:t xml:space="preserve">el ente de control no tiene otra opción más que archivar el presente caso.  </w:t>
      </w:r>
    </w:p>
    <w:p w14:paraId="5C7B3E59" w14:textId="77777777" w:rsidR="00B00C3F" w:rsidRPr="00846A52" w:rsidRDefault="00B00C3F" w:rsidP="00846A52">
      <w:pPr>
        <w:pStyle w:val="Sinespaciado"/>
        <w:spacing w:line="312" w:lineRule="auto"/>
        <w:jc w:val="both"/>
        <w:rPr>
          <w:rFonts w:ascii="Arial" w:eastAsia="Arial" w:hAnsi="Arial" w:cs="Arial"/>
          <w:color w:val="000000" w:themeColor="text1"/>
        </w:rPr>
      </w:pPr>
    </w:p>
    <w:p w14:paraId="7F13BF4F" w14:textId="779B31C0" w:rsidR="00B00C3F" w:rsidRPr="00846A52" w:rsidRDefault="00B00C3F" w:rsidP="00846A52">
      <w:pPr>
        <w:pStyle w:val="Sinespaciado"/>
        <w:spacing w:line="312" w:lineRule="auto"/>
        <w:jc w:val="both"/>
        <w:rPr>
          <w:rFonts w:ascii="Arial" w:eastAsia="Arial" w:hAnsi="Arial" w:cs="Arial"/>
          <w:color w:val="000000" w:themeColor="text1"/>
        </w:rPr>
      </w:pPr>
      <w:r w:rsidRPr="00846A52">
        <w:rPr>
          <w:rFonts w:ascii="Arial" w:eastAsia="Arial" w:hAnsi="Arial" w:cs="Arial"/>
          <w:color w:val="000000" w:themeColor="text1"/>
        </w:rPr>
        <w:t>La Ley 610 de 2000 reguló lo atinente a</w:t>
      </w:r>
      <w:r w:rsidR="00626B54" w:rsidRPr="00846A52">
        <w:rPr>
          <w:rFonts w:ascii="Arial" w:eastAsia="Arial" w:hAnsi="Arial" w:cs="Arial"/>
          <w:color w:val="000000" w:themeColor="text1"/>
        </w:rPr>
        <w:t>l daño, en su artículo 6º indica</w:t>
      </w:r>
      <w:r w:rsidRPr="00846A52">
        <w:rPr>
          <w:rFonts w:ascii="Arial" w:eastAsia="Arial" w:hAnsi="Arial" w:cs="Arial"/>
          <w:color w:val="000000" w:themeColor="text1"/>
        </w:rPr>
        <w:t xml:space="preserve"> lo siguiente: </w:t>
      </w:r>
    </w:p>
    <w:p w14:paraId="339F37E1" w14:textId="77777777" w:rsidR="00B00C3F" w:rsidRPr="00846A52" w:rsidRDefault="00B00C3F" w:rsidP="00846A52">
      <w:pPr>
        <w:pStyle w:val="Sinespaciado"/>
        <w:spacing w:line="312" w:lineRule="auto"/>
        <w:jc w:val="both"/>
        <w:rPr>
          <w:rFonts w:ascii="Arial" w:eastAsia="Arial" w:hAnsi="Arial" w:cs="Arial"/>
          <w:color w:val="000000" w:themeColor="text1"/>
        </w:rPr>
      </w:pPr>
    </w:p>
    <w:p w14:paraId="7E2F8814" w14:textId="77777777" w:rsidR="00B00C3F" w:rsidRPr="00846A52" w:rsidRDefault="00B00C3F" w:rsidP="00846A52">
      <w:pPr>
        <w:pStyle w:val="Sinespaciado"/>
        <w:ind w:left="851" w:right="843"/>
        <w:jc w:val="both"/>
        <w:rPr>
          <w:rFonts w:ascii="Arial" w:eastAsia="Arial" w:hAnsi="Arial" w:cs="Arial"/>
          <w:i/>
          <w:iCs/>
          <w:color w:val="000000" w:themeColor="text1"/>
          <w:sz w:val="20"/>
          <w:szCs w:val="20"/>
        </w:rPr>
      </w:pPr>
      <w:r w:rsidRPr="00846A52">
        <w:rPr>
          <w:rFonts w:ascii="Arial" w:eastAsia="Arial" w:hAnsi="Arial" w:cs="Arial"/>
          <w:b/>
          <w:bCs/>
          <w:color w:val="000000" w:themeColor="text1"/>
          <w:sz w:val="20"/>
          <w:szCs w:val="20"/>
        </w:rPr>
        <w:t>“ARTICULO 6o. DAÑO PATRIMONIAL AL ESTADO</w:t>
      </w:r>
      <w:r w:rsidRPr="00846A52">
        <w:rPr>
          <w:rFonts w:ascii="Arial" w:eastAsia="Arial" w:hAnsi="Arial" w:cs="Arial"/>
          <w:color w:val="000000" w:themeColor="text1"/>
          <w:sz w:val="20"/>
          <w:szCs w:val="20"/>
        </w:rPr>
        <w:t xml:space="preserve">. Para efectos de esta ley se entiende </w:t>
      </w:r>
      <w:r w:rsidRPr="00846A52">
        <w:rPr>
          <w:rFonts w:ascii="Arial" w:eastAsia="Arial" w:hAnsi="Arial" w:cs="Arial"/>
          <w:b/>
          <w:bCs/>
          <w:color w:val="000000" w:themeColor="text1"/>
          <w:sz w:val="20"/>
          <w:szCs w:val="20"/>
          <w:u w:val="single"/>
        </w:rPr>
        <w:t>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846A52">
        <w:rPr>
          <w:rFonts w:ascii="Arial" w:eastAsia="Arial" w:hAnsi="Arial" w:cs="Arial"/>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del mismo”. </w:t>
      </w:r>
      <w:r w:rsidRPr="00846A52">
        <w:rPr>
          <w:rFonts w:ascii="Arial" w:eastAsia="Arial" w:hAnsi="Arial" w:cs="Arial"/>
          <w:b/>
          <w:bCs/>
          <w:color w:val="000000" w:themeColor="text1"/>
          <w:sz w:val="20"/>
          <w:szCs w:val="20"/>
          <w:u w:val="single"/>
        </w:rPr>
        <w:t>(negrilla y subrayada por fuera del texto original</w:t>
      </w:r>
      <w:r w:rsidRPr="00846A52">
        <w:rPr>
          <w:rFonts w:ascii="Arial" w:eastAsia="Arial" w:hAnsi="Arial" w:cs="Arial"/>
          <w:b/>
          <w:bCs/>
          <w:i/>
          <w:iCs/>
          <w:color w:val="000000" w:themeColor="text1"/>
          <w:sz w:val="20"/>
          <w:szCs w:val="20"/>
          <w:u w:val="single"/>
        </w:rPr>
        <w:t>)</w:t>
      </w:r>
    </w:p>
    <w:p w14:paraId="00846334" w14:textId="77777777" w:rsidR="00B00C3F" w:rsidRPr="00846A52" w:rsidRDefault="00B00C3F" w:rsidP="00846A52">
      <w:pPr>
        <w:pStyle w:val="Sinespaciado"/>
        <w:spacing w:line="312" w:lineRule="auto"/>
        <w:jc w:val="both"/>
        <w:rPr>
          <w:rFonts w:ascii="Arial" w:eastAsia="Arial" w:hAnsi="Arial" w:cs="Arial"/>
          <w:color w:val="000000" w:themeColor="text1"/>
        </w:rPr>
      </w:pPr>
    </w:p>
    <w:p w14:paraId="71DE5FC9" w14:textId="77777777" w:rsidR="00B00C3F" w:rsidRPr="00846A52" w:rsidRDefault="00B00C3F" w:rsidP="00846A52">
      <w:pPr>
        <w:pStyle w:val="Sinespaciado"/>
        <w:spacing w:line="312" w:lineRule="auto"/>
        <w:jc w:val="both"/>
        <w:rPr>
          <w:rFonts w:ascii="Arial" w:eastAsia="Arial" w:hAnsi="Arial" w:cs="Arial"/>
          <w:color w:val="000000" w:themeColor="text1"/>
        </w:rPr>
      </w:pPr>
      <w:r w:rsidRPr="00846A52">
        <w:rPr>
          <w:rFonts w:ascii="Arial" w:eastAsia="Arial" w:hAnsi="Arial" w:cs="Arial"/>
          <w:color w:val="000000" w:themeColor="text1"/>
        </w:rPr>
        <w:t>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w:t>
      </w:r>
    </w:p>
    <w:p w14:paraId="7B0D8E10" w14:textId="77777777" w:rsidR="00B00C3F" w:rsidRPr="00846A52" w:rsidRDefault="00B00C3F" w:rsidP="00846A52">
      <w:pPr>
        <w:pStyle w:val="Sinespaciado"/>
        <w:spacing w:line="312" w:lineRule="auto"/>
        <w:jc w:val="both"/>
        <w:rPr>
          <w:rFonts w:ascii="Arial" w:eastAsia="Arial" w:hAnsi="Arial" w:cs="Arial"/>
          <w:color w:val="000000" w:themeColor="text1"/>
        </w:rPr>
      </w:pPr>
    </w:p>
    <w:p w14:paraId="521004B5" w14:textId="77777777" w:rsidR="00B00C3F" w:rsidRPr="00846A52" w:rsidRDefault="00B00C3F" w:rsidP="00846A52">
      <w:pPr>
        <w:pStyle w:val="Sinespaciado"/>
        <w:spacing w:line="312" w:lineRule="auto"/>
        <w:jc w:val="both"/>
        <w:rPr>
          <w:rFonts w:ascii="Arial" w:eastAsia="Arial" w:hAnsi="Arial" w:cs="Arial"/>
          <w:color w:val="000000" w:themeColor="text1"/>
        </w:rPr>
      </w:pPr>
      <w:r w:rsidRPr="00846A52">
        <w:rPr>
          <w:rFonts w:ascii="Arial" w:eastAsia="Arial" w:hAnsi="Arial" w:cs="Arial"/>
          <w:color w:val="000000" w:themeColor="text1"/>
        </w:rPr>
        <w:t>Así mismo, en Sentencia</w:t>
      </w:r>
      <w:r w:rsidRPr="00846A52">
        <w:rPr>
          <w:rStyle w:val="Refdenotaalpie"/>
          <w:rFonts w:ascii="Arial" w:hAnsi="Arial" w:cs="Arial"/>
          <w:color w:val="000000" w:themeColor="text1"/>
        </w:rPr>
        <w:footnoteReference w:id="1"/>
      </w:r>
      <w:r w:rsidRPr="00846A52">
        <w:rPr>
          <w:rFonts w:ascii="Arial" w:eastAsia="Arial" w:hAnsi="Arial" w:cs="Arial"/>
          <w:color w:val="000000" w:themeColor="text1"/>
        </w:rPr>
        <w:t xml:space="preserve"> del Consejo de Estado se señaló que:</w:t>
      </w:r>
    </w:p>
    <w:p w14:paraId="4B916833" w14:textId="77777777" w:rsidR="00B00C3F" w:rsidRPr="00846A52" w:rsidRDefault="00B00C3F" w:rsidP="00846A52">
      <w:pPr>
        <w:pStyle w:val="Sinespaciado"/>
        <w:spacing w:line="312" w:lineRule="auto"/>
        <w:jc w:val="both"/>
        <w:rPr>
          <w:rFonts w:ascii="Arial" w:eastAsia="Arial" w:hAnsi="Arial" w:cs="Arial"/>
          <w:color w:val="000000" w:themeColor="text1"/>
        </w:rPr>
      </w:pPr>
    </w:p>
    <w:p w14:paraId="24573B34" w14:textId="77777777" w:rsidR="00B00C3F" w:rsidRPr="00846A52" w:rsidRDefault="00B00C3F" w:rsidP="00846A52">
      <w:pPr>
        <w:pStyle w:val="Sinespaciado"/>
        <w:spacing w:line="276" w:lineRule="auto"/>
        <w:ind w:left="851" w:right="1127"/>
        <w:jc w:val="both"/>
        <w:rPr>
          <w:rFonts w:ascii="Arial" w:eastAsia="Arial" w:hAnsi="Arial" w:cs="Arial"/>
          <w:color w:val="000000" w:themeColor="text1"/>
          <w:sz w:val="20"/>
          <w:szCs w:val="20"/>
        </w:rPr>
      </w:pPr>
      <w:r w:rsidRPr="00846A52">
        <w:rPr>
          <w:rFonts w:ascii="Arial" w:hAnsi="Arial" w:cs="Arial"/>
          <w:sz w:val="20"/>
          <w:szCs w:val="20"/>
        </w:rPr>
        <w:t xml:space="preserve">(…) La responsabilidad fiscal es una responsabilidad autónoma y por tanto, distinta de la responsabilidad penal y de la disciplinaria. (…) </w:t>
      </w:r>
      <w:r w:rsidRPr="00846A52">
        <w:rPr>
          <w:rFonts w:ascii="Arial" w:hAnsi="Arial" w:cs="Arial"/>
          <w:b/>
          <w:bCs/>
          <w:sz w:val="20"/>
          <w:szCs w:val="20"/>
          <w:u w:val="single"/>
        </w:rPr>
        <w:t xml:space="preserve">Es importante destacar que el objeto de la responsabilidad fiscal es lograr el resarcimiento pleno de los daños </w:t>
      </w:r>
      <w:r w:rsidRPr="00846A52">
        <w:rPr>
          <w:rFonts w:ascii="Arial" w:hAnsi="Arial" w:cs="Arial"/>
          <w:b/>
          <w:bCs/>
          <w:sz w:val="20"/>
          <w:szCs w:val="20"/>
          <w:u w:val="single"/>
        </w:rPr>
        <w:lastRenderedPageBreak/>
        <w:t xml:space="preserve">ocasionados al patrimonio público por la conducta dolosa o gravemente culposa de los servidores públicos que desarrollan gestión fiscal o de servidores públicos o particulares que participan en la causación de tales daños. </w:t>
      </w:r>
      <w:r w:rsidRPr="00846A52">
        <w:rPr>
          <w:rFonts w:ascii="Arial" w:hAnsi="Arial" w:cs="Arial"/>
          <w:sz w:val="20"/>
          <w:szCs w:val="20"/>
        </w:rPr>
        <w:t xml:space="preserve">(…) </w:t>
      </w:r>
      <w:r w:rsidRPr="00846A52">
        <w:rPr>
          <w:rFonts w:ascii="Arial" w:eastAsia="Arial" w:hAnsi="Arial" w:cs="Arial"/>
          <w:b/>
          <w:bCs/>
          <w:color w:val="000000" w:themeColor="text1"/>
          <w:sz w:val="20"/>
          <w:szCs w:val="20"/>
          <w:u w:val="single"/>
        </w:rPr>
        <w:t>(negrilla y subrayada por fuera del texto original)</w:t>
      </w:r>
    </w:p>
    <w:p w14:paraId="41870917" w14:textId="77777777" w:rsidR="00B00C3F" w:rsidRPr="00846A52" w:rsidRDefault="00B00C3F" w:rsidP="00846A52">
      <w:pPr>
        <w:pStyle w:val="Sinespaciado"/>
        <w:spacing w:line="312" w:lineRule="auto"/>
        <w:jc w:val="both"/>
        <w:rPr>
          <w:rFonts w:ascii="Arial" w:eastAsia="Arial" w:hAnsi="Arial" w:cs="Arial"/>
          <w:color w:val="000000" w:themeColor="text1"/>
        </w:rPr>
      </w:pPr>
    </w:p>
    <w:p w14:paraId="5BBBDA79" w14:textId="6D205A78" w:rsidR="007F4B98" w:rsidRPr="00846A52" w:rsidRDefault="00B00C3F" w:rsidP="00846A52">
      <w:pPr>
        <w:pStyle w:val="Sinespaciado"/>
        <w:spacing w:line="312" w:lineRule="auto"/>
        <w:jc w:val="both"/>
        <w:rPr>
          <w:rFonts w:ascii="Arial" w:eastAsia="Arial" w:hAnsi="Arial" w:cs="Arial"/>
          <w:color w:val="000000" w:themeColor="text1"/>
        </w:rPr>
      </w:pPr>
      <w:r w:rsidRPr="00846A52">
        <w:rPr>
          <w:rFonts w:ascii="Arial" w:eastAsia="Arial" w:hAnsi="Arial" w:cs="Arial"/>
          <w:color w:val="000000" w:themeColor="text1"/>
        </w:rPr>
        <w:t>Dicho daño podrá ocasionarse por acción u omisión de los servidores públicos o por la persona natural o jurídica de derecho pri</w:t>
      </w:r>
      <w:r w:rsidR="00626B54" w:rsidRPr="00846A52">
        <w:rPr>
          <w:rFonts w:ascii="Arial" w:eastAsia="Arial" w:hAnsi="Arial" w:cs="Arial"/>
          <w:color w:val="000000" w:themeColor="text1"/>
        </w:rPr>
        <w:t>vado que realice gestión fiscal y</w:t>
      </w:r>
      <w:r w:rsidRPr="00846A52">
        <w:rPr>
          <w:rFonts w:ascii="Arial" w:eastAsia="Arial" w:hAnsi="Arial" w:cs="Arial"/>
          <w:color w:val="000000" w:themeColor="text1"/>
        </w:rPr>
        <w:t xml:space="preserve"> que en forma dolosa o gravemente culposa produzcan directamente o contribuyan al detrimento al patrimonio público. Situación que no ha ocurrido en el caso en concreto, pues </w:t>
      </w:r>
      <w:r w:rsidR="009D5999" w:rsidRPr="00846A52">
        <w:rPr>
          <w:rFonts w:ascii="Arial" w:eastAsia="Arial" w:hAnsi="Arial" w:cs="Arial"/>
          <w:color w:val="000000" w:themeColor="text1"/>
        </w:rPr>
        <w:t xml:space="preserve">no existe una actuación desplegada por el servidor público aquí vinculado que se constituya en un hecho generador del daño. Pues </w:t>
      </w:r>
      <w:r w:rsidR="00D05E1A" w:rsidRPr="00846A52">
        <w:rPr>
          <w:rFonts w:ascii="Arial" w:eastAsia="Arial" w:hAnsi="Arial" w:cs="Arial"/>
          <w:color w:val="000000" w:themeColor="text1"/>
        </w:rPr>
        <w:t xml:space="preserve">las garantías de funcionamiento se encuentran a cargo de los contratistas y no puede </w:t>
      </w:r>
      <w:r w:rsidR="00731013" w:rsidRPr="00846A52">
        <w:rPr>
          <w:rFonts w:ascii="Arial" w:eastAsia="Arial" w:hAnsi="Arial" w:cs="Arial"/>
          <w:color w:val="000000" w:themeColor="text1"/>
        </w:rPr>
        <w:t>trasladarse</w:t>
      </w:r>
      <w:r w:rsidR="00D05E1A" w:rsidRPr="00846A52">
        <w:rPr>
          <w:rFonts w:ascii="Arial" w:eastAsia="Arial" w:hAnsi="Arial" w:cs="Arial"/>
          <w:color w:val="000000" w:themeColor="text1"/>
        </w:rPr>
        <w:t xml:space="preserve"> dicha carga a la administración, cuando </w:t>
      </w:r>
      <w:r w:rsidR="00731013" w:rsidRPr="00846A52">
        <w:rPr>
          <w:rFonts w:ascii="Arial" w:eastAsia="Arial" w:hAnsi="Arial" w:cs="Arial"/>
          <w:color w:val="000000" w:themeColor="text1"/>
        </w:rPr>
        <w:t>ésta en virtud del principio de buena fe recibe las obras</w:t>
      </w:r>
      <w:r w:rsidR="00461AC0" w:rsidRPr="00846A52">
        <w:rPr>
          <w:rFonts w:ascii="Arial" w:eastAsia="Arial" w:hAnsi="Arial" w:cs="Arial"/>
          <w:color w:val="000000" w:themeColor="text1"/>
        </w:rPr>
        <w:t xml:space="preserve"> confiando en que los materiales sean de buena calidad. Ahora bien, </w:t>
      </w:r>
      <w:r w:rsidR="007F4B98" w:rsidRPr="00846A52">
        <w:rPr>
          <w:rFonts w:ascii="Arial" w:eastAsia="Arial" w:hAnsi="Arial" w:cs="Arial"/>
          <w:color w:val="000000" w:themeColor="text1"/>
        </w:rPr>
        <w:t xml:space="preserve">en el auto de apertura </w:t>
      </w:r>
      <w:r w:rsidR="00B91A48" w:rsidRPr="00846A52">
        <w:rPr>
          <w:rFonts w:ascii="Arial" w:eastAsia="Arial" w:hAnsi="Arial" w:cs="Arial"/>
          <w:color w:val="000000" w:themeColor="text1"/>
        </w:rPr>
        <w:t xml:space="preserve">el ente de control no argumenta con fundamentos facticos ni jurídicos el porque desestima los argumentos presentados por los presuntos responsables contra el hallazgo y decide </w:t>
      </w:r>
      <w:proofErr w:type="spellStart"/>
      <w:r w:rsidR="00B91A48" w:rsidRPr="00846A52">
        <w:rPr>
          <w:rFonts w:ascii="Arial" w:eastAsia="Arial" w:hAnsi="Arial" w:cs="Arial"/>
          <w:color w:val="000000" w:themeColor="text1"/>
        </w:rPr>
        <w:t>apertura</w:t>
      </w:r>
      <w:r w:rsidR="00FC20C2">
        <w:rPr>
          <w:rFonts w:ascii="Arial" w:eastAsia="Arial" w:hAnsi="Arial" w:cs="Arial"/>
          <w:color w:val="000000" w:themeColor="text1"/>
        </w:rPr>
        <w:t>r</w:t>
      </w:r>
      <w:proofErr w:type="spellEnd"/>
      <w:r w:rsidR="00B91A48" w:rsidRPr="00846A52">
        <w:rPr>
          <w:rFonts w:ascii="Arial" w:eastAsia="Arial" w:hAnsi="Arial" w:cs="Arial"/>
          <w:color w:val="000000" w:themeColor="text1"/>
        </w:rPr>
        <w:t xml:space="preserve"> el proceso fiscal, es decir que no hace un análisis de la viabilidad o no de iniciar el presente asunto, lo que es totalmente contrario a los fines de la función pública y del Estado. </w:t>
      </w:r>
    </w:p>
    <w:p w14:paraId="6F0FAF63" w14:textId="77777777" w:rsidR="007F4B98" w:rsidRPr="00846A52" w:rsidRDefault="007F4B98" w:rsidP="00846A52">
      <w:pPr>
        <w:pStyle w:val="Sinespaciado"/>
        <w:spacing w:line="312" w:lineRule="auto"/>
        <w:jc w:val="both"/>
        <w:rPr>
          <w:rFonts w:ascii="Arial" w:eastAsia="Arial" w:hAnsi="Arial" w:cs="Arial"/>
          <w:color w:val="000000" w:themeColor="text1"/>
        </w:rPr>
      </w:pPr>
    </w:p>
    <w:p w14:paraId="283710D7" w14:textId="3F9A16EE" w:rsidR="00B00C3F" w:rsidRPr="00846A52" w:rsidRDefault="00883DBF" w:rsidP="00846A52">
      <w:pPr>
        <w:spacing w:after="0" w:line="312" w:lineRule="auto"/>
        <w:rPr>
          <w:b/>
          <w:bCs/>
        </w:rPr>
      </w:pPr>
      <w:r w:rsidRPr="00846A52">
        <w:rPr>
          <w:color w:val="000000" w:themeColor="text1"/>
        </w:rPr>
        <w:t xml:space="preserve">Por lo anterior, nótese que </w:t>
      </w:r>
      <w:r w:rsidR="00B91A48" w:rsidRPr="00846A52">
        <w:rPr>
          <w:color w:val="000000" w:themeColor="text1"/>
        </w:rPr>
        <w:t xml:space="preserve">al no existir argumentos validos y concretos por parte del ente de control </w:t>
      </w:r>
      <w:r w:rsidR="002A03D9" w:rsidRPr="00846A52">
        <w:rPr>
          <w:color w:val="000000" w:themeColor="text1"/>
        </w:rPr>
        <w:t>que tan siquiera hagan pensar en un hecho dañoso, deberá archivar la presente investigación. Pues en virtud de lo consagrado en el Código de Procedimiento Administrativo y lo Contencioso Administrativo, en línea con la Ley 610 de 2000, es ne</w:t>
      </w:r>
      <w:r w:rsidR="00FC20C2">
        <w:rPr>
          <w:color w:val="000000" w:themeColor="text1"/>
        </w:rPr>
        <w:t>cesario exponer con claridad cuá</w:t>
      </w:r>
      <w:r w:rsidR="002A03D9" w:rsidRPr="00846A52">
        <w:rPr>
          <w:color w:val="000000" w:themeColor="text1"/>
        </w:rPr>
        <w:t xml:space="preserve">les fueron los fundamentos para dar inicio a la presente investigación, por lo que no es suficiente únicamente mencionar </w:t>
      </w:r>
      <w:r w:rsidR="00AE5948" w:rsidRPr="00846A52">
        <w:rPr>
          <w:color w:val="000000" w:themeColor="text1"/>
        </w:rPr>
        <w:t>por encima los supuestos hechos, sin tan siquiera hacer una conexión entre los hechos, las conductas y</w:t>
      </w:r>
      <w:r w:rsidR="00FC20C2">
        <w:rPr>
          <w:color w:val="000000" w:themeColor="text1"/>
        </w:rPr>
        <w:t xml:space="preserve"> el</w:t>
      </w:r>
      <w:r w:rsidR="00AE5948" w:rsidRPr="00846A52">
        <w:rPr>
          <w:color w:val="000000" w:themeColor="text1"/>
        </w:rPr>
        <w:t xml:space="preserve"> detrimento patrimonial. </w:t>
      </w:r>
      <w:r w:rsidR="00E00F83" w:rsidRPr="00846A52">
        <w:rPr>
          <w:color w:val="000000" w:themeColor="text1"/>
        </w:rPr>
        <w:t>Así</w:t>
      </w:r>
      <w:r w:rsidR="00AE5948" w:rsidRPr="00846A52">
        <w:rPr>
          <w:color w:val="000000" w:themeColor="text1"/>
        </w:rPr>
        <w:t xml:space="preserve"> mismo, se evidencia que </w:t>
      </w:r>
      <w:r w:rsidR="00E00F83" w:rsidRPr="00846A52">
        <w:rPr>
          <w:color w:val="000000" w:themeColor="text1"/>
        </w:rPr>
        <w:t xml:space="preserve">los recursos </w:t>
      </w:r>
      <w:r w:rsidR="00387302" w:rsidRPr="00846A52">
        <w:rPr>
          <w:color w:val="000000" w:themeColor="text1"/>
        </w:rPr>
        <w:t>utilizados</w:t>
      </w:r>
      <w:r w:rsidR="00E00F83" w:rsidRPr="00846A52">
        <w:rPr>
          <w:color w:val="000000" w:themeColor="text1"/>
        </w:rPr>
        <w:t xml:space="preserve"> en la ejecución de</w:t>
      </w:r>
      <w:r w:rsidR="00693B9C" w:rsidRPr="006F22BE">
        <w:rPr>
          <w:bCs/>
          <w:color w:val="auto"/>
        </w:rPr>
        <w:t>l contrato de obra</w:t>
      </w:r>
      <w:r w:rsidR="00693B9C" w:rsidRPr="00846A52">
        <w:rPr>
          <w:bCs/>
          <w:color w:val="auto"/>
        </w:rPr>
        <w:t xml:space="preserve"> N°4162.010.26.1.4017-2022 finalmente satisfizo las necesidades de las comunidades beneficiarias</w:t>
      </w:r>
      <w:r w:rsidR="00757582" w:rsidRPr="00846A52">
        <w:rPr>
          <w:color w:val="000000" w:themeColor="text1"/>
        </w:rPr>
        <w:t xml:space="preserve">. </w:t>
      </w:r>
      <w:r w:rsidR="00344A5E" w:rsidRPr="00846A52">
        <w:rPr>
          <w:color w:val="000000" w:themeColor="text1"/>
        </w:rPr>
        <w:t xml:space="preserve">Por ello, esta investigación fiscal </w:t>
      </w:r>
      <w:r w:rsidR="00626B54" w:rsidRPr="00846A52">
        <w:rPr>
          <w:color w:val="000000" w:themeColor="text1"/>
        </w:rPr>
        <w:t>n</w:t>
      </w:r>
      <w:r w:rsidR="00344A5E" w:rsidRPr="00846A52">
        <w:rPr>
          <w:color w:val="000000" w:themeColor="text1"/>
        </w:rPr>
        <w:t>o tiene vocación de prosperidad ante la a</w:t>
      </w:r>
      <w:r w:rsidR="00626B54" w:rsidRPr="00846A52">
        <w:rPr>
          <w:color w:val="000000" w:themeColor="text1"/>
        </w:rPr>
        <w:t>usencia de un hecho generador</w:t>
      </w:r>
      <w:r w:rsidR="00344A5E" w:rsidRPr="00846A52">
        <w:rPr>
          <w:color w:val="000000" w:themeColor="text1"/>
        </w:rPr>
        <w:t xml:space="preserve"> que se constituya como</w:t>
      </w:r>
      <w:r w:rsidR="00626B54" w:rsidRPr="00846A52">
        <w:rPr>
          <w:color w:val="000000" w:themeColor="text1"/>
        </w:rPr>
        <w:t xml:space="preserve"> un</w:t>
      </w:r>
      <w:r w:rsidR="00344A5E" w:rsidRPr="00846A52">
        <w:rPr>
          <w:color w:val="000000" w:themeColor="text1"/>
        </w:rPr>
        <w:t xml:space="preserve"> daño a</w:t>
      </w:r>
      <w:r w:rsidR="00FC20C2">
        <w:rPr>
          <w:color w:val="000000" w:themeColor="text1"/>
        </w:rPr>
        <w:t>l</w:t>
      </w:r>
      <w:r w:rsidR="00647D04" w:rsidRPr="00846A52">
        <w:rPr>
          <w:color w:val="000000" w:themeColor="text1"/>
        </w:rPr>
        <w:t xml:space="preserve"> </w:t>
      </w:r>
      <w:r w:rsidR="006C30D6" w:rsidRPr="00846A52">
        <w:rPr>
          <w:b/>
          <w:bCs/>
        </w:rPr>
        <w:t>DISTRITO ESPECIAL DE SANTIAGO DE CALI.</w:t>
      </w:r>
    </w:p>
    <w:p w14:paraId="6856A625" w14:textId="77777777" w:rsidR="006C30D6" w:rsidRPr="00846A52" w:rsidRDefault="006C30D6" w:rsidP="00846A52">
      <w:pPr>
        <w:spacing w:after="0" w:line="312" w:lineRule="auto"/>
        <w:rPr>
          <w:b/>
          <w:bCs/>
        </w:rPr>
      </w:pPr>
    </w:p>
    <w:p w14:paraId="638DDA4D" w14:textId="156E793D" w:rsidR="00B00C3F" w:rsidRPr="00846A52" w:rsidRDefault="00B00C3F" w:rsidP="00846A52">
      <w:pPr>
        <w:pStyle w:val="Sinespaciado"/>
        <w:spacing w:line="312" w:lineRule="auto"/>
        <w:jc w:val="both"/>
        <w:rPr>
          <w:rFonts w:ascii="Arial" w:eastAsia="Arial" w:hAnsi="Arial" w:cs="Arial"/>
          <w:color w:val="000000" w:themeColor="text1"/>
        </w:rPr>
      </w:pPr>
      <w:r w:rsidRPr="00846A52">
        <w:rPr>
          <w:rFonts w:ascii="Arial" w:eastAsia="Arial" w:hAnsi="Arial" w:cs="Arial"/>
          <w:color w:val="000000" w:themeColor="text1"/>
        </w:rPr>
        <w:t>Así las cosas, lo primero que debe tenerse en cuenta es que el daño patrimonial al Estado solo puede ser producido en ejercicio de la gestión fiscal</w:t>
      </w:r>
      <w:r w:rsidR="00626B54" w:rsidRPr="00846A52">
        <w:rPr>
          <w:rFonts w:ascii="Arial" w:eastAsia="Arial" w:hAnsi="Arial" w:cs="Arial"/>
          <w:color w:val="000000" w:themeColor="text1"/>
        </w:rPr>
        <w:t xml:space="preserve"> o con ocasión de ésta</w:t>
      </w:r>
      <w:r w:rsidRPr="00846A52">
        <w:rPr>
          <w:rFonts w:ascii="Arial" w:eastAsia="Arial" w:hAnsi="Arial" w:cs="Arial"/>
          <w:color w:val="000000" w:themeColor="text1"/>
        </w:rPr>
        <w:t>, en consonancia con el artículo 5 de la Ley 610 de</w:t>
      </w:r>
      <w:r w:rsidR="00FC20C2">
        <w:rPr>
          <w:rFonts w:ascii="Arial" w:eastAsia="Arial" w:hAnsi="Arial" w:cs="Arial"/>
          <w:color w:val="000000" w:themeColor="text1"/>
        </w:rPr>
        <w:t>l</w:t>
      </w:r>
      <w:r w:rsidRPr="00846A52">
        <w:rPr>
          <w:rFonts w:ascii="Arial" w:eastAsia="Arial" w:hAnsi="Arial" w:cs="Arial"/>
          <w:color w:val="000000" w:themeColor="text1"/>
        </w:rPr>
        <w:t xml:space="preserve"> 2000 que dispone como uno de los elementos de la responsabilidad fiscal una conducta dolosa o gravemente culposa atribuible a una persona que realiza gestión fiscal. </w:t>
      </w:r>
    </w:p>
    <w:p w14:paraId="53FC9FC7" w14:textId="77777777" w:rsidR="00B00C3F" w:rsidRPr="00846A52" w:rsidRDefault="00B00C3F" w:rsidP="00846A52">
      <w:pPr>
        <w:pStyle w:val="Sinespaciado"/>
        <w:spacing w:line="312" w:lineRule="auto"/>
        <w:jc w:val="both"/>
        <w:rPr>
          <w:rFonts w:ascii="Arial" w:eastAsia="Arial" w:hAnsi="Arial" w:cs="Arial"/>
          <w:color w:val="000000" w:themeColor="text1"/>
        </w:rPr>
      </w:pPr>
    </w:p>
    <w:p w14:paraId="1D8A6D09" w14:textId="77777777" w:rsidR="00B00C3F" w:rsidRPr="00846A52" w:rsidRDefault="00B00C3F" w:rsidP="00846A52">
      <w:pPr>
        <w:pStyle w:val="Sinespaciado"/>
        <w:spacing w:line="312" w:lineRule="auto"/>
        <w:jc w:val="both"/>
        <w:rPr>
          <w:rFonts w:ascii="Arial" w:eastAsia="Arial" w:hAnsi="Arial" w:cs="Arial"/>
          <w:color w:val="000000" w:themeColor="text1"/>
        </w:rPr>
      </w:pPr>
      <w:r w:rsidRPr="00846A52">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ii) el daño producido en ejercicio de la gestión fiscal. Ahora bien, el artículo 4º de la Ley 610 de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6285C0A5" w14:textId="77777777" w:rsidR="00B00C3F" w:rsidRPr="00846A52" w:rsidRDefault="00B00C3F" w:rsidP="00846A52">
      <w:pPr>
        <w:pStyle w:val="Sinespaciado"/>
        <w:spacing w:line="312" w:lineRule="auto"/>
        <w:jc w:val="both"/>
        <w:rPr>
          <w:rFonts w:ascii="Arial" w:eastAsia="Arial" w:hAnsi="Arial" w:cs="Arial"/>
          <w:color w:val="000000" w:themeColor="text1"/>
        </w:rPr>
      </w:pPr>
    </w:p>
    <w:p w14:paraId="607CFD46" w14:textId="6EAE7F13" w:rsidR="001E2850" w:rsidRPr="00846A52" w:rsidRDefault="00B00C3F" w:rsidP="00846A52">
      <w:pPr>
        <w:spacing w:after="0" w:line="312" w:lineRule="auto"/>
        <w:rPr>
          <w:color w:val="000000" w:themeColor="text1"/>
        </w:rPr>
      </w:pPr>
      <w:r w:rsidRPr="00846A52">
        <w:rPr>
          <w:color w:val="000000" w:themeColor="text1"/>
        </w:rPr>
        <w:t xml:space="preserve">En conclusión, se debe tener en cuenta que </w:t>
      </w:r>
      <w:r w:rsidR="001E2850" w:rsidRPr="00846A52">
        <w:rPr>
          <w:color w:val="000000" w:themeColor="text1"/>
        </w:rPr>
        <w:t>no se materi</w:t>
      </w:r>
      <w:r w:rsidR="00FC20C2">
        <w:rPr>
          <w:color w:val="000000" w:themeColor="text1"/>
        </w:rPr>
        <w:t>alizó el daño. Toda vez que la C</w:t>
      </w:r>
      <w:r w:rsidR="001E2850" w:rsidRPr="00846A52">
        <w:rPr>
          <w:color w:val="000000" w:themeColor="text1"/>
        </w:rPr>
        <w:t>ontraloría no tuvo en cuenta que</w:t>
      </w:r>
      <w:r w:rsidR="00B560E9" w:rsidRPr="00846A52">
        <w:rPr>
          <w:color w:val="000000" w:themeColor="text1"/>
        </w:rPr>
        <w:t xml:space="preserve"> la durabilidad de obras se ven afectadas en su gran proporción por fenómenos naturales al estar expuesto al sol y al agua, por lo que su aparente deterioro puede </w:t>
      </w:r>
      <w:r w:rsidR="00B560E9" w:rsidRPr="00846A52">
        <w:rPr>
          <w:color w:val="000000" w:themeColor="text1"/>
        </w:rPr>
        <w:lastRenderedPageBreak/>
        <w:t>verse comprometido por tales circunstancias. Máxime cuando el contrato de obra fue para “fort</w:t>
      </w:r>
      <w:r w:rsidR="00FC20C2">
        <w:rPr>
          <w:color w:val="000000" w:themeColor="text1"/>
        </w:rPr>
        <w:t xml:space="preserve">alecimiento” y no </w:t>
      </w:r>
      <w:r w:rsidR="00B560E9" w:rsidRPr="00846A52">
        <w:rPr>
          <w:color w:val="000000" w:themeColor="text1"/>
        </w:rPr>
        <w:t>construcciones nuevas que tienen más durabilidad en el tiempo. Es decir, que no existe un hecho generador del daño en cabeza del Distrito, pues las supuestas afectaciones que aquí se reclaman recaen única y exclusivamente en cabeza del contratista de la obra que es quien garantiza por un l</w:t>
      </w:r>
      <w:r w:rsidR="00FC20C2">
        <w:rPr>
          <w:color w:val="000000" w:themeColor="text1"/>
        </w:rPr>
        <w:t>apso la estabilidad de las mismas</w:t>
      </w:r>
      <w:r w:rsidR="00B560E9" w:rsidRPr="00846A52">
        <w:rPr>
          <w:color w:val="000000" w:themeColor="text1"/>
        </w:rPr>
        <w:t xml:space="preserve"> ya sean de repechaje o construcciones nuevas. </w:t>
      </w:r>
      <w:r w:rsidR="001E2850" w:rsidRPr="00846A52">
        <w:rPr>
          <w:color w:val="000000" w:themeColor="text1"/>
        </w:rPr>
        <w:t xml:space="preserve">Por lo tanto, ante la falta de existencia de un hecho que represente la </w:t>
      </w:r>
      <w:r w:rsidR="001E2850" w:rsidRPr="00846A52">
        <w:rPr>
          <w:b/>
          <w:bCs/>
          <w:color w:val="000000" w:themeColor="text1"/>
        </w:rPr>
        <w:t xml:space="preserve">materialización del daño, </w:t>
      </w:r>
      <w:r w:rsidR="001E2850" w:rsidRPr="00846A52">
        <w:rPr>
          <w:color w:val="000000" w:themeColor="text1"/>
        </w:rPr>
        <w:t xml:space="preserve">el ente de control no tiene otra opción más que archivar el presente caso.  </w:t>
      </w:r>
    </w:p>
    <w:p w14:paraId="73C5C10A" w14:textId="77777777" w:rsidR="0019083A" w:rsidRPr="00846A52" w:rsidRDefault="0019083A" w:rsidP="00846A52">
      <w:pPr>
        <w:spacing w:after="0" w:line="312" w:lineRule="auto"/>
        <w:ind w:left="0" w:firstLine="0"/>
        <w:rPr>
          <w:color w:val="000000" w:themeColor="text1"/>
        </w:rPr>
      </w:pPr>
    </w:p>
    <w:p w14:paraId="66883677" w14:textId="20F413F0" w:rsidR="00B00C3F" w:rsidRPr="00846A52" w:rsidRDefault="00B00C3F" w:rsidP="00846A52">
      <w:pPr>
        <w:pStyle w:val="Prrafodelista"/>
        <w:numPr>
          <w:ilvl w:val="0"/>
          <w:numId w:val="6"/>
        </w:numPr>
        <w:spacing w:after="0" w:line="312" w:lineRule="auto"/>
        <w:ind w:left="284" w:hanging="284"/>
        <w:jc w:val="both"/>
        <w:rPr>
          <w:rFonts w:ascii="Arial" w:hAnsi="Arial" w:cs="Arial"/>
          <w:b/>
          <w:u w:val="single"/>
        </w:rPr>
      </w:pPr>
      <w:r w:rsidRPr="00846A52">
        <w:rPr>
          <w:rFonts w:ascii="Arial" w:hAnsi="Arial" w:cs="Arial"/>
          <w:b/>
          <w:u w:val="single"/>
        </w:rPr>
        <w:t>INEXISTENCIA DE DAÑO PATRIMONIAL AL ESTADO</w:t>
      </w:r>
      <w:r w:rsidR="00E6088A" w:rsidRPr="00846A52">
        <w:rPr>
          <w:rFonts w:ascii="Arial" w:hAnsi="Arial" w:cs="Arial"/>
          <w:b/>
          <w:u w:val="single"/>
        </w:rPr>
        <w:t xml:space="preserve"> EN LOS TÉRMINOS SEÑALADOS POR EL ENTE DEL CONTROL. </w:t>
      </w:r>
    </w:p>
    <w:p w14:paraId="129E6AF8" w14:textId="77777777" w:rsidR="00B00C3F" w:rsidRPr="00846A52" w:rsidRDefault="00B00C3F" w:rsidP="00846A52">
      <w:pPr>
        <w:spacing w:after="0" w:line="312" w:lineRule="auto"/>
        <w:ind w:left="360"/>
        <w:rPr>
          <w:b/>
        </w:rPr>
      </w:pPr>
    </w:p>
    <w:p w14:paraId="55CBE1B5" w14:textId="71000585" w:rsidR="00116926" w:rsidRPr="00846A52" w:rsidRDefault="00322DBD" w:rsidP="00846A52">
      <w:pPr>
        <w:tabs>
          <w:tab w:val="center" w:pos="4013"/>
        </w:tabs>
        <w:spacing w:after="0" w:line="312" w:lineRule="auto"/>
        <w:ind w:left="0" w:right="-7" w:firstLine="0"/>
        <w:rPr>
          <w:bCs/>
          <w:color w:val="auto"/>
        </w:rPr>
      </w:pPr>
      <w:r w:rsidRPr="00846A52">
        <w:rPr>
          <w:rFonts w:eastAsia="Times New Roman"/>
          <w:color w:val="000000" w:themeColor="text1"/>
        </w:rPr>
        <w:t xml:space="preserve">El ente de control señala que debido </w:t>
      </w:r>
      <w:r w:rsidR="00B14D85" w:rsidRPr="00846A52">
        <w:rPr>
          <w:rFonts w:eastAsia="Times New Roman"/>
          <w:color w:val="000000" w:themeColor="text1"/>
        </w:rPr>
        <w:t xml:space="preserve">a la falta </w:t>
      </w:r>
      <w:r w:rsidR="00105387" w:rsidRPr="00846A52">
        <w:rPr>
          <w:rFonts w:eastAsia="Times New Roman"/>
          <w:color w:val="000000" w:themeColor="text1"/>
        </w:rPr>
        <w:t xml:space="preserve">seguimiento y control al contrato </w:t>
      </w:r>
      <w:r w:rsidR="00365F79" w:rsidRPr="006F22BE">
        <w:rPr>
          <w:bCs/>
          <w:color w:val="auto"/>
        </w:rPr>
        <w:t>de obra</w:t>
      </w:r>
      <w:r w:rsidR="00365F79" w:rsidRPr="00846A52">
        <w:rPr>
          <w:bCs/>
          <w:color w:val="auto"/>
        </w:rPr>
        <w:t xml:space="preserve"> N°4162.010.26.1.4017-2022</w:t>
      </w:r>
      <w:r w:rsidR="00E40C13" w:rsidRPr="00846A52">
        <w:rPr>
          <w:rFonts w:eastAsia="Times New Roman"/>
          <w:color w:val="000000" w:themeColor="text1"/>
        </w:rPr>
        <w:t xml:space="preserve"> se generó </w:t>
      </w:r>
      <w:r w:rsidR="00FC20C2">
        <w:rPr>
          <w:rFonts w:eastAsia="Times New Roman"/>
          <w:color w:val="000000" w:themeColor="text1"/>
        </w:rPr>
        <w:t>un detrimento patrimonial por</w:t>
      </w:r>
      <w:r w:rsidRPr="00846A52">
        <w:rPr>
          <w:rFonts w:eastAsia="Times New Roman"/>
          <w:color w:val="000000" w:themeColor="text1"/>
        </w:rPr>
        <w:t xml:space="preserve"> valor de </w:t>
      </w:r>
      <w:r w:rsidR="00C50B6D" w:rsidRPr="009D5D69">
        <w:rPr>
          <w:b/>
          <w:bCs/>
        </w:rPr>
        <w:t>NOVECIENTOS OCHENTA Y SIETE MIL QUINIENTOS</w:t>
      </w:r>
      <w:r w:rsidR="00C50B6D" w:rsidRPr="00846A52">
        <w:rPr>
          <w:b/>
          <w:bCs/>
        </w:rPr>
        <w:t xml:space="preserve"> NOVENTA Y DOS PESOS MCTE (</w:t>
      </w:r>
      <w:r w:rsidR="00C50B6D" w:rsidRPr="009D5D69">
        <w:rPr>
          <w:b/>
          <w:bCs/>
        </w:rPr>
        <w:t>$987.592</w:t>
      </w:r>
      <w:r w:rsidR="00C50B6D" w:rsidRPr="00846A52">
        <w:rPr>
          <w:b/>
          <w:bCs/>
        </w:rPr>
        <w:t>)</w:t>
      </w:r>
      <w:r w:rsidRPr="00846A52">
        <w:rPr>
          <w:rFonts w:eastAsia="Times New Roman"/>
          <w:color w:val="000000" w:themeColor="text1"/>
        </w:rPr>
        <w:t>.</w:t>
      </w:r>
      <w:r w:rsidR="009F605E" w:rsidRPr="00846A52">
        <w:rPr>
          <w:rFonts w:eastAsia="Times New Roman"/>
          <w:color w:val="000000" w:themeColor="text1"/>
        </w:rPr>
        <w:t xml:space="preserve"> </w:t>
      </w:r>
      <w:r w:rsidRPr="00846A52">
        <w:rPr>
          <w:rFonts w:eastAsia="Times New Roman"/>
          <w:color w:val="000000" w:themeColor="text1"/>
        </w:rPr>
        <w:t>Sin</w:t>
      </w:r>
      <w:r w:rsidR="009F605E" w:rsidRPr="00846A52">
        <w:rPr>
          <w:rFonts w:eastAsia="Times New Roman"/>
          <w:color w:val="000000" w:themeColor="text1"/>
        </w:rPr>
        <w:t xml:space="preserve"> </w:t>
      </w:r>
      <w:r w:rsidRPr="00846A52">
        <w:rPr>
          <w:rFonts w:eastAsia="Times New Roman"/>
          <w:color w:val="000000" w:themeColor="text1"/>
        </w:rPr>
        <w:t xml:space="preserve">embargo, el mismo es </w:t>
      </w:r>
      <w:r w:rsidR="00365F79" w:rsidRPr="00846A52">
        <w:rPr>
          <w:rFonts w:eastAsia="Times New Roman"/>
          <w:color w:val="000000" w:themeColor="text1"/>
        </w:rPr>
        <w:t xml:space="preserve">totalmente inexistente, toda vez que no </w:t>
      </w:r>
      <w:r w:rsidR="00AC26CC" w:rsidRPr="00846A52">
        <w:rPr>
          <w:rFonts w:eastAsia="Times New Roman"/>
          <w:color w:val="000000" w:themeColor="text1"/>
        </w:rPr>
        <w:t xml:space="preserve">se indica en el auto de apertura un detalle </w:t>
      </w:r>
      <w:r w:rsidR="005474A4" w:rsidRPr="00846A52">
        <w:rPr>
          <w:rFonts w:eastAsia="Times New Roman"/>
          <w:color w:val="000000" w:themeColor="text1"/>
        </w:rPr>
        <w:t xml:space="preserve">concreto </w:t>
      </w:r>
      <w:r w:rsidR="00AC26CC" w:rsidRPr="00846A52">
        <w:rPr>
          <w:rFonts w:eastAsia="Times New Roman"/>
          <w:color w:val="000000" w:themeColor="text1"/>
        </w:rPr>
        <w:t xml:space="preserve">de </w:t>
      </w:r>
      <w:r w:rsidR="005474A4" w:rsidRPr="00846A52">
        <w:rPr>
          <w:rFonts w:eastAsia="Times New Roman"/>
          <w:color w:val="000000" w:themeColor="text1"/>
        </w:rPr>
        <w:t>cómo</w:t>
      </w:r>
      <w:r w:rsidR="00AC26CC" w:rsidRPr="00846A52">
        <w:rPr>
          <w:rFonts w:eastAsia="Times New Roman"/>
          <w:color w:val="000000" w:themeColor="text1"/>
        </w:rPr>
        <w:t xml:space="preserve"> fue que </w:t>
      </w:r>
      <w:r w:rsidR="005474A4" w:rsidRPr="00846A52">
        <w:rPr>
          <w:rFonts w:eastAsia="Times New Roman"/>
          <w:color w:val="000000" w:themeColor="text1"/>
        </w:rPr>
        <w:t>l</w:t>
      </w:r>
      <w:r w:rsidR="00AC26CC" w:rsidRPr="00846A52">
        <w:rPr>
          <w:rFonts w:eastAsia="Times New Roman"/>
          <w:color w:val="000000" w:themeColor="text1"/>
        </w:rPr>
        <w:t>a Contraloría determin</w:t>
      </w:r>
      <w:r w:rsidR="005474A4" w:rsidRPr="00846A52">
        <w:rPr>
          <w:rFonts w:eastAsia="Times New Roman"/>
          <w:color w:val="000000" w:themeColor="text1"/>
        </w:rPr>
        <w:t xml:space="preserve">ó que el mismo asciende a esa suma de dinero. Pues no se observa un análisis juicioso de la determinación de la cuantía, </w:t>
      </w:r>
      <w:r w:rsidR="004B6FD2" w:rsidRPr="00846A52">
        <w:rPr>
          <w:rFonts w:eastAsia="Times New Roman"/>
          <w:color w:val="000000" w:themeColor="text1"/>
        </w:rPr>
        <w:t xml:space="preserve">por el </w:t>
      </w:r>
      <w:r w:rsidR="006401E4" w:rsidRPr="00846A52">
        <w:rPr>
          <w:rFonts w:eastAsia="Times New Roman"/>
          <w:color w:val="000000" w:themeColor="text1"/>
        </w:rPr>
        <w:t>contrario,</w:t>
      </w:r>
      <w:r w:rsidR="005474A4" w:rsidRPr="00846A52">
        <w:rPr>
          <w:rFonts w:eastAsia="Times New Roman"/>
          <w:color w:val="000000" w:themeColor="text1"/>
        </w:rPr>
        <w:t xml:space="preserve"> únicamente se limitó a indicar que el supuesto detrimento patrimonial ascendía </w:t>
      </w:r>
      <w:r w:rsidR="00E26D00">
        <w:rPr>
          <w:rFonts w:eastAsia="Times New Roman"/>
          <w:color w:val="000000" w:themeColor="text1"/>
        </w:rPr>
        <w:t xml:space="preserve">a la suma </w:t>
      </w:r>
      <w:proofErr w:type="gramStart"/>
      <w:r w:rsidR="00E26D00">
        <w:rPr>
          <w:rFonts w:eastAsia="Times New Roman"/>
          <w:color w:val="000000" w:themeColor="text1"/>
        </w:rPr>
        <w:t xml:space="preserve">de </w:t>
      </w:r>
      <w:r w:rsidR="005474A4" w:rsidRPr="00846A52">
        <w:rPr>
          <w:rFonts w:eastAsia="Times New Roman"/>
          <w:color w:val="000000" w:themeColor="text1"/>
        </w:rPr>
        <w:t xml:space="preserve"> </w:t>
      </w:r>
      <w:r w:rsidR="00E26D00" w:rsidRPr="009D5D69">
        <w:rPr>
          <w:b/>
          <w:bCs/>
        </w:rPr>
        <w:t>$</w:t>
      </w:r>
      <w:proofErr w:type="gramEnd"/>
      <w:r w:rsidR="00E26D00" w:rsidRPr="009D5D69">
        <w:rPr>
          <w:b/>
          <w:bCs/>
        </w:rPr>
        <w:t>987.592</w:t>
      </w:r>
      <w:r w:rsidR="00E26D00">
        <w:rPr>
          <w:b/>
          <w:bCs/>
        </w:rPr>
        <w:t xml:space="preserve"> </w:t>
      </w:r>
      <w:r w:rsidR="005375C4" w:rsidRPr="00846A52">
        <w:rPr>
          <w:rFonts w:eastAsia="Times New Roman"/>
          <w:color w:val="000000" w:themeColor="text1"/>
        </w:rPr>
        <w:t>correspondientes a</w:t>
      </w:r>
      <w:r w:rsidR="00E26D00">
        <w:rPr>
          <w:rFonts w:eastAsia="Times New Roman"/>
          <w:color w:val="000000" w:themeColor="text1"/>
        </w:rPr>
        <w:t xml:space="preserve"> unos supuestos</w:t>
      </w:r>
      <w:r w:rsidR="00771124" w:rsidRPr="00846A52">
        <w:rPr>
          <w:rFonts w:eastAsia="Times New Roman"/>
          <w:color w:val="000000" w:themeColor="text1"/>
        </w:rPr>
        <w:t xml:space="preserve"> “recursos propios”, pero sin </w:t>
      </w:r>
      <w:r w:rsidR="00CE0C70" w:rsidRPr="00846A52">
        <w:rPr>
          <w:rFonts w:eastAsia="Times New Roman"/>
          <w:color w:val="000000" w:themeColor="text1"/>
        </w:rPr>
        <w:t>más</w:t>
      </w:r>
      <w:r w:rsidR="00771124" w:rsidRPr="00846A52">
        <w:rPr>
          <w:rFonts w:eastAsia="Times New Roman"/>
          <w:color w:val="000000" w:themeColor="text1"/>
        </w:rPr>
        <w:t xml:space="preserve"> justificación se apertura la investigación fiscal. Lo que es totalmente improcedente, ya que es necesario que los a</w:t>
      </w:r>
      <w:r w:rsidR="003A4ABB">
        <w:rPr>
          <w:rFonts w:eastAsia="Times New Roman"/>
          <w:color w:val="000000" w:themeColor="text1"/>
        </w:rPr>
        <w:t>quí vinculados conozcan</w:t>
      </w:r>
      <w:r w:rsidR="00771124" w:rsidRPr="00846A52">
        <w:rPr>
          <w:rFonts w:eastAsia="Times New Roman"/>
          <w:color w:val="000000" w:themeColor="text1"/>
        </w:rPr>
        <w:t xml:space="preserve"> a fondo los argumentos </w:t>
      </w:r>
      <w:r w:rsidR="00CE0C70" w:rsidRPr="00846A52">
        <w:rPr>
          <w:rFonts w:eastAsia="Times New Roman"/>
          <w:color w:val="000000" w:themeColor="text1"/>
        </w:rPr>
        <w:t>y elementos que determinaron la cuantía con el fin de ejercer el derecho de defensa y contradicción. Situación que claramente en este punto se ve afectada</w:t>
      </w:r>
      <w:r w:rsidR="000B7F1A" w:rsidRPr="00846A52">
        <w:rPr>
          <w:rFonts w:eastAsia="Times New Roman"/>
          <w:color w:val="000000" w:themeColor="text1"/>
        </w:rPr>
        <w:t>, al no exponerse con claridad</w:t>
      </w:r>
      <w:r w:rsidR="00A33DDC" w:rsidRPr="00846A52">
        <w:rPr>
          <w:rFonts w:eastAsia="Times New Roman"/>
          <w:color w:val="000000" w:themeColor="text1"/>
        </w:rPr>
        <w:t xml:space="preserve"> en el auto de apertura a que conceptos y porque se determin</w:t>
      </w:r>
      <w:r w:rsidR="005375C4" w:rsidRPr="00846A52">
        <w:rPr>
          <w:rFonts w:eastAsia="Times New Roman"/>
          <w:color w:val="000000" w:themeColor="text1"/>
        </w:rPr>
        <w:t>ó</w:t>
      </w:r>
      <w:r w:rsidR="00A33DDC" w:rsidRPr="00846A52">
        <w:rPr>
          <w:rFonts w:eastAsia="Times New Roman"/>
          <w:color w:val="000000" w:themeColor="text1"/>
        </w:rPr>
        <w:t xml:space="preserve"> ese valor</w:t>
      </w:r>
      <w:r w:rsidR="005375C4" w:rsidRPr="00846A52">
        <w:rPr>
          <w:rFonts w:eastAsia="Times New Roman"/>
          <w:color w:val="000000" w:themeColor="text1"/>
        </w:rPr>
        <w:t xml:space="preserve"> en el detrimento patrimonial. </w:t>
      </w:r>
    </w:p>
    <w:p w14:paraId="2CEEA76E" w14:textId="77777777" w:rsidR="00116926" w:rsidRPr="00846A52" w:rsidRDefault="00116926" w:rsidP="00846A52">
      <w:pPr>
        <w:spacing w:after="0" w:line="312" w:lineRule="auto"/>
        <w:rPr>
          <w:rFonts w:eastAsia="Times New Roman"/>
          <w:color w:val="000000" w:themeColor="text1"/>
        </w:rPr>
      </w:pPr>
    </w:p>
    <w:p w14:paraId="6141CDDB" w14:textId="1F3F788A" w:rsidR="00B00C3F" w:rsidRPr="00846A52" w:rsidRDefault="00422121" w:rsidP="00846A52">
      <w:pPr>
        <w:spacing w:after="0" w:line="312" w:lineRule="auto"/>
        <w:rPr>
          <w:b/>
          <w:bCs/>
        </w:rPr>
      </w:pPr>
      <w:r w:rsidRPr="00846A52">
        <w:rPr>
          <w:rFonts w:eastAsia="Times New Roman"/>
          <w:color w:val="000000" w:themeColor="text1"/>
        </w:rPr>
        <w:t>Por otro lado</w:t>
      </w:r>
      <w:r w:rsidR="00B00C3F" w:rsidRPr="00846A52">
        <w:rPr>
          <w:rFonts w:eastAsia="Times New Roman"/>
          <w:color w:val="000000" w:themeColor="text1"/>
        </w:rPr>
        <w:t xml:space="preserve">, no se ocasionó un detrimento patrimonial </w:t>
      </w:r>
      <w:r w:rsidR="0006162F" w:rsidRPr="00846A52">
        <w:rPr>
          <w:rFonts w:eastAsia="Times New Roman"/>
          <w:color w:val="000000" w:themeColor="text1"/>
        </w:rPr>
        <w:t>a</w:t>
      </w:r>
      <w:r w:rsidR="003D0E87" w:rsidRPr="00846A52">
        <w:rPr>
          <w:rFonts w:eastAsia="Times New Roman"/>
          <w:color w:val="000000" w:themeColor="text1"/>
        </w:rPr>
        <w:t>l</w:t>
      </w:r>
      <w:r w:rsidR="0006162F" w:rsidRPr="00846A52">
        <w:rPr>
          <w:rFonts w:eastAsia="Times New Roman"/>
          <w:color w:val="000000" w:themeColor="text1"/>
        </w:rPr>
        <w:t xml:space="preserve"> </w:t>
      </w:r>
      <w:r w:rsidR="003D0E87" w:rsidRPr="00846A52">
        <w:rPr>
          <w:b/>
          <w:bCs/>
        </w:rPr>
        <w:t xml:space="preserve">DISTRITO ESPECIAL DE SANTIAGO DE CALI </w:t>
      </w:r>
      <w:r w:rsidR="00B00C3F" w:rsidRPr="00846A52">
        <w:rPr>
          <w:rFonts w:eastAsia="Times New Roman"/>
          <w:color w:val="000000" w:themeColor="text1"/>
        </w:rPr>
        <w:t xml:space="preserve">máxime cuando para que se configure la responsabilidad fiscal es imperativo que en el plenario se encuentre suficientemente acreditado un daño patrimonial al Estado. En este sentido, vale la pena analizar la sentencia </w:t>
      </w:r>
      <w:r w:rsidR="00B00C3F" w:rsidRPr="00846A52">
        <w:rPr>
          <w:rFonts w:eastAsia="Calibri"/>
          <w:color w:val="000000" w:themeColor="text1"/>
          <w:lang w:val="es-ES"/>
        </w:rPr>
        <w:t xml:space="preserve">C-340 de 2007, en la cual se explicó que, a diferencia del proceso de responsabilidad disciplinaria en donde el daño </w:t>
      </w:r>
      <w:r w:rsidR="00B00C3F" w:rsidRPr="00846A52">
        <w:rPr>
          <w:rFonts w:eastAsia="Times New Roman"/>
          <w:color w:val="000000" w:themeColor="text1"/>
          <w:bdr w:val="none" w:sz="0" w:space="0" w:color="auto" w:frame="1"/>
          <w:lang w:eastAsia="es-ES"/>
        </w:rPr>
        <w:t xml:space="preserve">es extrapatrimonial y no susceptible de valoración económica, en la responsabilidad fiscal el perjuicio debe ser cierto y de contenido eminentemente patrimonial. El tenor literal del mencionado fallo es el siguiente: </w:t>
      </w:r>
    </w:p>
    <w:p w14:paraId="348324A0" w14:textId="77777777" w:rsidR="00B00C3F" w:rsidRPr="00846A52" w:rsidRDefault="00B00C3F" w:rsidP="00846A52">
      <w:pPr>
        <w:spacing w:after="0" w:line="312" w:lineRule="auto"/>
        <w:rPr>
          <w:rFonts w:eastAsia="Times New Roman"/>
          <w:color w:val="000000" w:themeColor="text1"/>
          <w:bdr w:val="none" w:sz="0" w:space="0" w:color="auto" w:frame="1"/>
          <w:lang w:eastAsia="es-ES"/>
        </w:rPr>
      </w:pPr>
    </w:p>
    <w:p w14:paraId="2620CE57" w14:textId="77777777" w:rsidR="00B00C3F" w:rsidRPr="00846A52" w:rsidRDefault="00B00C3F" w:rsidP="00846A52">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46A52">
        <w:rPr>
          <w:rFonts w:eastAsia="Times New Roman"/>
          <w:color w:val="000000" w:themeColor="text1"/>
          <w:sz w:val="20"/>
          <w:szCs w:val="20"/>
          <w:bdr w:val="none" w:sz="0" w:space="0" w:color="auto" w:frame="1"/>
          <w:lang w:eastAsia="es-ES"/>
        </w:rPr>
        <w:t>“b.    La responsabilidad que se declara a través de dicho proceso es esencialmente administrativa, porque juzga la conducta de quienes están a cargo de la gestión fiscal, pero es, también, patrimonial, porque se orienta a</w:t>
      </w:r>
      <w:r w:rsidRPr="00846A52">
        <w:rPr>
          <w:rFonts w:eastAsia="Times New Roman"/>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5398ACA2" w14:textId="77777777" w:rsidR="00B00C3F" w:rsidRPr="00846A52" w:rsidRDefault="00B00C3F" w:rsidP="00846A52">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46A52">
        <w:rPr>
          <w:rFonts w:eastAsia="Times New Roman"/>
          <w:color w:val="000000" w:themeColor="text1"/>
          <w:sz w:val="20"/>
          <w:szCs w:val="20"/>
          <w:bdr w:val="none" w:sz="0" w:space="0" w:color="auto" w:frame="1"/>
          <w:lang w:eastAsia="es-ES"/>
        </w:rPr>
        <w:t> </w:t>
      </w:r>
    </w:p>
    <w:p w14:paraId="23239234" w14:textId="77777777" w:rsidR="00B00C3F" w:rsidRPr="00846A52" w:rsidRDefault="00B00C3F" w:rsidP="00846A52">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46A52">
        <w:rPr>
          <w:rFonts w:eastAsia="Times New Roman"/>
          <w:color w:val="000000" w:themeColor="text1"/>
          <w:sz w:val="20"/>
          <w:szCs w:val="20"/>
          <w:bdr w:val="none" w:sz="0" w:space="0" w:color="auto" w:frame="1"/>
          <w:lang w:eastAsia="es-ES"/>
        </w:rPr>
        <w:t xml:space="preserve">c.    Como consecuencia de lo anterior, </w:t>
      </w:r>
      <w:r w:rsidRPr="00846A52">
        <w:rPr>
          <w:rFonts w:eastAsia="Times New Roman"/>
          <w:b/>
          <w:color w:val="000000" w:themeColor="text1"/>
          <w:sz w:val="20"/>
          <w:szCs w:val="20"/>
          <w:u w:val="single"/>
          <w:bdr w:val="none" w:sz="0" w:space="0" w:color="auto" w:frame="1"/>
          <w:lang w:eastAsia="es-ES"/>
        </w:rPr>
        <w:t>la responsabilidad fiscal</w:t>
      </w:r>
      <w:r w:rsidRPr="00846A52">
        <w:rPr>
          <w:rFonts w:eastAsia="Times New Roman"/>
          <w:color w:val="000000" w:themeColor="text1"/>
          <w:sz w:val="20"/>
          <w:szCs w:val="20"/>
          <w:bdr w:val="none" w:sz="0" w:space="0" w:color="auto" w:frame="1"/>
          <w:lang w:eastAsia="es-ES"/>
        </w:rPr>
        <w:t xml:space="preserve"> no tiene un carácter sancionatorio -ni penal, ni administrativo-, sino que su naturaleza </w:t>
      </w:r>
      <w:r w:rsidRPr="00846A52">
        <w:rPr>
          <w:rFonts w:eastAsia="Times New Roman"/>
          <w:b/>
          <w:color w:val="000000" w:themeColor="text1"/>
          <w:sz w:val="20"/>
          <w:szCs w:val="20"/>
          <w:u w:val="single"/>
          <w:bdr w:val="none" w:sz="0" w:space="0" w:color="auto" w:frame="1"/>
          <w:lang w:eastAsia="es-ES"/>
        </w:rPr>
        <w:t>es meramente reparatoria</w:t>
      </w:r>
      <w:r w:rsidRPr="00846A52">
        <w:rPr>
          <w:rFonts w:eastAsia="Times New Roman"/>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26AC9615" w14:textId="77777777" w:rsidR="00B00C3F" w:rsidRPr="00846A52" w:rsidRDefault="00B00C3F" w:rsidP="00846A52">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46A52">
        <w:rPr>
          <w:rFonts w:eastAsia="Times New Roman"/>
          <w:color w:val="000000" w:themeColor="text1"/>
          <w:sz w:val="20"/>
          <w:szCs w:val="20"/>
          <w:bdr w:val="none" w:sz="0" w:space="0" w:color="auto" w:frame="1"/>
          <w:lang w:eastAsia="es-ES"/>
        </w:rPr>
        <w:t> </w:t>
      </w:r>
    </w:p>
    <w:p w14:paraId="46065827" w14:textId="77777777" w:rsidR="00B00C3F" w:rsidRPr="00846A52" w:rsidRDefault="00B00C3F" w:rsidP="00846A52">
      <w:pPr>
        <w:shd w:val="clear" w:color="auto" w:fill="FFFFFF"/>
        <w:tabs>
          <w:tab w:val="left" w:pos="8222"/>
        </w:tabs>
        <w:spacing w:after="0" w:line="240" w:lineRule="auto"/>
        <w:ind w:left="851" w:right="843"/>
        <w:textAlignment w:val="baseline"/>
        <w:rPr>
          <w:rFonts w:eastAsia="Times New Roman"/>
          <w:color w:val="000000" w:themeColor="text1"/>
          <w:sz w:val="20"/>
          <w:szCs w:val="20"/>
          <w:lang w:val="es-ES" w:eastAsia="es-ES"/>
        </w:rPr>
      </w:pPr>
      <w:r w:rsidRPr="00846A52">
        <w:rPr>
          <w:rFonts w:eastAsia="Times New Roman"/>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46A52">
        <w:rPr>
          <w:rFonts w:eastAsia="Times New Roman"/>
          <w:b/>
          <w:color w:val="000000" w:themeColor="text1"/>
          <w:sz w:val="20"/>
          <w:szCs w:val="20"/>
          <w:u w:val="single"/>
          <w:bdr w:val="none" w:sz="0" w:space="0" w:color="auto" w:frame="1"/>
          <w:lang w:eastAsia="es-ES"/>
        </w:rPr>
        <w:t>el daño en la responsabilidad fiscal es patrimonial</w:t>
      </w:r>
      <w:r w:rsidRPr="00846A52">
        <w:rPr>
          <w:rFonts w:eastAsia="Times New Roman"/>
          <w:color w:val="000000" w:themeColor="text1"/>
          <w:sz w:val="20"/>
          <w:szCs w:val="20"/>
          <w:bdr w:val="none" w:sz="0" w:space="0" w:color="auto" w:frame="1"/>
          <w:lang w:eastAsia="es-ES"/>
        </w:rPr>
        <w:t xml:space="preserve">. En consecuencia, señaló la Corte, “... el proceso disciplinario tiene un carácter sancionatorio, pues busca garantizar la correcta marcha y el buen nombre de la </w:t>
      </w:r>
      <w:r w:rsidRPr="00846A52">
        <w:rPr>
          <w:rFonts w:eastAsia="Times New Roman"/>
          <w:color w:val="000000" w:themeColor="text1"/>
          <w:sz w:val="20"/>
          <w:szCs w:val="20"/>
          <w:bdr w:val="none" w:sz="0" w:space="0" w:color="auto" w:frame="1"/>
          <w:lang w:eastAsia="es-ES"/>
        </w:rPr>
        <w:lastRenderedPageBreak/>
        <w:t>cosa pública, por lo que juzga el</w:t>
      </w:r>
      <w:r w:rsidRPr="00846A52">
        <w:rPr>
          <w:rFonts w:eastAsia="Times New Roman"/>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846A52">
        <w:rPr>
          <w:rFonts w:eastAsia="Times New Roman"/>
          <w:color w:val="000000" w:themeColor="text1"/>
          <w:sz w:val="20"/>
          <w:szCs w:val="20"/>
          <w:bdr w:val="none" w:sz="0" w:space="0" w:color="auto" w:frame="1"/>
          <w:vertAlign w:val="superscript"/>
          <w:lang w:eastAsia="es-ES"/>
        </w:rPr>
        <w:t>”</w:t>
      </w:r>
      <w:r w:rsidRPr="00846A52">
        <w:rPr>
          <w:rFonts w:eastAsia="Times New Roman"/>
          <w:color w:val="000000" w:themeColor="text1"/>
          <w:sz w:val="20"/>
          <w:szCs w:val="20"/>
          <w:bdr w:val="none" w:sz="0" w:space="0" w:color="auto" w:frame="1"/>
          <w:lang w:eastAsia="es-ES"/>
        </w:rPr>
        <w:t xml:space="preserve">, al paso que “... </w:t>
      </w:r>
      <w:r w:rsidRPr="00846A52">
        <w:rPr>
          <w:rFonts w:eastAsia="Times New Roman"/>
          <w:b/>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46A52">
        <w:rPr>
          <w:rFonts w:eastAsia="Times New Roman"/>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846A52">
        <w:rPr>
          <w:rStyle w:val="Refdenotaalpie"/>
          <w:rFonts w:eastAsia="Times New Roman"/>
          <w:color w:val="000000" w:themeColor="text1"/>
          <w:sz w:val="20"/>
          <w:szCs w:val="20"/>
          <w:bdr w:val="none" w:sz="0" w:space="0" w:color="auto" w:frame="1"/>
          <w:lang w:eastAsia="es-ES"/>
        </w:rPr>
        <w:footnoteReference w:id="2"/>
      </w:r>
    </w:p>
    <w:p w14:paraId="7C70B6AB" w14:textId="77777777" w:rsidR="00B00C3F" w:rsidRPr="00846A52" w:rsidRDefault="00B00C3F" w:rsidP="00846A52">
      <w:pPr>
        <w:tabs>
          <w:tab w:val="left" w:pos="8222"/>
        </w:tabs>
        <w:spacing w:after="0" w:line="240" w:lineRule="auto"/>
        <w:ind w:left="851" w:right="843"/>
        <w:rPr>
          <w:sz w:val="20"/>
          <w:szCs w:val="20"/>
          <w:lang w:val="es-ES"/>
        </w:rPr>
      </w:pPr>
    </w:p>
    <w:p w14:paraId="0B1CAA8C" w14:textId="77777777" w:rsidR="00B00C3F" w:rsidRPr="00846A52" w:rsidRDefault="00B00C3F" w:rsidP="00846A52">
      <w:pPr>
        <w:tabs>
          <w:tab w:val="left" w:pos="8222"/>
        </w:tabs>
        <w:spacing w:after="0" w:line="240" w:lineRule="auto"/>
        <w:ind w:left="851" w:right="843"/>
        <w:rPr>
          <w:sz w:val="20"/>
          <w:szCs w:val="20"/>
        </w:rPr>
      </w:pPr>
      <w:r w:rsidRPr="00846A52">
        <w:rPr>
          <w:sz w:val="20"/>
          <w:szCs w:val="20"/>
        </w:rPr>
        <w:t xml:space="preserve">En efecto, la Sala de Consulta y Servicio Civil del Consejo de Estado se ha pronunciado en los mismos términos, al establecer que para que sea procedente la declaratoria de responsabilidad fiscal, definitivamente debe existir un daño patrimonial sufrido por parte del Estado. No obstante, no cualquier tipo de daño es susceptible de ser resarcido en un proceso fiscal, sino solo aquél que se encuentre debidamente acreditado, y que, además, se predique respecto de una entidad u organismo estatal en concreto. Lo previamente explicado fue analizado tal y como se expone a continuación: </w:t>
      </w:r>
    </w:p>
    <w:p w14:paraId="65C76A0A" w14:textId="77777777" w:rsidR="00B00C3F" w:rsidRPr="00846A52" w:rsidRDefault="00B00C3F" w:rsidP="00846A52">
      <w:pPr>
        <w:tabs>
          <w:tab w:val="left" w:pos="8222"/>
        </w:tabs>
        <w:spacing w:after="0" w:line="240" w:lineRule="auto"/>
        <w:ind w:left="851" w:right="843"/>
      </w:pPr>
    </w:p>
    <w:p w14:paraId="2E3BEFC7" w14:textId="77777777" w:rsidR="00B00C3F" w:rsidRPr="00846A52" w:rsidRDefault="00B00C3F" w:rsidP="00846A52">
      <w:pPr>
        <w:tabs>
          <w:tab w:val="left" w:pos="8222"/>
        </w:tabs>
        <w:spacing w:after="0" w:line="240" w:lineRule="auto"/>
        <w:ind w:left="851" w:right="843"/>
        <w:rPr>
          <w:i/>
          <w:iCs/>
          <w:sz w:val="20"/>
          <w:szCs w:val="20"/>
        </w:rPr>
      </w:pPr>
      <w:r w:rsidRPr="00846A52">
        <w:rPr>
          <w:sz w:val="20"/>
          <w:szCs w:val="20"/>
        </w:rPr>
        <w:t xml:space="preserve">“La responsabilidad fiscal estará integrada por una conducta dolosa o culposa atribuible a una persona que realiza gestión fiscal, un daño patrimonial al Estado y un nexo entre los dos elementos anteriores. </w:t>
      </w:r>
      <w:r w:rsidRPr="00846A52">
        <w:rPr>
          <w:b/>
          <w:sz w:val="20"/>
          <w:szCs w:val="20"/>
          <w:u w:val="single"/>
          <w:lang w:val="es-ES"/>
        </w:rPr>
        <w:t>El daño patrimonial es toda disminución de los recursos del estado</w:t>
      </w:r>
      <w:r w:rsidRPr="00846A52">
        <w:rPr>
          <w:sz w:val="20"/>
          <w:szCs w:val="20"/>
          <w:lang w:val="es-ES"/>
        </w:rPr>
        <w:t>, que cuando es causada por la conducta dolosa o gravemente culposa de un gestor fiscal, genera responsabilidad fiscal. En este orden de ideas, todo</w:t>
      </w:r>
      <w:r w:rsidRPr="00846A52">
        <w:rPr>
          <w:sz w:val="20"/>
          <w:szCs w:val="20"/>
        </w:rPr>
        <w:t xml:space="preserve"> daño patrimonial, en última instancia, siempre afectará el patrimonio estatal en abstracto</w:t>
      </w:r>
      <w:r w:rsidRPr="00846A52">
        <w:rPr>
          <w:sz w:val="20"/>
          <w:szCs w:val="20"/>
          <w:lang w:val="es-ES"/>
        </w:rPr>
        <w:t xml:space="preserve">. </w:t>
      </w:r>
      <w:r w:rsidRPr="00846A52">
        <w:rPr>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46A52">
        <w:rPr>
          <w:b/>
          <w:sz w:val="20"/>
          <w:szCs w:val="20"/>
          <w:u w:val="single"/>
        </w:rPr>
        <w:t>. Es decir, que el daño por el cual responde, se contrae al patrimonio de una entidad u organismo particular y concreto</w:t>
      </w:r>
      <w:r w:rsidRPr="00846A52">
        <w:rPr>
          <w:sz w:val="20"/>
          <w:szCs w:val="20"/>
        </w:rPr>
        <w:t>”.</w:t>
      </w:r>
      <w:r w:rsidRPr="00846A52">
        <w:rPr>
          <w:rStyle w:val="Refdenotaalpie"/>
          <w:sz w:val="20"/>
          <w:szCs w:val="20"/>
        </w:rPr>
        <w:footnoteReference w:id="3"/>
      </w:r>
      <w:r w:rsidRPr="00846A52">
        <w:rPr>
          <w:sz w:val="20"/>
          <w:szCs w:val="20"/>
        </w:rPr>
        <w:t xml:space="preserve"> (Subrayado y negrilla fuera del texto original</w:t>
      </w:r>
      <w:r w:rsidRPr="00846A52">
        <w:rPr>
          <w:i/>
          <w:iCs/>
          <w:sz w:val="20"/>
          <w:szCs w:val="20"/>
        </w:rPr>
        <w:t>)</w:t>
      </w:r>
    </w:p>
    <w:p w14:paraId="4C6A7F95" w14:textId="77777777" w:rsidR="00B00C3F" w:rsidRPr="00846A52" w:rsidRDefault="00B00C3F" w:rsidP="00846A52">
      <w:pPr>
        <w:spacing w:after="0" w:line="312" w:lineRule="auto"/>
      </w:pPr>
    </w:p>
    <w:p w14:paraId="2CAD4C40" w14:textId="18C479CA" w:rsidR="00B00C3F" w:rsidRPr="00846A52" w:rsidRDefault="00B00C3F" w:rsidP="00846A52">
      <w:pPr>
        <w:spacing w:after="0" w:line="312" w:lineRule="auto"/>
        <w:rPr>
          <w:rFonts w:eastAsia="Times New Roman"/>
        </w:rPr>
      </w:pPr>
      <w:r w:rsidRPr="00846A52">
        <w:t xml:space="preserve">En otras palabras, para que sea jurídicamente viable la declaratoria de responsabilidad fiscal en un proceso determinado, es esencial que el daño patrimonial al Estado se encuentre debidamente acreditado en el expediente. </w:t>
      </w:r>
      <w:r w:rsidRPr="00846A52">
        <w:rPr>
          <w:rFonts w:eastAsia="Times New Roman"/>
        </w:rPr>
        <w:t>No obstante, del material demostrativo allegado al plenario, se observa que no se ha producido ningún daño patrimonial al Estado en este caso.</w:t>
      </w:r>
      <w:r w:rsidR="002E0BE9" w:rsidRPr="00846A52">
        <w:rPr>
          <w:rFonts w:eastAsia="Times New Roman"/>
        </w:rPr>
        <w:t xml:space="preserve"> Maxime cuando el ente de control ni </w:t>
      </w:r>
      <w:r w:rsidR="004F742C" w:rsidRPr="00846A52">
        <w:rPr>
          <w:rFonts w:eastAsia="Times New Roman"/>
        </w:rPr>
        <w:t>siquiera</w:t>
      </w:r>
      <w:r w:rsidR="002E0BE9" w:rsidRPr="00846A52">
        <w:rPr>
          <w:rFonts w:eastAsia="Times New Roman"/>
        </w:rPr>
        <w:t xml:space="preserve"> explica con claridad a que conceptos </w:t>
      </w:r>
      <w:r w:rsidR="004F742C" w:rsidRPr="00846A52">
        <w:rPr>
          <w:rFonts w:eastAsia="Times New Roman"/>
        </w:rPr>
        <w:t xml:space="preserve">pertenecen los recursos que supuestamente afectaron al ente territorial. </w:t>
      </w:r>
    </w:p>
    <w:p w14:paraId="0F52F3EB" w14:textId="77777777" w:rsidR="00B00C3F" w:rsidRPr="00846A52" w:rsidRDefault="00B00C3F" w:rsidP="00846A52">
      <w:pPr>
        <w:spacing w:after="0" w:line="312" w:lineRule="auto"/>
        <w:rPr>
          <w:rFonts w:eastAsia="Times New Roman"/>
        </w:rPr>
      </w:pPr>
    </w:p>
    <w:p w14:paraId="7C64287A" w14:textId="71D8B23F" w:rsidR="00B00C3F" w:rsidRPr="00846A52" w:rsidRDefault="00B00C3F" w:rsidP="00846A52">
      <w:pPr>
        <w:spacing w:after="0" w:line="312" w:lineRule="auto"/>
      </w:pPr>
      <w:r w:rsidRPr="00846A52">
        <w:rPr>
          <w:rFonts w:eastAsia="Times New Roman"/>
        </w:rPr>
        <w:t xml:space="preserve">En este orden de ideas, se debe tomar en consideración que la entidad afectada a través de sus </w:t>
      </w:r>
      <w:r w:rsidR="00F52BD2" w:rsidRPr="00846A52">
        <w:rPr>
          <w:rFonts w:eastAsia="Times New Roman"/>
        </w:rPr>
        <w:t>funcionarios</w:t>
      </w:r>
      <w:r w:rsidRPr="00846A52">
        <w:rPr>
          <w:rFonts w:eastAsia="Times New Roman"/>
        </w:rPr>
        <w:t xml:space="preserve"> </w:t>
      </w:r>
      <w:r w:rsidR="00883937" w:rsidRPr="00846A52">
        <w:rPr>
          <w:rFonts w:eastAsia="Times New Roman"/>
        </w:rPr>
        <w:t>evidencia la buena gestión y manejo de los recursos públicos</w:t>
      </w:r>
      <w:r w:rsidRPr="00846A52">
        <w:rPr>
          <w:rFonts w:eastAsia="Times New Roman"/>
        </w:rPr>
        <w:t xml:space="preserve">, es decir, no fue negligente ni actuó de manera temeraria e irresponsable </w:t>
      </w:r>
      <w:r w:rsidR="00883937" w:rsidRPr="00846A52">
        <w:rPr>
          <w:rFonts w:eastAsia="Times New Roman"/>
        </w:rPr>
        <w:t>en el manejo de los mismo</w:t>
      </w:r>
      <w:r w:rsidR="00562D46" w:rsidRPr="00846A52">
        <w:rPr>
          <w:rFonts w:eastAsia="Times New Roman"/>
        </w:rPr>
        <w:t>s</w:t>
      </w:r>
      <w:r w:rsidRPr="00846A52">
        <w:rPr>
          <w:rFonts w:eastAsia="Times New Roman"/>
        </w:rPr>
        <w:t xml:space="preserve">. </w:t>
      </w:r>
      <w:r w:rsidRPr="00846A52">
        <w:t>Por esta razón, ante la inexistencia de un daño patrimonial causado en contra del Estado, es jurídicamente improcedente la declaratoria de responsabilidad fiscal, por lo que consecuentemente, el Despacho imperativamente tendrá que archivar el proceso bajo análisis. Lo anterior, siguiendo lo consagrado en el artículo 47 de la ley 610 de 2000 el cual explica:</w:t>
      </w:r>
    </w:p>
    <w:p w14:paraId="2971D3AC" w14:textId="77777777" w:rsidR="00B00C3F" w:rsidRPr="00846A52" w:rsidRDefault="00B00C3F" w:rsidP="00846A52">
      <w:pPr>
        <w:spacing w:after="0" w:line="312" w:lineRule="auto"/>
      </w:pPr>
    </w:p>
    <w:p w14:paraId="0ED23100" w14:textId="77777777" w:rsidR="00B00C3F" w:rsidRPr="00846A52" w:rsidRDefault="00B00C3F" w:rsidP="00846A52">
      <w:pPr>
        <w:tabs>
          <w:tab w:val="left" w:pos="7938"/>
          <w:tab w:val="left" w:pos="8222"/>
        </w:tabs>
        <w:spacing w:after="0" w:line="276" w:lineRule="auto"/>
        <w:ind w:left="851" w:right="843"/>
        <w:rPr>
          <w:iCs/>
          <w:sz w:val="20"/>
          <w:szCs w:val="20"/>
        </w:rPr>
      </w:pPr>
      <w:r w:rsidRPr="00846A52">
        <w:rPr>
          <w:iCs/>
          <w:sz w:val="20"/>
          <w:szCs w:val="20"/>
        </w:rPr>
        <w:t>“</w:t>
      </w:r>
      <w:bookmarkStart w:id="4" w:name="47"/>
      <w:r w:rsidRPr="00846A52">
        <w:rPr>
          <w:b/>
          <w:bCs/>
          <w:iCs/>
          <w:sz w:val="20"/>
          <w:szCs w:val="20"/>
        </w:rPr>
        <w:t>ARTICULO 47. AUTO DE ARCHIVO.</w:t>
      </w:r>
      <w:bookmarkEnd w:id="4"/>
      <w:r w:rsidRPr="00846A52">
        <w:rPr>
          <w:iCs/>
          <w:sz w:val="20"/>
          <w:szCs w:val="20"/>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846A52">
        <w:rPr>
          <w:iCs/>
          <w:sz w:val="20"/>
          <w:szCs w:val="20"/>
        </w:rPr>
        <w:t>operancia</w:t>
      </w:r>
      <w:proofErr w:type="spellEnd"/>
      <w:r w:rsidRPr="00846A52">
        <w:rPr>
          <w:iCs/>
          <w:sz w:val="20"/>
          <w:szCs w:val="20"/>
        </w:rPr>
        <w:t xml:space="preserve"> de una causal excluyente de responsabilidad o se demuestre que la acción no podía iniciarse o proseguirse por haber operado la caducidad o la prescripción de la misma.” </w:t>
      </w:r>
    </w:p>
    <w:p w14:paraId="30AE735D" w14:textId="77777777" w:rsidR="00B00C3F" w:rsidRPr="00846A52" w:rsidRDefault="00B00C3F" w:rsidP="00846A52">
      <w:pPr>
        <w:tabs>
          <w:tab w:val="left" w:pos="7938"/>
        </w:tabs>
        <w:spacing w:after="0" w:line="312" w:lineRule="auto"/>
        <w:ind w:left="708" w:right="900"/>
        <w:rPr>
          <w:i/>
        </w:rPr>
      </w:pPr>
    </w:p>
    <w:p w14:paraId="2F8C90A0" w14:textId="29240DB1" w:rsidR="00B00C3F" w:rsidRPr="0058437E" w:rsidRDefault="00B00C3F" w:rsidP="00846A52">
      <w:pPr>
        <w:tabs>
          <w:tab w:val="center" w:pos="4013"/>
        </w:tabs>
        <w:spacing w:after="0" w:line="312" w:lineRule="auto"/>
        <w:ind w:left="0" w:right="-7" w:firstLine="0"/>
        <w:rPr>
          <w:bCs/>
          <w:color w:val="auto"/>
        </w:rPr>
      </w:pPr>
      <w:r w:rsidRPr="00846A52">
        <w:lastRenderedPageBreak/>
        <w:t>De esta forma, se concluye, que no existe un detrimento patrimonial causado a</w:t>
      </w:r>
      <w:r w:rsidR="00842197">
        <w:t>l</w:t>
      </w:r>
      <w:r w:rsidR="007D43BF" w:rsidRPr="00846A52">
        <w:t xml:space="preserve"> </w:t>
      </w:r>
      <w:r w:rsidR="006401E4" w:rsidRPr="00846A52">
        <w:rPr>
          <w:b/>
          <w:bCs/>
        </w:rPr>
        <w:t xml:space="preserve">DISTRITO ESPECIAL DE SANTIAGO DE CALI </w:t>
      </w:r>
      <w:r w:rsidR="006401E4" w:rsidRPr="00846A52">
        <w:t>máxime</w:t>
      </w:r>
      <w:r w:rsidR="00842197">
        <w:rPr>
          <w:rFonts w:eastAsia="Times New Roman"/>
          <w:color w:val="000000" w:themeColor="text1"/>
        </w:rPr>
        <w:t xml:space="preserve"> cuando</w:t>
      </w:r>
      <w:r w:rsidR="009F605E" w:rsidRPr="00846A52">
        <w:rPr>
          <w:rFonts w:eastAsia="Times New Roman"/>
          <w:color w:val="000000" w:themeColor="text1"/>
        </w:rPr>
        <w:t xml:space="preserve"> </w:t>
      </w:r>
      <w:r w:rsidR="006401E4" w:rsidRPr="00846A52">
        <w:rPr>
          <w:rFonts w:eastAsia="Times New Roman"/>
          <w:color w:val="000000" w:themeColor="text1"/>
        </w:rPr>
        <w:t xml:space="preserve">no se observa un análisis juicioso de la determinación de la cuantía, </w:t>
      </w:r>
      <w:r w:rsidR="0058437E" w:rsidRPr="00846A52">
        <w:rPr>
          <w:rFonts w:eastAsia="Times New Roman"/>
          <w:color w:val="000000" w:themeColor="text1"/>
        </w:rPr>
        <w:t xml:space="preserve">por el contrario, únicamente se limitó a indicar que el supuesto detrimento patrimonial ascendía </w:t>
      </w:r>
      <w:r w:rsidR="0058437E">
        <w:rPr>
          <w:rFonts w:eastAsia="Times New Roman"/>
          <w:color w:val="000000" w:themeColor="text1"/>
        </w:rPr>
        <w:t>a la suma de</w:t>
      </w:r>
      <w:r w:rsidR="0058437E">
        <w:rPr>
          <w:rFonts w:eastAsia="Times New Roman"/>
          <w:color w:val="000000" w:themeColor="text1"/>
        </w:rPr>
        <w:t xml:space="preserve"> </w:t>
      </w:r>
      <w:r w:rsidR="0058437E" w:rsidRPr="009D5D69">
        <w:rPr>
          <w:b/>
          <w:bCs/>
        </w:rPr>
        <w:t>$987.592</w:t>
      </w:r>
      <w:r w:rsidR="0058437E">
        <w:rPr>
          <w:b/>
          <w:bCs/>
        </w:rPr>
        <w:t xml:space="preserve"> </w:t>
      </w:r>
      <w:r w:rsidR="0058437E" w:rsidRPr="00846A52">
        <w:rPr>
          <w:rFonts w:eastAsia="Times New Roman"/>
          <w:color w:val="000000" w:themeColor="text1"/>
        </w:rPr>
        <w:t>correspondientes a</w:t>
      </w:r>
      <w:r w:rsidR="0058437E">
        <w:rPr>
          <w:rFonts w:eastAsia="Times New Roman"/>
          <w:color w:val="000000" w:themeColor="text1"/>
        </w:rPr>
        <w:t xml:space="preserve"> unos supuestos</w:t>
      </w:r>
      <w:r w:rsidR="0058437E" w:rsidRPr="00846A52">
        <w:rPr>
          <w:rFonts w:eastAsia="Times New Roman"/>
          <w:color w:val="000000" w:themeColor="text1"/>
        </w:rPr>
        <w:t xml:space="preserve"> “recursos propios</w:t>
      </w:r>
      <w:r w:rsidR="0058437E">
        <w:rPr>
          <w:bCs/>
          <w:color w:val="auto"/>
        </w:rPr>
        <w:t xml:space="preserve">, </w:t>
      </w:r>
      <w:r w:rsidR="006401E4" w:rsidRPr="00846A52">
        <w:rPr>
          <w:rFonts w:eastAsia="Times New Roman"/>
          <w:color w:val="000000" w:themeColor="text1"/>
        </w:rPr>
        <w:t>pero sin más justificación se apertura la investigación fiscal. Lo que es totalmente improcedente, ya que es necesario qu</w:t>
      </w:r>
      <w:r w:rsidR="00842197">
        <w:rPr>
          <w:rFonts w:eastAsia="Times New Roman"/>
          <w:color w:val="000000" w:themeColor="text1"/>
        </w:rPr>
        <w:t>e los aquí vinculados conozcan</w:t>
      </w:r>
      <w:r w:rsidR="006401E4" w:rsidRPr="00846A52">
        <w:rPr>
          <w:rFonts w:eastAsia="Times New Roman"/>
          <w:color w:val="000000" w:themeColor="text1"/>
        </w:rPr>
        <w:t xml:space="preserve"> a fondo los argumentos y elementos que determinaron la cuantía con el fin de ejercer el derecho de defensa y contradicción. Situación que claramente en este punto se ve afectada, al no exponerse con claridad en el auto de apertura a que conceptos y porque se determinó ese valor en el detrimento patrimonial. </w:t>
      </w:r>
      <w:r w:rsidR="00DB685D" w:rsidRPr="00846A52">
        <w:rPr>
          <w:bCs/>
          <w:color w:val="auto"/>
        </w:rPr>
        <w:t xml:space="preserve"> </w:t>
      </w:r>
      <w:r w:rsidR="00562D46" w:rsidRPr="00846A52">
        <w:t>En tal virtud,</w:t>
      </w:r>
      <w:r w:rsidR="00383199" w:rsidRPr="00846A52">
        <w:t xml:space="preserve"> la Contraloría deberá archivar el proceso</w:t>
      </w:r>
      <w:r w:rsidR="00562D46" w:rsidRPr="00846A52">
        <w:t xml:space="preserve"> de responsabilidad fiscal que nos ocupa</w:t>
      </w:r>
      <w:r w:rsidR="00383199" w:rsidRPr="00846A52">
        <w:t xml:space="preserve"> ante la ausencia de elementos que acrediten un daño patrimonial.</w:t>
      </w:r>
    </w:p>
    <w:p w14:paraId="748766A0" w14:textId="77777777" w:rsidR="0058437E" w:rsidRDefault="0058437E" w:rsidP="00846A52">
      <w:pPr>
        <w:tabs>
          <w:tab w:val="center" w:pos="4013"/>
        </w:tabs>
        <w:spacing w:after="0" w:line="312" w:lineRule="auto"/>
        <w:ind w:left="0" w:right="-7" w:firstLine="0"/>
      </w:pPr>
    </w:p>
    <w:p w14:paraId="79583A7F" w14:textId="42886FD3" w:rsidR="00B00C3F" w:rsidRPr="00846A52" w:rsidRDefault="00B00C3F" w:rsidP="00846A52">
      <w:pPr>
        <w:pStyle w:val="Prrafodelista"/>
        <w:numPr>
          <w:ilvl w:val="0"/>
          <w:numId w:val="6"/>
        </w:numPr>
        <w:spacing w:after="0" w:line="312" w:lineRule="auto"/>
        <w:ind w:left="284" w:hanging="284"/>
        <w:jc w:val="both"/>
        <w:rPr>
          <w:rFonts w:ascii="Arial" w:hAnsi="Arial" w:cs="Arial"/>
          <w:b/>
          <w:bCs/>
          <w:u w:val="single"/>
        </w:rPr>
      </w:pPr>
      <w:r w:rsidRPr="00846A52">
        <w:rPr>
          <w:rFonts w:ascii="Arial" w:hAnsi="Arial" w:cs="Arial"/>
          <w:b/>
          <w:bCs/>
          <w:u w:val="single"/>
        </w:rPr>
        <w:t>EN EL PRESENTE CASO NO SE REÚNEN LOS ELEMENTOS DE LA RESPONSABILIDAD FISCAL - POR INEXISTENCIA DE CULPA GRAVE Y/O DOLO EN CABEZA DE</w:t>
      </w:r>
      <w:r w:rsidR="00DD723A" w:rsidRPr="00846A52">
        <w:rPr>
          <w:rFonts w:ascii="Arial" w:hAnsi="Arial" w:cs="Arial"/>
          <w:b/>
          <w:bCs/>
          <w:u w:val="single"/>
        </w:rPr>
        <w:t xml:space="preserve"> LOS</w:t>
      </w:r>
      <w:r w:rsidRPr="00846A52">
        <w:rPr>
          <w:rFonts w:ascii="Arial" w:hAnsi="Arial" w:cs="Arial"/>
          <w:b/>
          <w:bCs/>
          <w:u w:val="single"/>
        </w:rPr>
        <w:t xml:space="preserve"> PRESUNTO</w:t>
      </w:r>
      <w:r w:rsidR="00DD723A" w:rsidRPr="00846A52">
        <w:rPr>
          <w:rFonts w:ascii="Arial" w:hAnsi="Arial" w:cs="Arial"/>
          <w:b/>
          <w:bCs/>
          <w:u w:val="single"/>
        </w:rPr>
        <w:t>S</w:t>
      </w:r>
      <w:r w:rsidRPr="00846A52">
        <w:rPr>
          <w:rFonts w:ascii="Arial" w:hAnsi="Arial" w:cs="Arial"/>
          <w:b/>
          <w:bCs/>
          <w:u w:val="single"/>
        </w:rPr>
        <w:t xml:space="preserve"> RESPONSABLE</w:t>
      </w:r>
      <w:r w:rsidR="00DD723A" w:rsidRPr="00846A52">
        <w:rPr>
          <w:rFonts w:ascii="Arial" w:hAnsi="Arial" w:cs="Arial"/>
          <w:b/>
          <w:bCs/>
          <w:u w:val="single"/>
        </w:rPr>
        <w:t>S</w:t>
      </w:r>
      <w:r w:rsidRPr="00846A52">
        <w:rPr>
          <w:rFonts w:ascii="Arial" w:hAnsi="Arial" w:cs="Arial"/>
          <w:b/>
          <w:bCs/>
          <w:u w:val="single"/>
        </w:rPr>
        <w:t xml:space="preserve">. </w:t>
      </w:r>
    </w:p>
    <w:p w14:paraId="48C90EBA" w14:textId="77777777" w:rsidR="00B00C3F" w:rsidRPr="00846A52" w:rsidRDefault="00B00C3F" w:rsidP="00846A52">
      <w:pPr>
        <w:spacing w:after="0" w:line="312" w:lineRule="auto"/>
        <w:rPr>
          <w:b/>
          <w:u w:val="single"/>
        </w:rPr>
      </w:pPr>
    </w:p>
    <w:p w14:paraId="36E6672A" w14:textId="14710D7D" w:rsidR="000259EE" w:rsidRPr="00846A52" w:rsidRDefault="00213690" w:rsidP="00846A52">
      <w:pPr>
        <w:spacing w:after="0" w:line="312" w:lineRule="auto"/>
        <w:rPr>
          <w:color w:val="000000" w:themeColor="text1"/>
        </w:rPr>
      </w:pPr>
      <w:r w:rsidRPr="00846A52">
        <w:rPr>
          <w:color w:val="000000" w:themeColor="text1"/>
        </w:rPr>
        <w:t>De acuerdo a lo señalado en el auto de apertura, el aspecto central de la investigación radica en una simple afirmación carente de fundamento, referente a</w:t>
      </w:r>
      <w:r w:rsidR="007C79B8" w:rsidRPr="00846A52">
        <w:rPr>
          <w:color w:val="000000" w:themeColor="text1"/>
        </w:rPr>
        <w:t xml:space="preserve"> la supuesta falta de </w:t>
      </w:r>
      <w:r w:rsidR="00717649" w:rsidRPr="00846A52">
        <w:rPr>
          <w:color w:val="000000" w:themeColor="text1"/>
        </w:rPr>
        <w:t>seguimiento y control al no exigir la buena calidad del objeto contratado</w:t>
      </w:r>
      <w:r w:rsidR="007C79B8" w:rsidRPr="00846A52">
        <w:rPr>
          <w:color w:val="000000" w:themeColor="text1"/>
        </w:rPr>
        <w:t xml:space="preserve">. </w:t>
      </w:r>
      <w:r w:rsidRPr="00846A52">
        <w:rPr>
          <w:color w:val="000000" w:themeColor="text1"/>
        </w:rPr>
        <w:t>Sin embargo, se destaca que, en ningún momento, se ha hecho referencia concreta a la existencia de alguna conducta dolosa, gravemente culposa u omisión que represente la materialización del daño</w:t>
      </w:r>
      <w:r w:rsidR="00ED312A" w:rsidRPr="00846A52">
        <w:rPr>
          <w:color w:val="000000" w:themeColor="text1"/>
        </w:rPr>
        <w:t xml:space="preserve">, pues si </w:t>
      </w:r>
      <w:r w:rsidR="00AC12E1" w:rsidRPr="00846A52">
        <w:rPr>
          <w:color w:val="000000" w:themeColor="text1"/>
        </w:rPr>
        <w:t>ni siquiera</w:t>
      </w:r>
      <w:r w:rsidR="00ED312A" w:rsidRPr="00846A52">
        <w:rPr>
          <w:color w:val="000000" w:themeColor="text1"/>
        </w:rPr>
        <w:t xml:space="preserve"> existe un daño</w:t>
      </w:r>
      <w:r w:rsidR="00AC12E1" w:rsidRPr="00846A52">
        <w:rPr>
          <w:color w:val="000000" w:themeColor="text1"/>
        </w:rPr>
        <w:t xml:space="preserve">. Ya que de lo poco establecido en el auto de apertura </w:t>
      </w:r>
      <w:r w:rsidR="00EB69CD" w:rsidRPr="00846A52">
        <w:rPr>
          <w:color w:val="000000" w:themeColor="text1"/>
        </w:rPr>
        <w:t>no es posible avizorar cuáles son esas conductas a cargo de los servidores públicos que generaron la presente investigación, si la</w:t>
      </w:r>
      <w:r w:rsidR="000966C9" w:rsidRPr="00846A52">
        <w:rPr>
          <w:color w:val="000000" w:themeColor="text1"/>
        </w:rPr>
        <w:t xml:space="preserve"> garantía de la obra se encuentra única y exclusivamente a cargo del contratista quien es el que ejecutó la obra y no de los servidores públicos que, en virtud de la buena fe y la revisión de la obra recibieron a satisfacción. </w:t>
      </w:r>
      <w:r w:rsidR="0053567B" w:rsidRPr="00846A52">
        <w:rPr>
          <w:color w:val="000000" w:themeColor="text1"/>
        </w:rPr>
        <w:t xml:space="preserve">Es decir, que no obra en el plenario ninguna prueba o fundamento que </w:t>
      </w:r>
      <w:r w:rsidR="003E6DDB" w:rsidRPr="00846A52">
        <w:rPr>
          <w:color w:val="000000" w:themeColor="text1"/>
        </w:rPr>
        <w:t>conduzca a tan siquiera pensar en una conducta reprochable o en una actuación que termine en una responsabilidad fiscal</w:t>
      </w:r>
      <w:r w:rsidR="005D5A02" w:rsidRPr="00846A52">
        <w:rPr>
          <w:color w:val="000000" w:themeColor="text1"/>
        </w:rPr>
        <w:t xml:space="preserve"> contra el aquí investigado co</w:t>
      </w:r>
      <w:r w:rsidR="009E0924" w:rsidRPr="00846A52">
        <w:rPr>
          <w:color w:val="000000" w:themeColor="text1"/>
        </w:rPr>
        <w:t>mo presunto responsable.</w:t>
      </w:r>
      <w:r w:rsidR="000966C9" w:rsidRPr="00846A52">
        <w:rPr>
          <w:color w:val="000000" w:themeColor="text1"/>
        </w:rPr>
        <w:t xml:space="preserve"> </w:t>
      </w:r>
      <w:r w:rsidR="0089004B" w:rsidRPr="00846A52">
        <w:rPr>
          <w:lang w:val="es-ES"/>
        </w:rPr>
        <w:t xml:space="preserve">Por lo tanto, las conductas que son reprochadas por el ente de control ni siquiera fueron realizadas por </w:t>
      </w:r>
      <w:r w:rsidR="003F5602" w:rsidRPr="00846A52">
        <w:rPr>
          <w:lang w:val="es-ES"/>
        </w:rPr>
        <w:t xml:space="preserve">el secretario </w:t>
      </w:r>
      <w:r w:rsidR="0058437E">
        <w:rPr>
          <w:lang w:val="es-ES"/>
        </w:rPr>
        <w:t>del Deporte y la recreación</w:t>
      </w:r>
      <w:r w:rsidR="0089004B" w:rsidRPr="00846A52">
        <w:rPr>
          <w:lang w:val="es-ES"/>
        </w:rPr>
        <w:t xml:space="preserve"> aquí vinculado, surgiendo así una inexactitud de función con el presunto hecho dañoso. </w:t>
      </w:r>
    </w:p>
    <w:p w14:paraId="53853289" w14:textId="77777777" w:rsidR="000259EE" w:rsidRPr="00846A52" w:rsidRDefault="000259EE" w:rsidP="00846A52">
      <w:pPr>
        <w:spacing w:after="0" w:line="312" w:lineRule="auto"/>
        <w:rPr>
          <w:lang w:val="es-ES"/>
        </w:rPr>
      </w:pPr>
    </w:p>
    <w:p w14:paraId="292F27DF" w14:textId="58D5EDAF" w:rsidR="00B00C3F" w:rsidRPr="00846A52" w:rsidRDefault="0089004B" w:rsidP="00846A52">
      <w:pPr>
        <w:spacing w:after="0" w:line="312" w:lineRule="auto"/>
      </w:pPr>
      <w:r w:rsidRPr="00846A52">
        <w:rPr>
          <w:lang w:val="es-ES"/>
        </w:rPr>
        <w:t>Ahora bien e</w:t>
      </w:r>
      <w:r w:rsidR="00B00C3F" w:rsidRPr="00846A52">
        <w:rPr>
          <w:lang w:val="es-ES"/>
        </w:rPr>
        <w:t xml:space="preserve">s de suma importancia ponerle de presente al Despacho que, en cuanto la conducta dolosa o culposa atribuible al gestor fiscal, el grado del elemento culpa no puede ser uno distinto del dolo o de la </w:t>
      </w:r>
      <w:r w:rsidR="00B00C3F" w:rsidRPr="00846A52">
        <w:rPr>
          <w:b/>
          <w:u w:val="single"/>
          <w:lang w:val="es-ES"/>
        </w:rPr>
        <w:t>culpa grave</w:t>
      </w:r>
      <w:r w:rsidR="00B00C3F" w:rsidRPr="00846A52">
        <w:rPr>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00B00C3F" w:rsidRPr="00846A52">
        <w:rPr>
          <w:b/>
          <w:u w:val="single"/>
          <w:lang w:val="es-ES"/>
        </w:rPr>
        <w:t>gravemente</w:t>
      </w:r>
      <w:r w:rsidR="00B00C3F" w:rsidRPr="00846A52">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11196A89" w14:textId="77777777" w:rsidR="00B00C3F" w:rsidRPr="00846A52" w:rsidRDefault="00B00C3F" w:rsidP="00846A52">
      <w:pPr>
        <w:spacing w:after="0" w:line="312" w:lineRule="auto"/>
        <w:rPr>
          <w:lang w:val="es-ES"/>
        </w:rPr>
      </w:pPr>
    </w:p>
    <w:p w14:paraId="1718B90D"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r w:rsidRPr="00846A52">
        <w:rPr>
          <w:rFonts w:ascii="Arial" w:eastAsiaTheme="minorHAnsi" w:hAnsi="Arial" w:cs="Arial"/>
          <w:sz w:val="20"/>
          <w:szCs w:val="20"/>
          <w:lang w:val="es-CO" w:eastAsia="en-US"/>
        </w:rPr>
        <w:t xml:space="preserve">“6.4. Pero no sólo eso. El Legislador también está limitado por la manera como la Carta ha determinado la naturaleza de la responsabilidad patrimonial de los agentes estatales en otros supuestos. Eso es así, si se repara en el hecho de que la ley no puede concebir </w:t>
      </w:r>
      <w:r w:rsidRPr="00846A52">
        <w:rPr>
          <w:rFonts w:ascii="Arial" w:eastAsiaTheme="minorHAnsi" w:hAnsi="Arial" w:cs="Arial"/>
          <w:sz w:val="20"/>
          <w:szCs w:val="20"/>
          <w:lang w:val="es-CO" w:eastAsia="en-US"/>
        </w:rPr>
        <w:lastRenderedPageBreak/>
        <w:t>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A7FF2CD"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p>
    <w:p w14:paraId="09927C77"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r w:rsidRPr="00846A52">
        <w:rPr>
          <w:rFonts w:ascii="Arial" w:eastAsiaTheme="minorHAnsi" w:hAnsi="Arial" w:cs="Arial"/>
          <w:sz w:val="20"/>
          <w:szCs w:val="20"/>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3BD9A7A"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BDC0B78"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r w:rsidRPr="00846A52">
        <w:rPr>
          <w:rFonts w:ascii="Arial" w:eastAsiaTheme="minorHAnsi" w:hAnsi="Arial" w:cs="Arial"/>
          <w:sz w:val="20"/>
          <w:szCs w:val="20"/>
          <w:lang w:val="es-CO" w:eastAsia="en-US"/>
        </w:rPr>
        <w:t xml:space="preserve">6.6. </w:t>
      </w:r>
      <w:r w:rsidRPr="00846A52">
        <w:rPr>
          <w:rFonts w:ascii="Arial" w:eastAsiaTheme="minorHAnsi" w:hAnsi="Arial" w:cs="Arial"/>
          <w:b/>
          <w:sz w:val="20"/>
          <w:szCs w:val="20"/>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846A52">
        <w:rPr>
          <w:rFonts w:ascii="Arial" w:eastAsiaTheme="minorHAnsi" w:hAnsi="Arial" w:cs="Arial"/>
          <w:sz w:val="20"/>
          <w:szCs w:val="20"/>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3B0C992"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031AAC0"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r w:rsidRPr="00846A52">
        <w:rPr>
          <w:rFonts w:ascii="Arial" w:eastAsiaTheme="minorHAnsi" w:hAnsi="Arial" w:cs="Arial"/>
          <w:sz w:val="20"/>
          <w:szCs w:val="20"/>
          <w:lang w:val="es-CO" w:eastAsia="en-US"/>
        </w:rPr>
        <w:t>(…)</w:t>
      </w:r>
    </w:p>
    <w:p w14:paraId="2C7050E2"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p>
    <w:p w14:paraId="6BDBAC5D"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r w:rsidRPr="00846A52">
        <w:rPr>
          <w:rFonts w:ascii="Arial" w:eastAsiaTheme="minorHAnsi" w:hAnsi="Arial" w:cs="Arial"/>
          <w:sz w:val="20"/>
          <w:szCs w:val="20"/>
          <w:lang w:val="es-CO" w:eastAsia="en-US"/>
        </w:rPr>
        <w:t xml:space="preserve">6.10. En relación con esto último, valga destacar que la Corte, primero en la Sentencia C-046 de 1994 (M.P. Eduardo Cifuentes Muñoz) y luego en la Sentencia T-973 de 1999 (M.P. </w:t>
      </w:r>
      <w:proofErr w:type="spellStart"/>
      <w:r w:rsidRPr="00846A52">
        <w:rPr>
          <w:rFonts w:ascii="Arial" w:eastAsiaTheme="minorHAnsi" w:hAnsi="Arial" w:cs="Arial"/>
          <w:sz w:val="20"/>
          <w:szCs w:val="20"/>
          <w:lang w:val="es-CO" w:eastAsia="en-US"/>
        </w:rPr>
        <w:t>Alvaro</w:t>
      </w:r>
      <w:proofErr w:type="spellEnd"/>
      <w:r w:rsidRPr="00846A52">
        <w:rPr>
          <w:rFonts w:ascii="Arial" w:eastAsiaTheme="minorHAnsi" w:hAnsi="Arial" w:cs="Arial"/>
          <w:sz w:val="20"/>
          <w:szCs w:val="20"/>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657069D0"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p>
    <w:p w14:paraId="24983E7C" w14:textId="77777777" w:rsidR="00B00C3F" w:rsidRPr="00846A52" w:rsidRDefault="00B00C3F" w:rsidP="00846A52">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r w:rsidRPr="00846A52">
        <w:rPr>
          <w:rFonts w:ascii="Arial" w:eastAsiaTheme="minorHAnsi" w:hAnsi="Arial" w:cs="Arial"/>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7FA1E06D" w14:textId="77777777" w:rsidR="00B00C3F" w:rsidRPr="00846A52" w:rsidRDefault="00B00C3F" w:rsidP="00846A52">
      <w:pPr>
        <w:pStyle w:val="margenizq0punto5margender0punto5"/>
        <w:spacing w:before="0" w:beforeAutospacing="0" w:after="0" w:afterAutospacing="0"/>
        <w:ind w:left="851" w:right="843"/>
        <w:jc w:val="both"/>
        <w:rPr>
          <w:rFonts w:ascii="Arial" w:eastAsiaTheme="minorHAnsi" w:hAnsi="Arial" w:cs="Arial"/>
          <w:sz w:val="20"/>
          <w:szCs w:val="20"/>
          <w:lang w:val="es-CO" w:eastAsia="en-US"/>
        </w:rPr>
      </w:pPr>
    </w:p>
    <w:p w14:paraId="002BBD72" w14:textId="77777777" w:rsidR="00B00C3F" w:rsidRPr="00846A52" w:rsidRDefault="00B00C3F" w:rsidP="00846A52">
      <w:pPr>
        <w:pStyle w:val="NormalWeb"/>
        <w:spacing w:before="0" w:beforeAutospacing="0" w:after="0" w:afterAutospacing="0"/>
        <w:ind w:left="851" w:right="843"/>
        <w:jc w:val="both"/>
        <w:rPr>
          <w:rFonts w:ascii="Arial" w:eastAsiaTheme="minorHAnsi" w:hAnsi="Arial" w:cs="Arial"/>
          <w:sz w:val="20"/>
          <w:szCs w:val="20"/>
          <w:lang w:val="es-CO" w:eastAsia="en-US"/>
        </w:rPr>
      </w:pPr>
      <w:r w:rsidRPr="00846A52">
        <w:rPr>
          <w:rFonts w:ascii="Arial" w:eastAsiaTheme="minorHAnsi" w:hAnsi="Arial" w:cs="Arial"/>
          <w:sz w:val="20"/>
          <w:szCs w:val="20"/>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846A52">
        <w:rPr>
          <w:rFonts w:ascii="Arial" w:eastAsiaTheme="minorHAnsi" w:hAnsi="Arial" w:cs="Arial"/>
          <w:b/>
          <w:sz w:val="20"/>
          <w:szCs w:val="20"/>
          <w:u w:val="single"/>
          <w:lang w:val="es-CO" w:eastAsia="en-US"/>
        </w:rPr>
        <w:t xml:space="preserve">.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w:t>
      </w:r>
      <w:r w:rsidRPr="00846A52">
        <w:rPr>
          <w:rFonts w:ascii="Arial" w:eastAsiaTheme="minorHAnsi" w:hAnsi="Arial" w:cs="Arial"/>
          <w:b/>
          <w:sz w:val="20"/>
          <w:szCs w:val="20"/>
          <w:u w:val="single"/>
          <w:lang w:val="es-CO" w:eastAsia="en-US"/>
        </w:rPr>
        <w:lastRenderedPageBreak/>
        <w:t>610 de 2000 es inconstitucional y será declaro inexequible en la parte resolutiva de esta Sentencia.</w:t>
      </w:r>
      <w:r w:rsidRPr="00846A52">
        <w:rPr>
          <w:rFonts w:ascii="Arial" w:eastAsiaTheme="minorHAnsi" w:hAnsi="Arial" w:cs="Arial"/>
          <w:sz w:val="20"/>
          <w:szCs w:val="20"/>
          <w:lang w:val="es-CO" w:eastAsia="en-US"/>
        </w:rPr>
        <w:t>”</w:t>
      </w:r>
      <w:r w:rsidRPr="00846A52">
        <w:rPr>
          <w:rStyle w:val="Refdenotaalpie"/>
          <w:rFonts w:ascii="Arial" w:eastAsiaTheme="minorHAnsi" w:hAnsi="Arial" w:cs="Arial"/>
          <w:sz w:val="20"/>
          <w:szCs w:val="20"/>
          <w:lang w:val="es-CO" w:eastAsia="en-US"/>
        </w:rPr>
        <w:footnoteReference w:id="4"/>
      </w:r>
      <w:r w:rsidRPr="00846A52">
        <w:rPr>
          <w:rFonts w:ascii="Arial" w:eastAsiaTheme="minorHAnsi" w:hAnsi="Arial" w:cs="Arial"/>
          <w:sz w:val="20"/>
          <w:szCs w:val="20"/>
          <w:lang w:val="es-CO" w:eastAsia="en-US"/>
        </w:rPr>
        <w:t xml:space="preserve"> (Subrayado y negrilla fuera del texto original)</w:t>
      </w:r>
    </w:p>
    <w:p w14:paraId="290F7E08" w14:textId="77777777" w:rsidR="00B00C3F" w:rsidRPr="00846A52" w:rsidRDefault="00B00C3F" w:rsidP="00846A52">
      <w:pPr>
        <w:pStyle w:val="NormalWeb"/>
        <w:spacing w:before="0" w:beforeAutospacing="0" w:after="0" w:afterAutospacing="0" w:line="276" w:lineRule="auto"/>
        <w:jc w:val="both"/>
        <w:rPr>
          <w:rFonts w:ascii="Arial" w:eastAsiaTheme="minorHAnsi" w:hAnsi="Arial" w:cs="Arial"/>
          <w:sz w:val="22"/>
          <w:szCs w:val="22"/>
          <w:lang w:val="es-CO" w:eastAsia="en-US"/>
        </w:rPr>
      </w:pPr>
    </w:p>
    <w:p w14:paraId="5262B48D" w14:textId="77777777" w:rsidR="00B00C3F" w:rsidRPr="00846A52" w:rsidRDefault="00B00C3F" w:rsidP="00846A52">
      <w:pPr>
        <w:spacing w:after="0" w:line="312" w:lineRule="auto"/>
        <w:rPr>
          <w:lang w:val="es-ES"/>
        </w:rPr>
      </w:pPr>
      <w:r w:rsidRPr="00846A52">
        <w:rPr>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FB55D90" w14:textId="77777777" w:rsidR="00B00C3F" w:rsidRPr="00846A52" w:rsidRDefault="00B00C3F" w:rsidP="00846A52">
      <w:pPr>
        <w:pStyle w:val="Sinespaciado"/>
        <w:spacing w:line="312" w:lineRule="auto"/>
        <w:jc w:val="both"/>
        <w:rPr>
          <w:rFonts w:ascii="Arial" w:hAnsi="Arial" w:cs="Arial"/>
          <w:lang w:val="es-ES"/>
        </w:rPr>
      </w:pPr>
    </w:p>
    <w:p w14:paraId="5BD33D12" w14:textId="5A153D9D" w:rsidR="00B00C3F" w:rsidRPr="00846A52" w:rsidRDefault="00B00C3F" w:rsidP="00846A52">
      <w:pPr>
        <w:spacing w:after="0" w:line="312" w:lineRule="auto"/>
        <w:rPr>
          <w:lang w:val="es-ES"/>
        </w:rPr>
      </w:pPr>
      <w:r w:rsidRPr="00846A52">
        <w:rPr>
          <w:lang w:val="es-ES"/>
        </w:rPr>
        <w:t xml:space="preserve">Señalado lo anterior, resulta de gran importancia examinar si </w:t>
      </w:r>
      <w:r w:rsidR="0089004B" w:rsidRPr="00846A52">
        <w:rPr>
          <w:lang w:val="es-ES"/>
        </w:rPr>
        <w:t>las actuaciones de los aquí investigados</w:t>
      </w:r>
      <w:r w:rsidR="0089004B" w:rsidRPr="00846A52">
        <w:rPr>
          <w:b/>
          <w:bCs/>
        </w:rPr>
        <w:t xml:space="preserve"> </w:t>
      </w:r>
      <w:r w:rsidR="0089004B" w:rsidRPr="00846A52">
        <w:rPr>
          <w:lang w:val="es-ES"/>
        </w:rPr>
        <w:t>pueden</w:t>
      </w:r>
      <w:r w:rsidRPr="00846A52">
        <w:rPr>
          <w:lang w:val="es-ES"/>
        </w:rPr>
        <w:t xml:space="preserve"> ser catalogada</w:t>
      </w:r>
      <w:r w:rsidR="00407DF1">
        <w:rPr>
          <w:lang w:val="es-ES"/>
        </w:rPr>
        <w:t>s</w:t>
      </w:r>
      <w:r w:rsidRPr="00846A52">
        <w:rPr>
          <w:lang w:val="es-ES"/>
        </w:rPr>
        <w:t xml:space="preserve">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51DABA9F" w14:textId="77777777" w:rsidR="00B00C3F" w:rsidRPr="00846A52" w:rsidRDefault="00B00C3F" w:rsidP="00846A52">
      <w:pPr>
        <w:pStyle w:val="Sinespaciado"/>
        <w:spacing w:line="312" w:lineRule="auto"/>
        <w:jc w:val="both"/>
        <w:rPr>
          <w:rFonts w:ascii="Arial" w:hAnsi="Arial" w:cs="Arial"/>
          <w:lang w:val="es-ES"/>
        </w:rPr>
      </w:pPr>
    </w:p>
    <w:p w14:paraId="4F3652DB" w14:textId="77777777" w:rsidR="00B00C3F" w:rsidRPr="00846A52" w:rsidRDefault="00B00C3F" w:rsidP="00846A52">
      <w:pPr>
        <w:spacing w:after="0" w:line="312" w:lineRule="auto"/>
        <w:rPr>
          <w:lang w:val="es-ES"/>
        </w:rPr>
      </w:pPr>
      <w:r w:rsidRPr="00846A52">
        <w:rPr>
          <w:lang w:val="es-ES"/>
        </w:rPr>
        <w:t xml:space="preserve">En este orden de ideas, el artículo 63 del Código Civil define la culpa grave de la siguiente forma: </w:t>
      </w:r>
    </w:p>
    <w:p w14:paraId="72158761" w14:textId="77777777" w:rsidR="00B00C3F" w:rsidRPr="00846A52" w:rsidRDefault="00B00C3F" w:rsidP="00846A52">
      <w:pPr>
        <w:pStyle w:val="Sinespaciado"/>
        <w:spacing w:line="312" w:lineRule="auto"/>
        <w:jc w:val="both"/>
        <w:rPr>
          <w:rFonts w:ascii="Arial" w:hAnsi="Arial" w:cs="Arial"/>
          <w:lang w:val="es-ES"/>
        </w:rPr>
      </w:pPr>
    </w:p>
    <w:p w14:paraId="3EF77CB0" w14:textId="77777777" w:rsidR="00B00C3F" w:rsidRPr="00846A52" w:rsidRDefault="00B00C3F" w:rsidP="00846A52">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bookmarkStart w:id="5" w:name="63"/>
      <w:r w:rsidRPr="00846A52">
        <w:rPr>
          <w:rFonts w:ascii="Arial" w:eastAsiaTheme="minorHAnsi" w:hAnsi="Arial" w:cs="Arial"/>
          <w:sz w:val="20"/>
          <w:szCs w:val="20"/>
          <w:lang w:eastAsia="en-US"/>
        </w:rPr>
        <w:t>“ARTICULO 63. &lt;CULPA Y DOLO&gt;.</w:t>
      </w:r>
      <w:bookmarkEnd w:id="5"/>
      <w:r w:rsidRPr="00846A52">
        <w:rPr>
          <w:rFonts w:ascii="Arial" w:eastAsiaTheme="minorHAnsi" w:hAnsi="Arial" w:cs="Arial"/>
          <w:sz w:val="20"/>
          <w:szCs w:val="20"/>
          <w:lang w:eastAsia="en-US"/>
        </w:rPr>
        <w:t> La ley distingue tres especies de culpa o descuido.</w:t>
      </w:r>
    </w:p>
    <w:p w14:paraId="37774DDF" w14:textId="77777777" w:rsidR="00B00C3F" w:rsidRPr="00846A52" w:rsidRDefault="00B00C3F" w:rsidP="00846A52">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p>
    <w:p w14:paraId="76F326FF" w14:textId="77777777" w:rsidR="00B00C3F" w:rsidRPr="00846A52" w:rsidRDefault="00B00C3F" w:rsidP="00846A52">
      <w:pPr>
        <w:pStyle w:val="NormalWeb"/>
        <w:tabs>
          <w:tab w:val="left" w:pos="7938"/>
          <w:tab w:val="left" w:pos="8222"/>
        </w:tabs>
        <w:spacing w:before="0" w:beforeAutospacing="0" w:after="0" w:afterAutospacing="0"/>
        <w:ind w:left="851" w:right="843"/>
        <w:jc w:val="both"/>
        <w:rPr>
          <w:rFonts w:ascii="Arial" w:eastAsiaTheme="minorHAnsi" w:hAnsi="Arial" w:cs="Arial"/>
          <w:sz w:val="20"/>
          <w:szCs w:val="20"/>
          <w:lang w:eastAsia="en-US"/>
        </w:rPr>
      </w:pPr>
      <w:r w:rsidRPr="00846A52">
        <w:rPr>
          <w:rFonts w:ascii="Arial" w:eastAsiaTheme="minorHAnsi" w:hAnsi="Arial" w:cs="Arial"/>
          <w:sz w:val="20"/>
          <w:szCs w:val="20"/>
          <w:lang w:eastAsia="en-US"/>
        </w:rPr>
        <w:t xml:space="preserve">Culpa grave, negligencia grave, culpa lata, </w:t>
      </w:r>
      <w:r w:rsidRPr="00846A52">
        <w:rPr>
          <w:rFonts w:ascii="Arial" w:eastAsiaTheme="minorHAnsi" w:hAnsi="Arial" w:cs="Arial"/>
          <w:b/>
          <w:sz w:val="20"/>
          <w:szCs w:val="20"/>
          <w:u w:val="single"/>
          <w:lang w:eastAsia="en-US"/>
        </w:rPr>
        <w:t>es la que consiste en no manejar los negocios ajenos con aquel cuidado que aun las personas negligentes o de poca prudencia suelen emplear en sus negocios propios</w:t>
      </w:r>
      <w:r w:rsidRPr="00846A52">
        <w:rPr>
          <w:rFonts w:ascii="Arial" w:eastAsiaTheme="minorHAnsi" w:hAnsi="Arial" w:cs="Arial"/>
          <w:sz w:val="20"/>
          <w:szCs w:val="20"/>
          <w:lang w:eastAsia="en-US"/>
        </w:rPr>
        <w:t xml:space="preserve">. Esta culpa en materias civiles equivale al dolo.” </w:t>
      </w:r>
      <w:r w:rsidRPr="00846A52">
        <w:rPr>
          <w:rFonts w:ascii="Arial" w:eastAsiaTheme="minorHAnsi" w:hAnsi="Arial" w:cs="Arial"/>
          <w:sz w:val="20"/>
          <w:szCs w:val="20"/>
          <w:lang w:val="es-CO" w:eastAsia="en-US"/>
        </w:rPr>
        <w:t xml:space="preserve">(Subrayado y negrilla fuera del texto original) </w:t>
      </w:r>
    </w:p>
    <w:p w14:paraId="692BED4F" w14:textId="77777777" w:rsidR="00B00C3F" w:rsidRPr="00846A52" w:rsidRDefault="00B00C3F" w:rsidP="00846A52">
      <w:pPr>
        <w:spacing w:after="0" w:line="312" w:lineRule="auto"/>
        <w:ind w:left="851" w:right="843"/>
        <w:rPr>
          <w:i/>
          <w:iCs/>
          <w:lang w:val="es-ES"/>
        </w:rPr>
      </w:pPr>
      <w:r w:rsidRPr="00846A52">
        <w:rPr>
          <w:i/>
          <w:iCs/>
          <w:lang w:val="es-ES"/>
        </w:rPr>
        <w:t xml:space="preserve">  </w:t>
      </w:r>
    </w:p>
    <w:p w14:paraId="553BE676" w14:textId="691933C5" w:rsidR="00B00C3F" w:rsidRPr="00846A52" w:rsidRDefault="00407DF1" w:rsidP="00846A52">
      <w:pPr>
        <w:spacing w:after="0" w:line="312" w:lineRule="auto"/>
        <w:rPr>
          <w:lang w:val="es-ES"/>
        </w:rPr>
      </w:pPr>
      <w:r>
        <w:rPr>
          <w:lang w:val="es-ES"/>
        </w:rPr>
        <w:t>Frente al particular, la Corte Suprema de J</w:t>
      </w:r>
      <w:r w:rsidR="00B00C3F" w:rsidRPr="00846A52">
        <w:rPr>
          <w:lang w:val="es-ES"/>
        </w:rPr>
        <w:t>usticia definió el concepto de culpa grave</w:t>
      </w:r>
      <w:r>
        <w:rPr>
          <w:lang w:val="es-ES"/>
        </w:rPr>
        <w:t>,</w:t>
      </w:r>
      <w:r w:rsidR="00B00C3F" w:rsidRPr="00846A52">
        <w:rPr>
          <w:lang w:val="es-ES"/>
        </w:rPr>
        <w:t xml:space="preserve"> tal y como se evidencia a continuación: </w:t>
      </w:r>
    </w:p>
    <w:p w14:paraId="760512E2" w14:textId="77777777" w:rsidR="00B00C3F" w:rsidRPr="00846A52" w:rsidRDefault="00B00C3F" w:rsidP="00846A52">
      <w:pPr>
        <w:spacing w:after="0" w:line="312" w:lineRule="auto"/>
        <w:rPr>
          <w:lang w:val="es-ES"/>
        </w:rPr>
      </w:pPr>
    </w:p>
    <w:p w14:paraId="3BB25606" w14:textId="77777777" w:rsidR="00B00C3F" w:rsidRPr="00846A52" w:rsidRDefault="00B00C3F" w:rsidP="00846A52">
      <w:pPr>
        <w:tabs>
          <w:tab w:val="left" w:pos="8222"/>
        </w:tabs>
        <w:spacing w:after="0" w:line="240" w:lineRule="auto"/>
        <w:ind w:left="851" w:right="843"/>
        <w:rPr>
          <w:iCs/>
          <w:sz w:val="20"/>
          <w:szCs w:val="20"/>
          <w:lang w:val="es-ES"/>
        </w:rPr>
      </w:pPr>
      <w:r w:rsidRPr="00846A52">
        <w:rPr>
          <w:iCs/>
          <w:sz w:val="20"/>
          <w:szCs w:val="20"/>
          <w:lang w:val="es-ES"/>
        </w:rPr>
        <w:t>“Con esa orientación es que autorizados doctrinantes han precisado que la culpa grave comporta ‘</w:t>
      </w:r>
      <w:r w:rsidRPr="00846A52">
        <w:rPr>
          <w:b/>
          <w:iCs/>
          <w:sz w:val="20"/>
          <w:szCs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846A52">
        <w:rPr>
          <w:iCs/>
          <w:sz w:val="20"/>
          <w:szCs w:val="20"/>
          <w:lang w:val="es-ES"/>
        </w:rPr>
        <w:t xml:space="preserve"> (</w:t>
      </w:r>
      <w:proofErr w:type="spellStart"/>
      <w:r w:rsidRPr="00846A52">
        <w:rPr>
          <w:iCs/>
          <w:sz w:val="20"/>
          <w:szCs w:val="20"/>
          <w:lang w:val="es-ES"/>
        </w:rPr>
        <w:t>Mosset</w:t>
      </w:r>
      <w:proofErr w:type="spellEnd"/>
      <w:r w:rsidRPr="00846A52">
        <w:rPr>
          <w:iCs/>
          <w:sz w:val="20"/>
          <w:szCs w:val="20"/>
          <w:lang w:val="es-ES"/>
        </w:rPr>
        <w:t xml:space="preserve"> Iturraspe J., Responsabilidad por daños, T. I., </w:t>
      </w:r>
      <w:proofErr w:type="spellStart"/>
      <w:r w:rsidRPr="00846A52">
        <w:rPr>
          <w:iCs/>
          <w:sz w:val="20"/>
          <w:szCs w:val="20"/>
          <w:lang w:val="es-ES"/>
        </w:rPr>
        <w:t>Ediar</w:t>
      </w:r>
      <w:proofErr w:type="spellEnd"/>
      <w:r w:rsidRPr="00846A52">
        <w:rPr>
          <w:iCs/>
          <w:sz w:val="20"/>
          <w:szCs w:val="20"/>
          <w:lang w:val="es-ES"/>
        </w:rPr>
        <w:t>, Buenos Aires, 1971, pág.89; citado por Stiglitz Rubén S., Derecho de Seguros, T.I., Abeledo – Perrot, Buenos Aires, 1998, pág.228).”</w:t>
      </w:r>
      <w:r w:rsidRPr="00846A52">
        <w:rPr>
          <w:rStyle w:val="Refdenotaalpie"/>
          <w:iCs/>
          <w:sz w:val="20"/>
          <w:szCs w:val="20"/>
          <w:lang w:val="es-ES"/>
        </w:rPr>
        <w:footnoteReference w:id="5"/>
      </w:r>
      <w:r w:rsidRPr="00846A52">
        <w:rPr>
          <w:iCs/>
          <w:sz w:val="20"/>
          <w:szCs w:val="20"/>
        </w:rPr>
        <w:t xml:space="preserve"> (Subrayado y negrilla fuera del texto original)</w:t>
      </w:r>
    </w:p>
    <w:p w14:paraId="439AE9A3" w14:textId="77777777" w:rsidR="00B00C3F" w:rsidRPr="00846A52" w:rsidRDefault="00B00C3F" w:rsidP="00846A52">
      <w:pPr>
        <w:spacing w:after="0" w:line="312" w:lineRule="auto"/>
      </w:pPr>
    </w:p>
    <w:p w14:paraId="2901FAAB" w14:textId="06E3FDF0" w:rsidR="00B00C3F" w:rsidRPr="00846A52" w:rsidRDefault="00B00C3F" w:rsidP="00846A52">
      <w:pPr>
        <w:spacing w:after="0" w:line="312" w:lineRule="auto"/>
      </w:pPr>
      <w:r w:rsidRPr="00846A52">
        <w:t>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w:t>
      </w:r>
      <w:r w:rsidR="00407DF1">
        <w:t>,</w:t>
      </w:r>
      <w:r w:rsidRPr="00846A52">
        <w:t xml:space="preserve"> el cual explica: </w:t>
      </w:r>
    </w:p>
    <w:p w14:paraId="4BFA2D8A" w14:textId="77777777" w:rsidR="00B00C3F" w:rsidRPr="00846A52" w:rsidRDefault="00B00C3F" w:rsidP="00846A52">
      <w:pPr>
        <w:spacing w:after="0" w:line="312" w:lineRule="auto"/>
        <w:rPr>
          <w:i/>
          <w:lang w:val="es-ES"/>
        </w:rPr>
      </w:pPr>
    </w:p>
    <w:p w14:paraId="57B1E28B" w14:textId="77777777" w:rsidR="00B00C3F" w:rsidRPr="00846A52" w:rsidRDefault="00B00C3F" w:rsidP="00846A52">
      <w:pPr>
        <w:tabs>
          <w:tab w:val="left" w:pos="8222"/>
        </w:tabs>
        <w:spacing w:after="0" w:line="240" w:lineRule="auto"/>
        <w:ind w:left="851" w:right="843"/>
        <w:rPr>
          <w:iCs/>
          <w:sz w:val="20"/>
          <w:szCs w:val="20"/>
          <w:lang w:val="es-ES"/>
        </w:rPr>
      </w:pPr>
      <w:r w:rsidRPr="00846A52">
        <w:rPr>
          <w:iCs/>
          <w:sz w:val="20"/>
          <w:szCs w:val="20"/>
          <w:lang w:val="es-ES"/>
        </w:rPr>
        <w:t>“ARTICULO 63. &lt;CULPA Y DOLO&gt;. La ley distingue tres especies de culpa o descuido.</w:t>
      </w:r>
    </w:p>
    <w:p w14:paraId="5E4CDF69" w14:textId="77777777" w:rsidR="00B00C3F" w:rsidRPr="00846A52" w:rsidRDefault="00B00C3F" w:rsidP="00846A52">
      <w:pPr>
        <w:tabs>
          <w:tab w:val="left" w:pos="8222"/>
        </w:tabs>
        <w:spacing w:after="0" w:line="240" w:lineRule="auto"/>
        <w:ind w:left="851" w:right="843"/>
        <w:rPr>
          <w:iCs/>
          <w:sz w:val="20"/>
          <w:szCs w:val="20"/>
          <w:lang w:val="es-ES"/>
        </w:rPr>
      </w:pPr>
    </w:p>
    <w:p w14:paraId="4623B515" w14:textId="77777777" w:rsidR="00B00C3F" w:rsidRPr="00846A52" w:rsidRDefault="00B00C3F" w:rsidP="00846A52">
      <w:pPr>
        <w:tabs>
          <w:tab w:val="left" w:pos="8222"/>
        </w:tabs>
        <w:spacing w:after="0" w:line="240" w:lineRule="auto"/>
        <w:ind w:left="851" w:right="843"/>
        <w:rPr>
          <w:iCs/>
          <w:sz w:val="20"/>
          <w:szCs w:val="20"/>
          <w:lang w:val="es-ES"/>
        </w:rPr>
      </w:pPr>
      <w:r w:rsidRPr="00846A52">
        <w:rPr>
          <w:b/>
          <w:iCs/>
          <w:sz w:val="20"/>
          <w:szCs w:val="20"/>
          <w:u w:val="single"/>
        </w:rPr>
        <w:t>El dolo consiste en la intención positiva de inferir injuria a la persona o propiedad de otro</w:t>
      </w:r>
      <w:r w:rsidRPr="00846A52">
        <w:rPr>
          <w:iCs/>
          <w:sz w:val="20"/>
          <w:szCs w:val="20"/>
        </w:rPr>
        <w:t>”. (Subrayado y negrilla fuera del texto original)</w:t>
      </w:r>
    </w:p>
    <w:p w14:paraId="62E6BCB8" w14:textId="77777777" w:rsidR="00B00C3F" w:rsidRPr="00846A52" w:rsidRDefault="00B00C3F" w:rsidP="00846A52">
      <w:pPr>
        <w:pStyle w:val="NormalWeb"/>
        <w:spacing w:before="0" w:beforeAutospacing="0" w:after="0" w:afterAutospacing="0" w:line="312" w:lineRule="auto"/>
        <w:jc w:val="both"/>
        <w:rPr>
          <w:rFonts w:ascii="Arial" w:eastAsiaTheme="minorHAnsi" w:hAnsi="Arial" w:cs="Arial"/>
          <w:i/>
          <w:sz w:val="22"/>
          <w:szCs w:val="22"/>
          <w:lang w:eastAsia="en-US"/>
        </w:rPr>
      </w:pPr>
    </w:p>
    <w:p w14:paraId="48E2D3BB" w14:textId="57F45B60" w:rsidR="00B00C3F" w:rsidRPr="00846A52" w:rsidRDefault="00407DF1" w:rsidP="00846A52">
      <w:pPr>
        <w:spacing w:after="0" w:line="312" w:lineRule="auto"/>
        <w:rPr>
          <w:lang w:val="es-ES"/>
        </w:rPr>
      </w:pPr>
      <w:r>
        <w:rPr>
          <w:lang w:val="es-ES"/>
        </w:rPr>
        <w:lastRenderedPageBreak/>
        <w:t>Frente al particular, l</w:t>
      </w:r>
      <w:r w:rsidR="00B00C3F" w:rsidRPr="00846A52">
        <w:rPr>
          <w:lang w:val="es-ES"/>
        </w:rPr>
        <w:t>a Corte Suprema de justicia definió el concepto de dolo</w:t>
      </w:r>
      <w:r>
        <w:rPr>
          <w:lang w:val="es-ES"/>
        </w:rPr>
        <w:t>,</w:t>
      </w:r>
      <w:r w:rsidR="00B00C3F" w:rsidRPr="00846A52">
        <w:rPr>
          <w:lang w:val="es-ES"/>
        </w:rPr>
        <w:t xml:space="preserve"> tal y como se evidencia a continuación: </w:t>
      </w:r>
    </w:p>
    <w:p w14:paraId="40E1948F" w14:textId="77777777" w:rsidR="00B00C3F" w:rsidRPr="00846A52" w:rsidRDefault="00B00C3F" w:rsidP="00846A52">
      <w:pPr>
        <w:spacing w:after="0" w:line="312" w:lineRule="auto"/>
        <w:ind w:right="851"/>
        <w:rPr>
          <w:sz w:val="20"/>
          <w:szCs w:val="20"/>
          <w:lang w:val="es-ES"/>
        </w:rPr>
      </w:pPr>
    </w:p>
    <w:p w14:paraId="290D13CF" w14:textId="77777777" w:rsidR="00B00C3F" w:rsidRPr="00846A52" w:rsidRDefault="00B00C3F" w:rsidP="00846A52">
      <w:pPr>
        <w:tabs>
          <w:tab w:val="left" w:pos="8222"/>
        </w:tabs>
        <w:spacing w:after="0" w:line="240" w:lineRule="auto"/>
        <w:ind w:left="851" w:right="843"/>
        <w:rPr>
          <w:i/>
          <w:sz w:val="20"/>
          <w:szCs w:val="20"/>
          <w:lang w:val="es-ES"/>
        </w:rPr>
      </w:pPr>
      <w:r w:rsidRPr="00846A52">
        <w:rPr>
          <w:rFonts w:eastAsia="Times New Roman"/>
          <w:iCs/>
          <w:sz w:val="20"/>
          <w:szCs w:val="20"/>
        </w:rPr>
        <w:t xml:space="preserve">“[l]as voces utilizadas por la ley (Art. 63 C.C.) para definir el dolo concuerdan con la noción doctrinaria que lo sitúa y destaca en cualquier pretensión de alcanzar un resultado contrario al derecho, </w:t>
      </w:r>
      <w:r w:rsidRPr="00846A52">
        <w:rPr>
          <w:rFonts w:eastAsia="Times New Roman"/>
          <w:b/>
          <w:iCs/>
          <w:sz w:val="20"/>
          <w:szCs w:val="20"/>
          <w:u w:val="single"/>
        </w:rPr>
        <w:t>caracterizada por la conciencia de quebrantar una obligación o de vulnerar un interés jurídico ajeno</w:t>
      </w:r>
      <w:r w:rsidRPr="00846A52">
        <w:rPr>
          <w:rFonts w:eastAsia="Times New Roman"/>
          <w:iCs/>
          <w:sz w:val="20"/>
          <w:szCs w:val="20"/>
        </w:rPr>
        <w:t xml:space="preserve">; </w:t>
      </w:r>
      <w:r w:rsidRPr="00846A52">
        <w:rPr>
          <w:rFonts w:eastAsia="Times New Roman"/>
          <w:b/>
          <w:iCs/>
          <w:sz w:val="20"/>
          <w:szCs w:val="20"/>
          <w:u w:val="single"/>
        </w:rPr>
        <w:t>el dolo se constituye pues, por la intención maliciosa</w:t>
      </w:r>
      <w:r w:rsidRPr="00846A52">
        <w:rPr>
          <w:rFonts w:eastAsia="Times New Roman"/>
          <w:iCs/>
          <w:sz w:val="20"/>
          <w:szCs w:val="20"/>
        </w:rPr>
        <w:t xml:space="preserve"> (…)” </w:t>
      </w:r>
      <w:r w:rsidRPr="00846A52">
        <w:rPr>
          <w:iCs/>
          <w:sz w:val="20"/>
          <w:szCs w:val="20"/>
        </w:rPr>
        <w:t>(subrayado y negrilla fuera del texto original</w:t>
      </w:r>
      <w:r w:rsidRPr="00846A52">
        <w:rPr>
          <w:i/>
          <w:sz w:val="20"/>
          <w:szCs w:val="20"/>
        </w:rPr>
        <w:t>)</w:t>
      </w:r>
      <w:r w:rsidRPr="00846A52">
        <w:rPr>
          <w:rStyle w:val="Refdenotaalpie"/>
          <w:rFonts w:eastAsia="Times New Roman"/>
          <w:i/>
          <w:sz w:val="20"/>
          <w:szCs w:val="20"/>
        </w:rPr>
        <w:footnoteReference w:id="6"/>
      </w:r>
      <w:r w:rsidRPr="00846A52">
        <w:rPr>
          <w:rFonts w:eastAsia="Times New Roman"/>
          <w:i/>
          <w:sz w:val="20"/>
          <w:szCs w:val="20"/>
        </w:rPr>
        <w:t xml:space="preserve"> </w:t>
      </w:r>
    </w:p>
    <w:p w14:paraId="18820DB0" w14:textId="77777777" w:rsidR="002B011A" w:rsidRPr="00846A52" w:rsidRDefault="002B011A" w:rsidP="00846A52">
      <w:pPr>
        <w:spacing w:after="0" w:line="312" w:lineRule="auto"/>
      </w:pPr>
    </w:p>
    <w:p w14:paraId="07EB32C8" w14:textId="1211091B" w:rsidR="00B00C3F" w:rsidRPr="00846A52" w:rsidRDefault="00B00C3F" w:rsidP="00846A52">
      <w:pPr>
        <w:spacing w:after="0" w:line="312" w:lineRule="auto"/>
        <w:rPr>
          <w:lang w:val="es-ES"/>
        </w:rPr>
      </w:pPr>
      <w:r w:rsidRPr="00846A52">
        <w:t xml:space="preserve">En otras palabras, para endilgarle responsabilidad fiscal </w:t>
      </w:r>
      <w:r w:rsidR="00395528" w:rsidRPr="00846A52">
        <w:t xml:space="preserve">al señor </w:t>
      </w:r>
      <w:r w:rsidR="00395528" w:rsidRPr="00846A52">
        <w:rPr>
          <w:b/>
          <w:bCs/>
        </w:rPr>
        <w:t>Carlos Alberto Diago Álzate</w:t>
      </w:r>
      <w:r w:rsidRPr="00846A52">
        <w:t xml:space="preserve">,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Ahora bien, al analizar el acervo probatorio que obra en el plenario, resulta fundamental ponerle de presente al despacho que ninguna de las pruebas que han sido allegadas permiten acreditar una conducta dolosa o gravemente culposa en cabeza </w:t>
      </w:r>
      <w:r w:rsidRPr="00846A52">
        <w:rPr>
          <w:lang w:val="es-ES"/>
        </w:rPr>
        <w:t>del presunto responsable. Por el contrario, de la totalidad de los elementos probatorios que obran en el expediente, se logra vislumbrar un patrón de conducta diligente</w:t>
      </w:r>
      <w:r w:rsidR="00FC5539" w:rsidRPr="00846A52">
        <w:rPr>
          <w:lang w:val="es-ES"/>
        </w:rPr>
        <w:t xml:space="preserve">, pues </w:t>
      </w:r>
      <w:r w:rsidR="005F3CD7" w:rsidRPr="00846A52">
        <w:rPr>
          <w:lang w:val="es-ES"/>
        </w:rPr>
        <w:t>se ejecutó la obra al 10</w:t>
      </w:r>
      <w:r w:rsidR="00731810" w:rsidRPr="00846A52">
        <w:rPr>
          <w:lang w:val="es-ES"/>
        </w:rPr>
        <w:t>0% en beneficio de la comunidad y la garantía de la obra se encuentra amparada por el contratis</w:t>
      </w:r>
      <w:r w:rsidR="00407DF1">
        <w:rPr>
          <w:lang w:val="es-ES"/>
        </w:rPr>
        <w:t>ta, por lo que en últimas es a é</w:t>
      </w:r>
      <w:r w:rsidR="00731810" w:rsidRPr="00846A52">
        <w:rPr>
          <w:lang w:val="es-ES"/>
        </w:rPr>
        <w:t xml:space="preserve">ste a quien debe llamarse a responder por su calidad. </w:t>
      </w:r>
    </w:p>
    <w:p w14:paraId="443E3E6A" w14:textId="77777777" w:rsidR="00FF1A22" w:rsidRPr="00846A52" w:rsidRDefault="00FF1A22" w:rsidP="00846A52">
      <w:pPr>
        <w:spacing w:after="0" w:line="312" w:lineRule="auto"/>
        <w:rPr>
          <w:lang w:val="es-ES"/>
        </w:rPr>
      </w:pPr>
    </w:p>
    <w:p w14:paraId="77333917" w14:textId="6601EEAE" w:rsidR="00B00C3F" w:rsidRPr="00846A52" w:rsidRDefault="00B00C3F" w:rsidP="00846A52">
      <w:pPr>
        <w:spacing w:after="0" w:line="312" w:lineRule="auto"/>
        <w:rPr>
          <w:lang w:val="es-ES"/>
        </w:rPr>
      </w:pPr>
      <w:r w:rsidRPr="00846A52">
        <w:rPr>
          <w:lang w:val="es-ES"/>
        </w:rPr>
        <w:t>Así las cosas, en ningún escenario la conducta de</w:t>
      </w:r>
      <w:r w:rsidR="00E20F03" w:rsidRPr="00846A52">
        <w:rPr>
          <w:lang w:val="es-ES"/>
        </w:rPr>
        <w:t xml:space="preserve">l señor </w:t>
      </w:r>
      <w:r w:rsidR="00E20F03" w:rsidRPr="00846A52">
        <w:rPr>
          <w:b/>
          <w:bCs/>
        </w:rPr>
        <w:t>Carlos Alberto Diago Álzate</w:t>
      </w:r>
      <w:r w:rsidR="00E20F03" w:rsidRPr="00846A52">
        <w:rPr>
          <w:lang w:val="es-ES"/>
        </w:rPr>
        <w:t xml:space="preserve"> </w:t>
      </w:r>
      <w:r w:rsidR="00A24891" w:rsidRPr="00846A52">
        <w:rPr>
          <w:lang w:val="es-ES"/>
        </w:rPr>
        <w:t>puede</w:t>
      </w:r>
      <w:r w:rsidRPr="00846A52">
        <w:rPr>
          <w:lang w:val="es-ES"/>
        </w:rPr>
        <w:t xml:space="preserve"> ser catalogada como una actuación </w:t>
      </w:r>
      <w:r w:rsidRPr="00846A52">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846A52">
        <w:rPr>
          <w:lang w:val="es-ES"/>
        </w:rPr>
        <w:t>sus funciones, de suerte que, al no existir prueba fehaciente del elemento que aquí se discute, corresponderá al ente de control declarar su inexistencia y proceder con el archivo del proceso.</w:t>
      </w:r>
    </w:p>
    <w:p w14:paraId="03222E01" w14:textId="77777777" w:rsidR="00B00C3F" w:rsidRPr="00846A52" w:rsidRDefault="00B00C3F" w:rsidP="00846A52">
      <w:pPr>
        <w:spacing w:after="0" w:line="312" w:lineRule="auto"/>
        <w:rPr>
          <w:lang w:val="es-ES"/>
        </w:rPr>
      </w:pPr>
    </w:p>
    <w:p w14:paraId="514B9F93" w14:textId="77777777" w:rsidR="00B00C3F" w:rsidRPr="00846A52" w:rsidRDefault="00B00C3F" w:rsidP="00846A52">
      <w:pPr>
        <w:spacing w:after="0" w:line="312" w:lineRule="auto"/>
        <w:rPr>
          <w:lang w:val="es-ES"/>
        </w:rPr>
      </w:pPr>
      <w:r w:rsidRPr="00846A52">
        <w:rPr>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5D35A19F" w14:textId="77777777" w:rsidR="00B00C3F" w:rsidRPr="00846A52" w:rsidRDefault="00B00C3F" w:rsidP="00846A52">
      <w:pPr>
        <w:spacing w:after="0" w:line="312" w:lineRule="auto"/>
        <w:rPr>
          <w:sz w:val="20"/>
          <w:szCs w:val="20"/>
          <w:lang w:val="es-ES"/>
        </w:rPr>
      </w:pPr>
    </w:p>
    <w:p w14:paraId="6D862BB9" w14:textId="77777777" w:rsidR="00B00C3F" w:rsidRPr="00846A52" w:rsidRDefault="00B00C3F" w:rsidP="00846A52">
      <w:pPr>
        <w:spacing w:after="0" w:line="240" w:lineRule="auto"/>
        <w:ind w:left="851" w:right="843"/>
        <w:rPr>
          <w:iCs/>
          <w:sz w:val="20"/>
          <w:szCs w:val="20"/>
        </w:rPr>
      </w:pPr>
      <w:r w:rsidRPr="00846A52">
        <w:rPr>
          <w:b/>
          <w:bCs/>
          <w:iCs/>
          <w:sz w:val="20"/>
          <w:szCs w:val="20"/>
        </w:rPr>
        <w:t>“ARTÍCULO 118. DETERMINACIÓN DE LA CULPABILIDAD EN LOS PROCESOS DE RESPONSABILIDAD FISCAL.</w:t>
      </w:r>
      <w:bookmarkStart w:id="6" w:name="118"/>
      <w:bookmarkEnd w:id="6"/>
      <w:r w:rsidRPr="00846A52">
        <w:rPr>
          <w:iCs/>
          <w:sz w:val="20"/>
          <w:szCs w:val="20"/>
        </w:rPr>
        <w:t> El grado de culpabilidad para establecer la existencia de responsabilidad fiscal será el dolo o la culpa grave.</w:t>
      </w:r>
    </w:p>
    <w:p w14:paraId="4F4845AD" w14:textId="77777777" w:rsidR="00B00C3F" w:rsidRPr="00846A52" w:rsidRDefault="00B00C3F" w:rsidP="00846A52">
      <w:pPr>
        <w:spacing w:after="0" w:line="240" w:lineRule="auto"/>
        <w:ind w:left="851" w:right="843"/>
        <w:rPr>
          <w:iCs/>
          <w:sz w:val="20"/>
          <w:szCs w:val="20"/>
        </w:rPr>
      </w:pPr>
    </w:p>
    <w:p w14:paraId="22A5E63A" w14:textId="77777777" w:rsidR="00B00C3F" w:rsidRPr="00846A52" w:rsidRDefault="00B00C3F" w:rsidP="00846A52">
      <w:pPr>
        <w:spacing w:after="0" w:line="240" w:lineRule="auto"/>
        <w:ind w:left="851" w:right="843"/>
        <w:rPr>
          <w:iCs/>
          <w:sz w:val="20"/>
          <w:szCs w:val="20"/>
        </w:rPr>
      </w:pPr>
      <w:r w:rsidRPr="00846A52">
        <w:rPr>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517DF385" w14:textId="77777777" w:rsidR="00B00C3F" w:rsidRPr="00846A52" w:rsidRDefault="00B00C3F" w:rsidP="00846A52">
      <w:pPr>
        <w:spacing w:after="0" w:line="240" w:lineRule="auto"/>
        <w:ind w:left="851" w:right="843"/>
        <w:rPr>
          <w:iCs/>
          <w:sz w:val="20"/>
          <w:szCs w:val="20"/>
        </w:rPr>
      </w:pPr>
    </w:p>
    <w:p w14:paraId="67F414D9" w14:textId="77777777" w:rsidR="00B00C3F" w:rsidRPr="00846A52" w:rsidRDefault="00B00C3F" w:rsidP="00846A52">
      <w:pPr>
        <w:spacing w:after="0" w:line="240" w:lineRule="auto"/>
        <w:ind w:left="851" w:right="843"/>
        <w:rPr>
          <w:iCs/>
          <w:sz w:val="20"/>
          <w:szCs w:val="20"/>
        </w:rPr>
      </w:pPr>
      <w:r w:rsidRPr="00846A52">
        <w:rPr>
          <w:iCs/>
          <w:sz w:val="20"/>
          <w:szCs w:val="20"/>
        </w:rPr>
        <w:t>Se presumirá que el gestor fiscal ha obrado con culpa grave en los siguientes eventos:</w:t>
      </w:r>
    </w:p>
    <w:p w14:paraId="19D0B961" w14:textId="77777777" w:rsidR="00B00C3F" w:rsidRPr="00846A52" w:rsidRDefault="00B00C3F" w:rsidP="00846A52">
      <w:pPr>
        <w:spacing w:after="0" w:line="240" w:lineRule="auto"/>
        <w:ind w:left="851" w:right="843"/>
        <w:rPr>
          <w:iCs/>
          <w:sz w:val="20"/>
          <w:szCs w:val="20"/>
        </w:rPr>
      </w:pPr>
    </w:p>
    <w:p w14:paraId="77646AF8" w14:textId="77777777" w:rsidR="00B00C3F" w:rsidRPr="00846A52" w:rsidRDefault="00B00C3F" w:rsidP="00846A52">
      <w:pPr>
        <w:spacing w:after="0" w:line="240" w:lineRule="auto"/>
        <w:ind w:left="851" w:right="843"/>
        <w:rPr>
          <w:iCs/>
          <w:sz w:val="20"/>
          <w:szCs w:val="20"/>
        </w:rPr>
      </w:pPr>
      <w:r w:rsidRPr="00846A52">
        <w:rPr>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626896CA" w14:textId="77777777" w:rsidR="00B00C3F" w:rsidRPr="00846A52" w:rsidRDefault="00B00C3F" w:rsidP="00846A52">
      <w:pPr>
        <w:spacing w:after="0" w:line="240" w:lineRule="auto"/>
        <w:ind w:left="851" w:right="843"/>
        <w:rPr>
          <w:iCs/>
          <w:sz w:val="20"/>
          <w:szCs w:val="20"/>
        </w:rPr>
      </w:pPr>
    </w:p>
    <w:p w14:paraId="616DB665" w14:textId="77777777" w:rsidR="00B00C3F" w:rsidRPr="00846A52" w:rsidRDefault="00B00C3F" w:rsidP="00846A52">
      <w:pPr>
        <w:spacing w:after="0" w:line="240" w:lineRule="auto"/>
        <w:ind w:left="851" w:right="843"/>
        <w:rPr>
          <w:iCs/>
          <w:sz w:val="20"/>
          <w:szCs w:val="20"/>
        </w:rPr>
      </w:pPr>
      <w:r w:rsidRPr="00846A52">
        <w:rPr>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8FB39ED" w14:textId="77777777" w:rsidR="00B00C3F" w:rsidRPr="00846A52" w:rsidRDefault="00B00C3F" w:rsidP="00846A52">
      <w:pPr>
        <w:spacing w:after="0" w:line="240" w:lineRule="auto"/>
        <w:ind w:left="851" w:right="843"/>
        <w:rPr>
          <w:iCs/>
          <w:sz w:val="20"/>
          <w:szCs w:val="20"/>
        </w:rPr>
      </w:pPr>
    </w:p>
    <w:p w14:paraId="68EA0EE3" w14:textId="77777777" w:rsidR="00B00C3F" w:rsidRPr="00846A52" w:rsidRDefault="00B00C3F" w:rsidP="00846A52">
      <w:pPr>
        <w:spacing w:after="0" w:line="240" w:lineRule="auto"/>
        <w:ind w:left="851" w:right="843"/>
        <w:rPr>
          <w:iCs/>
          <w:sz w:val="20"/>
          <w:szCs w:val="20"/>
        </w:rPr>
      </w:pPr>
      <w:r w:rsidRPr="00846A52">
        <w:rPr>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764A19D7" w14:textId="77777777" w:rsidR="00B00C3F" w:rsidRPr="00846A52" w:rsidRDefault="00B00C3F" w:rsidP="00846A52">
      <w:pPr>
        <w:spacing w:after="0" w:line="240" w:lineRule="auto"/>
        <w:ind w:left="851" w:right="843"/>
        <w:rPr>
          <w:iCs/>
          <w:sz w:val="20"/>
          <w:szCs w:val="20"/>
        </w:rPr>
      </w:pPr>
    </w:p>
    <w:p w14:paraId="13CE4538" w14:textId="77777777" w:rsidR="00B00C3F" w:rsidRPr="00846A52" w:rsidRDefault="00B00C3F" w:rsidP="00846A52">
      <w:pPr>
        <w:spacing w:after="0" w:line="240" w:lineRule="auto"/>
        <w:ind w:left="851" w:right="843"/>
        <w:rPr>
          <w:iCs/>
          <w:sz w:val="20"/>
          <w:szCs w:val="20"/>
        </w:rPr>
      </w:pPr>
      <w:r w:rsidRPr="00846A52">
        <w:rPr>
          <w:iCs/>
          <w:sz w:val="20"/>
          <w:szCs w:val="20"/>
        </w:rPr>
        <w:t>d) Cuando se haya incumplido la obligación de asegurar los bienes de la entidad o la de hacer exigibles las pólizas o garantías frente al acaecimiento de los siniestros o el incumplimiento de los contratos;</w:t>
      </w:r>
    </w:p>
    <w:p w14:paraId="6B422F69" w14:textId="77777777" w:rsidR="00B00C3F" w:rsidRPr="00846A52" w:rsidRDefault="00B00C3F" w:rsidP="00846A52">
      <w:pPr>
        <w:spacing w:after="0" w:line="240" w:lineRule="auto"/>
        <w:ind w:left="851" w:right="843"/>
        <w:rPr>
          <w:iCs/>
          <w:sz w:val="20"/>
          <w:szCs w:val="20"/>
        </w:rPr>
      </w:pPr>
    </w:p>
    <w:p w14:paraId="6521C694" w14:textId="77777777" w:rsidR="00B00C3F" w:rsidRPr="00846A52" w:rsidRDefault="00B00C3F" w:rsidP="00846A52">
      <w:pPr>
        <w:spacing w:after="0" w:line="240" w:lineRule="auto"/>
        <w:ind w:left="851" w:right="843"/>
        <w:rPr>
          <w:i/>
          <w:sz w:val="20"/>
          <w:szCs w:val="20"/>
        </w:rPr>
      </w:pPr>
      <w:r w:rsidRPr="00846A52">
        <w:rPr>
          <w:iCs/>
          <w:sz w:val="20"/>
          <w:szCs w:val="20"/>
        </w:rPr>
        <w:t>e) Cuando se haya efectuado el reconocimiento de salarios, prestaciones y demás emolumentos y haberes laborales con violación de las normas que rigen el ejercicio de la función pública o las relaciones laborales</w:t>
      </w:r>
      <w:r w:rsidRPr="00846A52">
        <w:rPr>
          <w:i/>
          <w:sz w:val="20"/>
          <w:szCs w:val="20"/>
        </w:rPr>
        <w:t>.”</w:t>
      </w:r>
    </w:p>
    <w:p w14:paraId="5BCC0A49" w14:textId="77777777" w:rsidR="00B00C3F" w:rsidRPr="00846A52" w:rsidRDefault="00B00C3F" w:rsidP="00846A52">
      <w:pPr>
        <w:spacing w:after="0" w:line="312" w:lineRule="auto"/>
      </w:pPr>
    </w:p>
    <w:p w14:paraId="3DB36949" w14:textId="2BA9FF64" w:rsidR="00B00C3F" w:rsidRPr="00846A52" w:rsidRDefault="00B00C3F" w:rsidP="00846A52">
      <w:pPr>
        <w:spacing w:after="0" w:line="312" w:lineRule="auto"/>
      </w:pPr>
      <w:r w:rsidRPr="00846A52">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w:t>
      </w:r>
      <w:r w:rsidR="00B05818" w:rsidRPr="00846A52">
        <w:t xml:space="preserve"> los </w:t>
      </w:r>
      <w:r w:rsidRPr="00846A52">
        <w:rPr>
          <w:lang w:val="es-ES"/>
        </w:rPr>
        <w:t>presunto</w:t>
      </w:r>
      <w:r w:rsidR="00B05818" w:rsidRPr="00846A52">
        <w:rPr>
          <w:lang w:val="es-ES"/>
        </w:rPr>
        <w:t>s</w:t>
      </w:r>
      <w:r w:rsidRPr="00846A52">
        <w:rPr>
          <w:lang w:val="es-ES"/>
        </w:rPr>
        <w:t xml:space="preserve"> responsable</w:t>
      </w:r>
      <w:r w:rsidR="00B05818" w:rsidRPr="00846A52">
        <w:rPr>
          <w:lang w:val="es-ES"/>
        </w:rPr>
        <w:t>s</w:t>
      </w:r>
      <w:r w:rsidRPr="00846A52">
        <w:rPr>
          <w:lang w:val="es-ES"/>
        </w:rPr>
        <w:t xml:space="preserve"> </w:t>
      </w:r>
      <w:r w:rsidRPr="00846A52">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846A52">
        <w:rPr>
          <w:i/>
          <w:iCs/>
        </w:rPr>
        <w:t>sub judice</w:t>
      </w:r>
      <w:r w:rsidRPr="00846A52">
        <w:t>.</w:t>
      </w:r>
    </w:p>
    <w:p w14:paraId="26DAFC66" w14:textId="77777777" w:rsidR="00B00C3F" w:rsidRPr="00846A52" w:rsidRDefault="00B00C3F" w:rsidP="00846A52">
      <w:pPr>
        <w:spacing w:after="0" w:line="312" w:lineRule="auto"/>
        <w:rPr>
          <w:lang w:val="es-ES"/>
        </w:rPr>
      </w:pPr>
    </w:p>
    <w:p w14:paraId="3A119797" w14:textId="09D300E8" w:rsidR="00B00C3F" w:rsidRPr="00846A52" w:rsidRDefault="00B00C3F" w:rsidP="00846A52">
      <w:pPr>
        <w:spacing w:after="0" w:line="312" w:lineRule="auto"/>
      </w:pPr>
      <w:r w:rsidRPr="00846A52">
        <w:t>En conclusión, luego de haber analizado la totalidad de las pruebas que obran en el expediente, no se evidencia que el ente de control h</w:t>
      </w:r>
      <w:r w:rsidR="003856A3">
        <w:t>aya determinado con claridad cuá</w:t>
      </w:r>
      <w:r w:rsidRPr="00846A52">
        <w:t xml:space="preserve">l es la conducta desarrollada por </w:t>
      </w:r>
      <w:r w:rsidR="000B6046" w:rsidRPr="00846A52">
        <w:t xml:space="preserve">el señor </w:t>
      </w:r>
      <w:r w:rsidR="000B6046" w:rsidRPr="00846A52">
        <w:rPr>
          <w:b/>
          <w:bCs/>
        </w:rPr>
        <w:t>Carlos Alberto Diago Álzate</w:t>
      </w:r>
      <w:r w:rsidRPr="00846A52">
        <w:t xml:space="preserve"> que conllevo a la iniciación del proceso fiscal, pues es claro que</w:t>
      </w:r>
      <w:r w:rsidR="002A25DD" w:rsidRPr="00846A52">
        <w:t xml:space="preserve"> </w:t>
      </w:r>
      <w:r w:rsidR="0093563F" w:rsidRPr="00846A52">
        <w:t>las mismas pruebas acreditan la debida gestión</w:t>
      </w:r>
      <w:r w:rsidR="00594BAD" w:rsidRPr="00846A52">
        <w:t>,</w:t>
      </w:r>
      <w:r w:rsidR="0093563F" w:rsidRPr="00846A52">
        <w:t xml:space="preserve"> administración </w:t>
      </w:r>
      <w:r w:rsidR="00594BAD" w:rsidRPr="00846A52">
        <w:t>y</w:t>
      </w:r>
      <w:r w:rsidR="0093563F" w:rsidRPr="00846A52">
        <w:t xml:space="preserve"> utilización de los recursos públicos. </w:t>
      </w:r>
      <w:r w:rsidR="000B6046" w:rsidRPr="00846A52">
        <w:t xml:space="preserve">Máxime cuando no era este servidor público el encargado de ejecutar la obra ni mucho menos </w:t>
      </w:r>
      <w:r w:rsidR="00AA30C5" w:rsidRPr="00846A52">
        <w:t xml:space="preserve">administrar sus recursos. </w:t>
      </w:r>
      <w:r w:rsidRPr="00846A52">
        <w:rPr>
          <w:color w:val="000000" w:themeColor="text1"/>
        </w:rPr>
        <w:t>Por lo tanto, el despacho no puede únicamente basar sus decisiones en informes que no tienen soporte probatorio que apoye</w:t>
      </w:r>
      <w:r w:rsidR="003856A3">
        <w:rPr>
          <w:color w:val="000000" w:themeColor="text1"/>
        </w:rPr>
        <w:t>n</w:t>
      </w:r>
      <w:r w:rsidRPr="00846A52">
        <w:rPr>
          <w:color w:val="000000" w:themeColor="text1"/>
        </w:rPr>
        <w:t xml:space="preserve"> sus afirmaciones.</w:t>
      </w:r>
    </w:p>
    <w:p w14:paraId="4FF16115" w14:textId="77777777" w:rsidR="00B00C3F" w:rsidRPr="00846A52" w:rsidRDefault="00B00C3F" w:rsidP="00846A52">
      <w:pPr>
        <w:spacing w:after="0" w:line="312" w:lineRule="auto"/>
      </w:pPr>
    </w:p>
    <w:p w14:paraId="4D44B8E6" w14:textId="77777777" w:rsidR="002956A6" w:rsidRPr="00846A52" w:rsidRDefault="002956A6" w:rsidP="003856A3">
      <w:pPr>
        <w:spacing w:after="0" w:line="312" w:lineRule="auto"/>
        <w:ind w:left="0" w:firstLine="0"/>
      </w:pPr>
    </w:p>
    <w:p w14:paraId="1CA5A308" w14:textId="39327684" w:rsidR="003A38A6" w:rsidRPr="00846A52" w:rsidRDefault="003A38A6" w:rsidP="00846A52">
      <w:pPr>
        <w:spacing w:after="0" w:line="312" w:lineRule="auto"/>
        <w:jc w:val="center"/>
        <w:rPr>
          <w:b/>
          <w:bCs/>
          <w:u w:val="single"/>
        </w:rPr>
      </w:pPr>
      <w:r w:rsidRPr="00846A52">
        <w:rPr>
          <w:b/>
          <w:bCs/>
          <w:u w:val="single"/>
        </w:rPr>
        <w:t xml:space="preserve">CAPÍTULO III. FUNDAMENTOS FÁCTICOS Y JURÍDICOS DE LA DEFENSA FRENTE A LA VINCULACIÓN DE LA </w:t>
      </w:r>
      <w:r w:rsidR="00A0605B" w:rsidRPr="00846A52">
        <w:rPr>
          <w:b/>
          <w:bCs/>
          <w:u w:val="single"/>
          <w:lang w:val="es-ES"/>
        </w:rPr>
        <w:t>PREVISORA S.A. COMPAÑÍA DE SEGUROS.</w:t>
      </w:r>
    </w:p>
    <w:p w14:paraId="377DA04C" w14:textId="196C2D92" w:rsidR="00516442" w:rsidRPr="00846A52" w:rsidRDefault="00516442" w:rsidP="00846A52">
      <w:pPr>
        <w:pStyle w:val="Ttulo1"/>
        <w:spacing w:after="0" w:line="312" w:lineRule="auto"/>
        <w:ind w:left="0" w:right="-7" w:firstLine="0"/>
        <w:rPr>
          <w:rFonts w:ascii="Arial" w:hAnsi="Arial" w:cs="Arial"/>
          <w:sz w:val="22"/>
          <w:szCs w:val="22"/>
        </w:rPr>
      </w:pPr>
    </w:p>
    <w:p w14:paraId="697B5C8C" w14:textId="77777777" w:rsidR="00516442" w:rsidRPr="00846A52" w:rsidRDefault="00516442" w:rsidP="00846A52">
      <w:pPr>
        <w:spacing w:after="0" w:line="312" w:lineRule="auto"/>
        <w:ind w:left="77" w:right="-7"/>
      </w:pPr>
      <w:r w:rsidRPr="00846A52">
        <w:t xml:space="preserve"> </w:t>
      </w:r>
    </w:p>
    <w:p w14:paraId="3C9A5800" w14:textId="477352BE" w:rsidR="00516442" w:rsidRPr="00846A52" w:rsidRDefault="00516442" w:rsidP="00846A52">
      <w:pPr>
        <w:spacing w:after="0" w:line="312" w:lineRule="auto"/>
        <w:ind w:left="72" w:right="-7"/>
      </w:pPr>
      <w:r w:rsidRPr="00846A52">
        <w:t xml:space="preserve">Antes de referirme a las razones por las cuales la Contraloría debe desvincular a mi representada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 los contratos de seguro. En efecto, el </w:t>
      </w:r>
      <w:r w:rsidR="000A0094">
        <w:t>órgano de control</w:t>
      </w:r>
      <w:r w:rsidRPr="00846A52">
        <w:t xml:space="preserve"> no tuvo en cuenta que las pólizas incorporadas en el expediente no gozan de ningún tipo de cobertura, lo cual indudablemente contraviene el artículo 44 de la Ley 610 de 2000, el cual dispone:  </w:t>
      </w:r>
    </w:p>
    <w:p w14:paraId="082EDC7C" w14:textId="77777777" w:rsidR="00516442" w:rsidRPr="00846A52" w:rsidRDefault="00516442" w:rsidP="00846A52">
      <w:pPr>
        <w:spacing w:after="0" w:line="312" w:lineRule="auto"/>
        <w:ind w:left="77" w:right="-7"/>
      </w:pPr>
      <w:r w:rsidRPr="00846A52">
        <w:t xml:space="preserve"> </w:t>
      </w:r>
    </w:p>
    <w:p w14:paraId="08CD246B" w14:textId="77777777" w:rsidR="00516442" w:rsidRPr="00846A52" w:rsidRDefault="00516442" w:rsidP="00846A52">
      <w:pPr>
        <w:spacing w:after="0" w:line="240" w:lineRule="auto"/>
        <w:ind w:left="851" w:right="843"/>
        <w:rPr>
          <w:i/>
          <w:sz w:val="20"/>
          <w:szCs w:val="20"/>
        </w:rPr>
      </w:pPr>
      <w:r w:rsidRPr="00846A52">
        <w:rPr>
          <w:iCs/>
          <w:sz w:val="20"/>
          <w:szCs w:val="20"/>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r w:rsidRPr="00846A52">
        <w:rPr>
          <w:i/>
          <w:sz w:val="20"/>
          <w:szCs w:val="20"/>
        </w:rPr>
        <w:t xml:space="preserve">.”  </w:t>
      </w:r>
    </w:p>
    <w:p w14:paraId="40FAC628" w14:textId="77777777" w:rsidR="00516442" w:rsidRPr="00846A52" w:rsidRDefault="00516442" w:rsidP="00846A52">
      <w:pPr>
        <w:spacing w:after="0" w:line="312" w:lineRule="auto"/>
        <w:ind w:left="77" w:right="-7"/>
      </w:pPr>
      <w:r w:rsidRPr="00846A52">
        <w:t xml:space="preserve"> </w:t>
      </w:r>
    </w:p>
    <w:p w14:paraId="6F90C997" w14:textId="77777777" w:rsidR="00516442" w:rsidRPr="00846A52" w:rsidRDefault="00516442" w:rsidP="00846A52">
      <w:pPr>
        <w:spacing w:after="0" w:line="312" w:lineRule="auto"/>
        <w:ind w:left="72" w:right="-7"/>
      </w:pPr>
      <w:r w:rsidRPr="00846A52">
        <w:lastRenderedPageBreak/>
        <w:t xml:space="preserve">Sobre el particular, se ha pronunciado el Honorable Consejo de Estado, Sección Primera, Consejera Ponente: María Claudia Rojas Lasso, radicación No. 25000-23-24-000-2002-0090701, al señalar: </w:t>
      </w:r>
    </w:p>
    <w:p w14:paraId="209296A0" w14:textId="77777777" w:rsidR="00516442" w:rsidRPr="00846A52" w:rsidRDefault="00516442" w:rsidP="00846A52">
      <w:pPr>
        <w:spacing w:after="0" w:line="312" w:lineRule="auto"/>
        <w:ind w:left="77" w:right="-7"/>
      </w:pPr>
      <w:r w:rsidRPr="00846A52">
        <w:t xml:space="preserve"> </w:t>
      </w:r>
    </w:p>
    <w:p w14:paraId="32A939D7" w14:textId="77777777" w:rsidR="00516442" w:rsidRPr="00846A52" w:rsidRDefault="00516442" w:rsidP="00846A52">
      <w:pPr>
        <w:spacing w:after="0" w:line="240" w:lineRule="auto"/>
        <w:ind w:left="851" w:right="843"/>
        <w:rPr>
          <w:iCs/>
          <w:sz w:val="20"/>
          <w:szCs w:val="20"/>
        </w:rPr>
      </w:pPr>
      <w:r w:rsidRPr="00846A52">
        <w:rPr>
          <w:iCs/>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846A52">
        <w:rPr>
          <w:b/>
          <w:iCs/>
          <w:sz w:val="20"/>
          <w:szCs w:val="20"/>
          <w:u w:val="single" w:color="000000"/>
        </w:rPr>
        <w:t>Es decir, la vinculación del garante está</w:t>
      </w:r>
      <w:r w:rsidRPr="00846A52">
        <w:rPr>
          <w:b/>
          <w:iCs/>
          <w:sz w:val="20"/>
          <w:szCs w:val="20"/>
        </w:rPr>
        <w:t xml:space="preserve"> </w:t>
      </w:r>
      <w:r w:rsidRPr="00846A52">
        <w:rPr>
          <w:b/>
          <w:iCs/>
          <w:sz w:val="20"/>
          <w:szCs w:val="20"/>
          <w:u w:val="single" w:color="000000"/>
        </w:rPr>
        <w:t>determinada por el riesgo amparado</w:t>
      </w:r>
      <w:r w:rsidRPr="00846A52">
        <w:rPr>
          <w:iCs/>
          <w:sz w:val="20"/>
          <w:szCs w:val="20"/>
        </w:rPr>
        <w:t xml:space="preserve">, en estos casos la afectación de patrimonio público por el incumplimiento de las obligaciones del contrato, la conducta de los servidores públicos y los bienes amparados, pues de lo contrario </w:t>
      </w:r>
      <w:r w:rsidRPr="00846A52">
        <w:rPr>
          <w:b/>
          <w:iCs/>
          <w:sz w:val="20"/>
          <w:szCs w:val="20"/>
          <w:u w:val="single" w:color="000000"/>
        </w:rPr>
        <w:t>la norma acusada resultaría desproporcionada si comprendiera</w:t>
      </w:r>
      <w:r w:rsidRPr="00846A52">
        <w:rPr>
          <w:b/>
          <w:iCs/>
          <w:sz w:val="20"/>
          <w:szCs w:val="20"/>
        </w:rPr>
        <w:t xml:space="preserve"> </w:t>
      </w:r>
      <w:r w:rsidRPr="00846A52">
        <w:rPr>
          <w:b/>
          <w:iCs/>
          <w:sz w:val="20"/>
          <w:szCs w:val="20"/>
          <w:u w:val="single" w:color="000000"/>
        </w:rPr>
        <w:t>el deber para las compañías de seguros de garantizar riesgos no</w:t>
      </w:r>
      <w:r w:rsidRPr="00846A52">
        <w:rPr>
          <w:b/>
          <w:iCs/>
          <w:sz w:val="20"/>
          <w:szCs w:val="20"/>
        </w:rPr>
        <w:t xml:space="preserve"> </w:t>
      </w:r>
      <w:r w:rsidRPr="00846A52">
        <w:rPr>
          <w:b/>
          <w:iCs/>
          <w:sz w:val="20"/>
          <w:szCs w:val="20"/>
          <w:u w:val="single" w:color="000000"/>
        </w:rPr>
        <w:t>amparados por ellas</w:t>
      </w:r>
      <w:r w:rsidRPr="00846A52">
        <w:rPr>
          <w:iCs/>
          <w:sz w:val="20"/>
          <w:szCs w:val="20"/>
        </w:rPr>
        <w:t>.” (Subrayado y negrilla fuera del texto original</w:t>
      </w:r>
      <w:r w:rsidRPr="00846A52">
        <w:rPr>
          <w:i/>
          <w:sz w:val="20"/>
          <w:szCs w:val="20"/>
        </w:rPr>
        <w:t>)</w:t>
      </w:r>
      <w:r w:rsidRPr="00846A52">
        <w:rPr>
          <w:iCs/>
          <w:sz w:val="20"/>
          <w:szCs w:val="20"/>
        </w:rPr>
        <w:t xml:space="preserve"> </w:t>
      </w:r>
    </w:p>
    <w:p w14:paraId="211CAC0C" w14:textId="77777777" w:rsidR="00516442" w:rsidRPr="00846A52" w:rsidRDefault="00516442" w:rsidP="00846A52">
      <w:pPr>
        <w:spacing w:after="0" w:line="312" w:lineRule="auto"/>
        <w:ind w:left="77" w:right="-7"/>
      </w:pPr>
      <w:r w:rsidRPr="00846A52">
        <w:t xml:space="preserve"> </w:t>
      </w:r>
    </w:p>
    <w:p w14:paraId="64011203" w14:textId="77777777" w:rsidR="00516442" w:rsidRPr="00846A52" w:rsidRDefault="00516442" w:rsidP="00846A52">
      <w:pPr>
        <w:spacing w:after="0" w:line="312" w:lineRule="auto"/>
        <w:ind w:left="72" w:right="-7"/>
      </w:pPr>
      <w:r w:rsidRPr="00846A52">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5CCD8FE" w14:textId="77777777" w:rsidR="00D44A5A" w:rsidRPr="00846A52" w:rsidRDefault="00D44A5A" w:rsidP="00846A52">
      <w:pPr>
        <w:spacing w:after="0" w:line="312" w:lineRule="auto"/>
        <w:ind w:left="72" w:right="-7"/>
      </w:pPr>
    </w:p>
    <w:p w14:paraId="181CEC23" w14:textId="77777777" w:rsidR="00516442" w:rsidRPr="00846A52" w:rsidRDefault="00516442" w:rsidP="00846A52">
      <w:pPr>
        <w:spacing w:after="0" w:line="312" w:lineRule="auto"/>
        <w:ind w:left="72" w:right="-7"/>
      </w:pPr>
      <w:r w:rsidRPr="00846A52">
        <w:t xml:space="preserve">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Artículo 44 de la Ley 610 de 2000.  </w:t>
      </w:r>
    </w:p>
    <w:p w14:paraId="289BB589" w14:textId="77777777" w:rsidR="00516442" w:rsidRPr="00846A52" w:rsidRDefault="00516442" w:rsidP="00846A52">
      <w:pPr>
        <w:spacing w:after="0" w:line="312" w:lineRule="auto"/>
        <w:ind w:left="77" w:right="-7"/>
      </w:pPr>
      <w:r w:rsidRPr="00846A52">
        <w:t xml:space="preserve"> </w:t>
      </w:r>
    </w:p>
    <w:p w14:paraId="789012CC" w14:textId="77777777" w:rsidR="00516442" w:rsidRPr="00846A52" w:rsidRDefault="00516442" w:rsidP="00846A52">
      <w:pPr>
        <w:spacing w:after="0" w:line="312" w:lineRule="auto"/>
        <w:ind w:left="72" w:right="-7"/>
      </w:pPr>
      <w:r w:rsidRPr="00846A52">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A2E07A2" w14:textId="77777777" w:rsidR="00516442" w:rsidRPr="00846A52" w:rsidRDefault="00516442" w:rsidP="00846A52">
      <w:pPr>
        <w:spacing w:after="0" w:line="312" w:lineRule="auto"/>
        <w:ind w:left="77" w:right="-7"/>
      </w:pPr>
      <w:r w:rsidRPr="00846A52">
        <w:t xml:space="preserve"> </w:t>
      </w:r>
    </w:p>
    <w:p w14:paraId="62E79E80" w14:textId="77777777" w:rsidR="00516442" w:rsidRPr="00846A52" w:rsidRDefault="00516442" w:rsidP="00846A52">
      <w:pPr>
        <w:spacing w:after="0" w:line="312" w:lineRule="auto"/>
        <w:ind w:left="72" w:right="-7"/>
      </w:pPr>
      <w:r w:rsidRPr="00846A52">
        <w:t xml:space="preserve">El citado instructivo emitido con base en la Ley 610 de 2000, precisó las condiciones o requisitos para la procedencia de la vinculación de las aseguradoras a los procesos de responsabilidad fiscal, determinando que:  </w:t>
      </w:r>
    </w:p>
    <w:p w14:paraId="6AB88DBB" w14:textId="77777777" w:rsidR="00516442" w:rsidRPr="00846A52" w:rsidRDefault="00516442" w:rsidP="00846A52">
      <w:pPr>
        <w:spacing w:after="0" w:line="312" w:lineRule="auto"/>
        <w:ind w:left="77" w:right="-7"/>
      </w:pPr>
      <w:r w:rsidRPr="00846A52">
        <w:rPr>
          <w:b/>
          <w:i/>
        </w:rPr>
        <w:t xml:space="preserve"> </w:t>
      </w:r>
    </w:p>
    <w:p w14:paraId="45223B17" w14:textId="77777777" w:rsidR="00516442" w:rsidRPr="00846A52" w:rsidRDefault="00516442" w:rsidP="00846A52">
      <w:pPr>
        <w:spacing w:after="0" w:line="240" w:lineRule="auto"/>
        <w:ind w:left="851" w:right="843"/>
        <w:rPr>
          <w:iCs/>
          <w:sz w:val="20"/>
          <w:szCs w:val="20"/>
        </w:rPr>
      </w:pPr>
      <w:r w:rsidRPr="00846A52">
        <w:rPr>
          <w:iCs/>
          <w:sz w:val="20"/>
          <w:szCs w:val="20"/>
        </w:rPr>
        <w:t xml:space="preserve">“(…) 2. Cuando se vinculan…-las aseguradoras- se deben observar las siguientes situaciones:  </w:t>
      </w:r>
    </w:p>
    <w:p w14:paraId="4D41BA5F" w14:textId="77777777" w:rsidR="00516442" w:rsidRPr="00846A52" w:rsidRDefault="00516442" w:rsidP="00846A52">
      <w:pPr>
        <w:spacing w:after="0" w:line="240" w:lineRule="auto"/>
        <w:ind w:left="851" w:right="843"/>
        <w:rPr>
          <w:iCs/>
          <w:sz w:val="20"/>
          <w:szCs w:val="20"/>
        </w:rPr>
      </w:pPr>
      <w:r w:rsidRPr="00846A52">
        <w:rPr>
          <w:iCs/>
          <w:sz w:val="20"/>
          <w:szCs w:val="20"/>
        </w:rPr>
        <w:t xml:space="preserve"> </w:t>
      </w:r>
    </w:p>
    <w:p w14:paraId="6D97A042" w14:textId="77777777" w:rsidR="00516442" w:rsidRPr="00846A52" w:rsidRDefault="00516442" w:rsidP="00846A52">
      <w:pPr>
        <w:numPr>
          <w:ilvl w:val="0"/>
          <w:numId w:val="8"/>
        </w:numPr>
        <w:spacing w:after="0" w:line="240" w:lineRule="auto"/>
        <w:ind w:left="851" w:right="843"/>
        <w:rPr>
          <w:iCs/>
          <w:sz w:val="20"/>
          <w:szCs w:val="20"/>
        </w:rPr>
      </w:pPr>
      <w:r w:rsidRPr="00846A52">
        <w:rPr>
          <w:b/>
          <w:iCs/>
          <w:sz w:val="20"/>
          <w:szCs w:val="20"/>
          <w:u w:val="single" w:color="000000"/>
        </w:rPr>
        <w:t>Verificar la correspondencia entre la causa que genera el detrimento de</w:t>
      </w:r>
      <w:r w:rsidRPr="00846A52">
        <w:rPr>
          <w:b/>
          <w:iCs/>
          <w:sz w:val="20"/>
          <w:szCs w:val="20"/>
        </w:rPr>
        <w:t xml:space="preserve"> </w:t>
      </w:r>
      <w:r w:rsidRPr="00846A52">
        <w:rPr>
          <w:b/>
          <w:iCs/>
          <w:sz w:val="20"/>
          <w:szCs w:val="20"/>
          <w:u w:val="single" w:color="000000"/>
        </w:rPr>
        <w:t>tipo fiscal y el riesgo amparado</w:t>
      </w:r>
      <w:r w:rsidRPr="00846A52">
        <w:rPr>
          <w:iCs/>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6CEBE455" w14:textId="77777777" w:rsidR="00516442" w:rsidRPr="00846A52" w:rsidRDefault="00516442" w:rsidP="00846A52">
      <w:pPr>
        <w:spacing w:after="0" w:line="240" w:lineRule="auto"/>
        <w:ind w:left="851" w:right="843"/>
        <w:rPr>
          <w:iCs/>
          <w:sz w:val="20"/>
          <w:szCs w:val="20"/>
        </w:rPr>
      </w:pPr>
      <w:r w:rsidRPr="00846A52">
        <w:rPr>
          <w:iCs/>
          <w:sz w:val="20"/>
          <w:szCs w:val="20"/>
        </w:rPr>
        <w:t xml:space="preserve"> </w:t>
      </w:r>
    </w:p>
    <w:p w14:paraId="30A3817F" w14:textId="77777777" w:rsidR="00516442" w:rsidRPr="00846A52" w:rsidRDefault="00516442" w:rsidP="00846A52">
      <w:pPr>
        <w:numPr>
          <w:ilvl w:val="0"/>
          <w:numId w:val="8"/>
        </w:numPr>
        <w:spacing w:after="0" w:line="240" w:lineRule="auto"/>
        <w:ind w:left="851" w:right="843"/>
        <w:rPr>
          <w:iCs/>
          <w:sz w:val="20"/>
          <w:szCs w:val="20"/>
        </w:rPr>
      </w:pPr>
      <w:r w:rsidRPr="00846A52">
        <w:rPr>
          <w:b/>
          <w:iCs/>
          <w:sz w:val="20"/>
          <w:szCs w:val="20"/>
          <w:u w:val="single" w:color="000000"/>
        </w:rPr>
        <w:t>Establecer las condiciones particulares pactadas en el contrato de</w:t>
      </w:r>
      <w:r w:rsidRPr="00846A52">
        <w:rPr>
          <w:b/>
          <w:iCs/>
          <w:sz w:val="20"/>
          <w:szCs w:val="20"/>
        </w:rPr>
        <w:t xml:space="preserve"> </w:t>
      </w:r>
      <w:r w:rsidRPr="00846A52">
        <w:rPr>
          <w:b/>
          <w:iCs/>
          <w:sz w:val="20"/>
          <w:szCs w:val="20"/>
          <w:u w:val="single" w:color="000000"/>
        </w:rPr>
        <w:t>seguro, tales como vigencia de la póliza, valor asegurado, nombre de los</w:t>
      </w:r>
      <w:r w:rsidRPr="00846A52">
        <w:rPr>
          <w:b/>
          <w:iCs/>
          <w:sz w:val="20"/>
          <w:szCs w:val="20"/>
        </w:rPr>
        <w:t xml:space="preserve"> </w:t>
      </w:r>
      <w:r w:rsidRPr="00846A52">
        <w:rPr>
          <w:b/>
          <w:iCs/>
          <w:sz w:val="20"/>
          <w:szCs w:val="20"/>
          <w:u w:val="single" w:color="000000"/>
        </w:rPr>
        <w:t>afianzados, existencia de un deducible</w:t>
      </w:r>
      <w:r w:rsidRPr="00846A52">
        <w:rPr>
          <w:iCs/>
          <w:sz w:val="20"/>
          <w:szCs w:val="20"/>
        </w:rPr>
        <w:t xml:space="preserve">, etc., eso para conocer el alcance de la garantía, toda vez que de estas condiciones se desprenderá la viabilidad de la vinculación de la Compañía aseguradora al proceso. </w:t>
      </w:r>
    </w:p>
    <w:p w14:paraId="0BABBF47" w14:textId="77777777" w:rsidR="00516442" w:rsidRPr="00846A52" w:rsidRDefault="00516442" w:rsidP="00846A52">
      <w:pPr>
        <w:spacing w:after="0" w:line="240" w:lineRule="auto"/>
        <w:ind w:left="851" w:right="843"/>
        <w:rPr>
          <w:iCs/>
          <w:sz w:val="20"/>
          <w:szCs w:val="20"/>
        </w:rPr>
      </w:pPr>
      <w:r w:rsidRPr="00846A52">
        <w:rPr>
          <w:iCs/>
          <w:sz w:val="20"/>
          <w:szCs w:val="20"/>
        </w:rPr>
        <w:t xml:space="preserve"> </w:t>
      </w:r>
    </w:p>
    <w:p w14:paraId="56D5CDF9" w14:textId="77777777" w:rsidR="00516442" w:rsidRPr="00846A52" w:rsidRDefault="00516442" w:rsidP="00846A52">
      <w:pPr>
        <w:numPr>
          <w:ilvl w:val="0"/>
          <w:numId w:val="8"/>
        </w:numPr>
        <w:spacing w:after="0" w:line="240" w:lineRule="auto"/>
        <w:ind w:left="851" w:right="843"/>
        <w:rPr>
          <w:iCs/>
        </w:rPr>
      </w:pPr>
      <w:r w:rsidRPr="00846A52">
        <w:rPr>
          <w:b/>
          <w:iCs/>
          <w:sz w:val="20"/>
          <w:szCs w:val="20"/>
          <w:u w:val="single" w:color="000000"/>
        </w:rPr>
        <w:t>Examinar el fenómeno de la prescripción</w:t>
      </w:r>
      <w:r w:rsidRPr="00846A52">
        <w:rPr>
          <w:iCs/>
          <w:sz w:val="20"/>
          <w:szCs w:val="20"/>
        </w:rPr>
        <w:t>, que si bien es cierto, por vía del art. 1081 del Código de Comercio, es de dos años la ordinaria y de cinco la extraordinaria (…)” (Subrayado y negrilla fuera del texto original)</w:t>
      </w:r>
      <w:r w:rsidRPr="00846A52">
        <w:rPr>
          <w:iCs/>
        </w:rPr>
        <w:t xml:space="preserve"> </w:t>
      </w:r>
    </w:p>
    <w:p w14:paraId="634BB8B9" w14:textId="77777777" w:rsidR="00516442" w:rsidRPr="00846A52" w:rsidRDefault="00516442" w:rsidP="00846A52">
      <w:pPr>
        <w:spacing w:after="0" w:line="312" w:lineRule="auto"/>
        <w:ind w:left="77" w:right="-7"/>
      </w:pPr>
      <w:r w:rsidRPr="00846A52">
        <w:t xml:space="preserve"> </w:t>
      </w:r>
    </w:p>
    <w:p w14:paraId="46D41DE5" w14:textId="08D8A070" w:rsidR="00D44A5A" w:rsidRPr="00846A52" w:rsidRDefault="00D44A5A" w:rsidP="00846A52">
      <w:pPr>
        <w:pStyle w:val="Default"/>
        <w:spacing w:line="312" w:lineRule="auto"/>
        <w:jc w:val="both"/>
        <w:rPr>
          <w:sz w:val="22"/>
          <w:szCs w:val="22"/>
        </w:rPr>
      </w:pPr>
      <w:r w:rsidRPr="00846A52">
        <w:rPr>
          <w:sz w:val="22"/>
          <w:szCs w:val="22"/>
        </w:rPr>
        <w:lastRenderedPageBreak/>
        <w:t xml:space="preserve">Vale la pena mencionar, que este instructivo debe ser interpretado armónicamente con la Circular No 005 proferida por la Contraloría General de la </w:t>
      </w:r>
      <w:r w:rsidR="000A0094">
        <w:rPr>
          <w:sz w:val="22"/>
          <w:szCs w:val="22"/>
        </w:rPr>
        <w:t xml:space="preserve">República </w:t>
      </w:r>
      <w:r w:rsidRPr="00846A52">
        <w:rPr>
          <w:sz w:val="22"/>
          <w:szCs w:val="22"/>
        </w:rPr>
        <w:t xml:space="preserve">el 16 de marzo de 2020, la cual fue sumamente clara al puntualizar y exigir el cumplimiento de lo siguiente: </w:t>
      </w:r>
    </w:p>
    <w:p w14:paraId="528BAC16" w14:textId="77777777" w:rsidR="00D44A5A" w:rsidRPr="00846A52" w:rsidRDefault="00D44A5A" w:rsidP="00846A52">
      <w:pPr>
        <w:pStyle w:val="Default"/>
        <w:spacing w:line="312" w:lineRule="auto"/>
        <w:jc w:val="both"/>
        <w:rPr>
          <w:sz w:val="20"/>
          <w:szCs w:val="20"/>
        </w:rPr>
      </w:pPr>
    </w:p>
    <w:p w14:paraId="5355B649" w14:textId="77777777" w:rsidR="00D44A5A" w:rsidRPr="00846A52" w:rsidRDefault="00D44A5A" w:rsidP="00846A52">
      <w:pPr>
        <w:pStyle w:val="Default"/>
        <w:ind w:left="851" w:right="843"/>
        <w:jc w:val="both"/>
        <w:rPr>
          <w:sz w:val="20"/>
          <w:szCs w:val="20"/>
        </w:rPr>
      </w:pPr>
      <w:r w:rsidRPr="00846A52">
        <w:rPr>
          <w:sz w:val="20"/>
          <w:szCs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A3EF6BF" w14:textId="77777777" w:rsidR="00D44A5A" w:rsidRPr="00846A52" w:rsidRDefault="00D44A5A" w:rsidP="00846A52">
      <w:pPr>
        <w:pStyle w:val="Default"/>
        <w:ind w:left="851" w:right="843"/>
        <w:jc w:val="both"/>
        <w:rPr>
          <w:sz w:val="20"/>
          <w:szCs w:val="20"/>
        </w:rPr>
      </w:pPr>
      <w:r w:rsidRPr="00846A52">
        <w:rPr>
          <w:sz w:val="20"/>
          <w:szCs w:val="20"/>
        </w:rPr>
        <w:t xml:space="preserve">• Las compañías de seguros no son gestores fiscales, por ende, </w:t>
      </w:r>
      <w:r w:rsidRPr="00846A52">
        <w:rPr>
          <w:b/>
          <w:bCs/>
          <w:sz w:val="20"/>
          <w:szCs w:val="20"/>
        </w:rPr>
        <w:t>su responsabilidad se limita a la asunción de ciertos riesgos en las condiciones previstas en el contrato de seguros</w:t>
      </w:r>
      <w:r w:rsidRPr="00846A52">
        <w:rPr>
          <w:sz w:val="20"/>
          <w:szCs w:val="20"/>
        </w:rPr>
        <w:t xml:space="preserve">. </w:t>
      </w:r>
    </w:p>
    <w:p w14:paraId="7C8CCA43" w14:textId="77777777" w:rsidR="00D44A5A" w:rsidRPr="00846A52" w:rsidRDefault="00D44A5A" w:rsidP="00846A52">
      <w:pPr>
        <w:pStyle w:val="Default"/>
        <w:ind w:left="851" w:right="843"/>
        <w:jc w:val="both"/>
        <w:rPr>
          <w:sz w:val="20"/>
          <w:szCs w:val="20"/>
        </w:rPr>
      </w:pPr>
      <w:r w:rsidRPr="00846A52">
        <w:rPr>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4038541E" w14:textId="77777777" w:rsidR="00D44A5A" w:rsidRPr="00846A52" w:rsidRDefault="00D44A5A" w:rsidP="00846A52">
      <w:pPr>
        <w:pStyle w:val="Default"/>
        <w:ind w:left="851" w:right="843"/>
        <w:jc w:val="both"/>
        <w:rPr>
          <w:sz w:val="20"/>
          <w:szCs w:val="20"/>
        </w:rPr>
      </w:pPr>
      <w:r w:rsidRPr="00846A52">
        <w:rPr>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4BFFCC67" w14:textId="77777777" w:rsidR="00D44A5A" w:rsidRPr="00846A52" w:rsidRDefault="00D44A5A" w:rsidP="00846A52">
      <w:pPr>
        <w:pStyle w:val="Default"/>
        <w:ind w:left="851" w:right="843"/>
        <w:jc w:val="both"/>
        <w:rPr>
          <w:sz w:val="20"/>
          <w:szCs w:val="20"/>
        </w:rPr>
      </w:pPr>
      <w:r w:rsidRPr="00846A52">
        <w:rPr>
          <w:sz w:val="20"/>
          <w:szCs w:val="20"/>
        </w:rPr>
        <w:t xml:space="preserve">(…) </w:t>
      </w:r>
    </w:p>
    <w:p w14:paraId="2F516C87" w14:textId="77777777" w:rsidR="00D44A5A" w:rsidRPr="00846A52" w:rsidRDefault="00D44A5A" w:rsidP="00846A52">
      <w:pPr>
        <w:pStyle w:val="Default"/>
        <w:ind w:left="851" w:right="843"/>
        <w:jc w:val="both"/>
        <w:rPr>
          <w:sz w:val="20"/>
          <w:szCs w:val="20"/>
        </w:rPr>
      </w:pPr>
      <w:r w:rsidRPr="00846A52">
        <w:rPr>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846A52">
        <w:rPr>
          <w:sz w:val="20"/>
          <w:szCs w:val="20"/>
        </w:rPr>
        <w:t>claims</w:t>
      </w:r>
      <w:proofErr w:type="spellEnd"/>
      <w:r w:rsidRPr="00846A52">
        <w:rPr>
          <w:sz w:val="20"/>
          <w:szCs w:val="20"/>
        </w:rPr>
        <w:t xml:space="preserve"> </w:t>
      </w:r>
      <w:proofErr w:type="spellStart"/>
      <w:r w:rsidRPr="00846A52">
        <w:rPr>
          <w:sz w:val="20"/>
          <w:szCs w:val="20"/>
        </w:rPr>
        <w:t>made</w:t>
      </w:r>
      <w:proofErr w:type="spellEnd"/>
      <w:r w:rsidRPr="00846A52">
        <w:rPr>
          <w:sz w:val="20"/>
          <w:szCs w:val="20"/>
        </w:rPr>
        <w:t xml:space="preserve">", etc.) de la cobertura del seguro que se pretende afectar y las demás condicione del contrato, con miras a determinar tempranamente y con absoluta claridad cuál es la póliza llamada a responder (en virtud a la vigencia, el ramo de seguros, etc.). </w:t>
      </w:r>
    </w:p>
    <w:p w14:paraId="61BD3A1A" w14:textId="77777777" w:rsidR="00D44A5A" w:rsidRPr="00846A52" w:rsidRDefault="00D44A5A" w:rsidP="00846A52">
      <w:pPr>
        <w:pStyle w:val="Default"/>
        <w:ind w:left="851" w:right="843"/>
        <w:jc w:val="both"/>
        <w:rPr>
          <w:sz w:val="20"/>
          <w:szCs w:val="20"/>
        </w:rPr>
      </w:pPr>
      <w:r w:rsidRPr="00846A52">
        <w:rPr>
          <w:sz w:val="20"/>
          <w:szCs w:val="20"/>
        </w:rPr>
        <w:t>•</w:t>
      </w:r>
      <w:r w:rsidRPr="00846A52">
        <w:rPr>
          <w:b/>
          <w:bCs/>
          <w:sz w:val="20"/>
          <w:szCs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846A52">
        <w:rPr>
          <w:b/>
          <w:bCs/>
          <w:sz w:val="20"/>
          <w:szCs w:val="20"/>
        </w:rPr>
        <w:t>yde</w:t>
      </w:r>
      <w:proofErr w:type="spellEnd"/>
      <w:r w:rsidRPr="00846A52">
        <w:rPr>
          <w:b/>
          <w:bCs/>
          <w:sz w:val="20"/>
          <w:szCs w:val="20"/>
        </w:rPr>
        <w:t xml:space="preserve"> ser posible determinar si la misma ya había sido afectada, lo cual puede afectar la suma asegurada</w:t>
      </w:r>
      <w:r w:rsidRPr="00846A52">
        <w:rPr>
          <w:sz w:val="20"/>
          <w:szCs w:val="20"/>
        </w:rPr>
        <w:t xml:space="preserve">. </w:t>
      </w:r>
    </w:p>
    <w:p w14:paraId="336AE717" w14:textId="77777777" w:rsidR="00D44A5A" w:rsidRPr="00846A52" w:rsidRDefault="00D44A5A" w:rsidP="00846A52">
      <w:pPr>
        <w:pStyle w:val="Default"/>
        <w:ind w:left="851" w:right="843"/>
        <w:jc w:val="both"/>
        <w:rPr>
          <w:sz w:val="20"/>
          <w:szCs w:val="20"/>
        </w:rPr>
      </w:pPr>
      <w:r w:rsidRPr="00846A52">
        <w:rPr>
          <w:sz w:val="20"/>
          <w:szCs w:val="20"/>
        </w:rPr>
        <w:t xml:space="preserve">• El operador fiscal debe identificar con absoluta claridad cuáles son las modalidades de cobertura (descubrimiento, ocurrencia, o reclamación </w:t>
      </w:r>
      <w:proofErr w:type="spellStart"/>
      <w:r w:rsidRPr="00846A52">
        <w:rPr>
          <w:sz w:val="20"/>
          <w:szCs w:val="20"/>
        </w:rPr>
        <w:t>claims</w:t>
      </w:r>
      <w:proofErr w:type="spellEnd"/>
      <w:r w:rsidRPr="00846A52">
        <w:rPr>
          <w:sz w:val="20"/>
          <w:szCs w:val="20"/>
        </w:rPr>
        <w:t xml:space="preserve"> </w:t>
      </w:r>
      <w:proofErr w:type="spellStart"/>
      <w:r w:rsidRPr="00846A52">
        <w:rPr>
          <w:sz w:val="20"/>
          <w:szCs w:val="20"/>
        </w:rPr>
        <w:t>made</w:t>
      </w:r>
      <w:proofErr w:type="spellEnd"/>
      <w:r w:rsidRPr="00846A52">
        <w:rPr>
          <w:sz w:val="20"/>
          <w:szCs w:val="20"/>
        </w:rPr>
        <w:t xml:space="preserve">), </w:t>
      </w:r>
      <w:r w:rsidRPr="00846A52">
        <w:rPr>
          <w:b/>
          <w:bCs/>
          <w:sz w:val="20"/>
          <w:szCs w:val="20"/>
        </w:rPr>
        <w:t xml:space="preserve">así como su vigencia, los periodos de cobertura temporal retroactiva o no de las respectivas pólizas, </w:t>
      </w:r>
      <w:r w:rsidRPr="00846A52">
        <w:rPr>
          <w:sz w:val="20"/>
          <w:szCs w:val="20"/>
        </w:rPr>
        <w:t>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846A52">
        <w:rPr>
          <w:sz w:val="20"/>
          <w:szCs w:val="20"/>
        </w:rPr>
        <w:t>claims</w:t>
      </w:r>
      <w:proofErr w:type="spellEnd"/>
      <w:r w:rsidRPr="00846A52">
        <w:rPr>
          <w:sz w:val="20"/>
          <w:szCs w:val="20"/>
        </w:rPr>
        <w:t xml:space="preserve"> </w:t>
      </w:r>
      <w:proofErr w:type="spellStart"/>
      <w:r w:rsidRPr="00846A52">
        <w:rPr>
          <w:sz w:val="20"/>
          <w:szCs w:val="20"/>
        </w:rPr>
        <w:t>made</w:t>
      </w:r>
      <w:proofErr w:type="spellEnd"/>
      <w:r w:rsidRPr="00846A52">
        <w:rPr>
          <w:sz w:val="20"/>
          <w:szCs w:val="20"/>
        </w:rPr>
        <w:t xml:space="preserve">", deberá afectarse la póliza vigente al momento de proferir el auto de apertura o de vinculación de la aseguradora. </w:t>
      </w:r>
    </w:p>
    <w:p w14:paraId="2730298F" w14:textId="77777777" w:rsidR="00D44A5A" w:rsidRPr="00846A52" w:rsidRDefault="00D44A5A" w:rsidP="00846A52">
      <w:pPr>
        <w:pStyle w:val="Default"/>
        <w:ind w:left="851" w:right="843"/>
        <w:jc w:val="both"/>
        <w:rPr>
          <w:sz w:val="20"/>
          <w:szCs w:val="20"/>
        </w:rPr>
      </w:pPr>
      <w:r w:rsidRPr="00846A52">
        <w:rPr>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DB7225F" w14:textId="77777777" w:rsidR="00D44A5A" w:rsidRPr="00846A52" w:rsidRDefault="00D44A5A" w:rsidP="00846A52">
      <w:pPr>
        <w:pStyle w:val="Default"/>
        <w:ind w:left="851" w:right="843"/>
        <w:jc w:val="both"/>
        <w:rPr>
          <w:sz w:val="20"/>
          <w:szCs w:val="20"/>
        </w:rPr>
      </w:pPr>
      <w:r w:rsidRPr="00846A52">
        <w:rPr>
          <w:sz w:val="20"/>
          <w:szCs w:val="20"/>
        </w:rPr>
        <w:t>•</w:t>
      </w:r>
      <w:r w:rsidRPr="00846A52">
        <w:rPr>
          <w:b/>
          <w:b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846A52">
        <w:rPr>
          <w:sz w:val="20"/>
          <w:szCs w:val="20"/>
        </w:rPr>
        <w:t xml:space="preserve">. </w:t>
      </w:r>
    </w:p>
    <w:p w14:paraId="75AE8507" w14:textId="77777777" w:rsidR="00D44A5A" w:rsidRPr="00846A52" w:rsidRDefault="00D44A5A" w:rsidP="00846A52">
      <w:pPr>
        <w:spacing w:after="0" w:line="240" w:lineRule="auto"/>
        <w:ind w:left="851" w:right="843"/>
        <w:rPr>
          <w:sz w:val="20"/>
          <w:szCs w:val="20"/>
          <w:lang w:val="es-ES_tradnl"/>
        </w:rPr>
      </w:pPr>
      <w:r w:rsidRPr="00846A52">
        <w:rPr>
          <w:b/>
          <w:b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846A52">
        <w:rPr>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43325AC0" w14:textId="77777777" w:rsidR="00D44A5A" w:rsidRPr="00846A52" w:rsidRDefault="00D44A5A" w:rsidP="00846A52">
      <w:pPr>
        <w:spacing w:after="0" w:line="312" w:lineRule="auto"/>
        <w:rPr>
          <w:lang w:val="es-ES_tradnl"/>
        </w:rPr>
      </w:pPr>
    </w:p>
    <w:p w14:paraId="7DD03F4E" w14:textId="76427C46" w:rsidR="00D44A5A" w:rsidRPr="00846A52" w:rsidRDefault="00D44A5A" w:rsidP="00846A52">
      <w:pPr>
        <w:spacing w:after="0" w:line="312" w:lineRule="auto"/>
        <w:rPr>
          <w:lang w:val="es-ES_tradnl"/>
        </w:rPr>
      </w:pPr>
      <w:r w:rsidRPr="00846A52">
        <w:rPr>
          <w:lang w:val="es-ES_tradnl"/>
        </w:rPr>
        <w:lastRenderedPageBreak/>
        <w:t>Conforme a lo anterior, es claro que la vinculación de la aseguradora debe estar condicionada a la estricta observancia o análisis previo de la póliza invocada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28252C47" w14:textId="77777777" w:rsidR="00516442" w:rsidRPr="00846A52" w:rsidRDefault="00516442" w:rsidP="00846A52">
      <w:pPr>
        <w:spacing w:after="0" w:line="312" w:lineRule="auto"/>
        <w:ind w:left="77" w:right="-7"/>
      </w:pPr>
      <w:r w:rsidRPr="00846A52">
        <w:t xml:space="preserve"> </w:t>
      </w:r>
    </w:p>
    <w:p w14:paraId="35206627" w14:textId="6CD7B5CC" w:rsidR="00516442" w:rsidRPr="00846A52" w:rsidRDefault="00516442" w:rsidP="00846A52">
      <w:pPr>
        <w:spacing w:after="0" w:line="312" w:lineRule="auto"/>
        <w:ind w:left="72" w:right="-7"/>
      </w:pPr>
      <w:r w:rsidRPr="00846A52">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erario público. Es por esto, que su responsabilidad se </w:t>
      </w:r>
      <w:r w:rsidR="00AA30C5" w:rsidRPr="00846A52">
        <w:t>circunscribe</w:t>
      </w:r>
      <w:r w:rsidRPr="00846A52">
        <w:t xml:space="preserve"> a una de tipo civil o contractual, pero no fiscal, debiendo regirse precisamente por lo establecido en el derecho comercial sobre este particular. </w:t>
      </w:r>
    </w:p>
    <w:p w14:paraId="36FBAF26" w14:textId="77777777" w:rsidR="00516442" w:rsidRPr="00846A52" w:rsidRDefault="00516442" w:rsidP="00846A52">
      <w:pPr>
        <w:spacing w:after="0" w:line="312" w:lineRule="auto"/>
        <w:ind w:left="77" w:right="-7"/>
      </w:pPr>
      <w:r w:rsidRPr="00846A52">
        <w:t xml:space="preserve"> </w:t>
      </w:r>
    </w:p>
    <w:p w14:paraId="707B1B7E" w14:textId="1F1AE975" w:rsidR="00516442" w:rsidRPr="00846A52" w:rsidRDefault="00516442" w:rsidP="00846A52">
      <w:pPr>
        <w:spacing w:after="0" w:line="312" w:lineRule="auto"/>
      </w:pPr>
      <w:r w:rsidRPr="00846A52">
        <w:t xml:space="preserve">En el caso particular, es evidente que el ente de control no efectuó el análisis y estudio de las condiciones pactadas en </w:t>
      </w:r>
      <w:r w:rsidR="002D0A3B" w:rsidRPr="00846A52">
        <w:t xml:space="preserve">el contrato de seguros materializado </w:t>
      </w:r>
      <w:r w:rsidR="004F4811" w:rsidRPr="00846A52">
        <w:t xml:space="preserve">en </w:t>
      </w:r>
      <w:r w:rsidR="008245CE" w:rsidRPr="00846A52">
        <w:rPr>
          <w:lang w:val="es-ES"/>
        </w:rPr>
        <w:t xml:space="preserve">la </w:t>
      </w:r>
      <w:r w:rsidR="00190753" w:rsidRPr="000D3A0C">
        <w:rPr>
          <w:b/>
          <w:bCs/>
        </w:rPr>
        <w:t>Póliza de Seguro de Modular Comercial No. 1000074</w:t>
      </w:r>
      <w:r w:rsidR="00190753" w:rsidRPr="00846A52">
        <w:rPr>
          <w:b/>
          <w:bCs/>
        </w:rPr>
        <w:t xml:space="preserve"> </w:t>
      </w:r>
      <w:r w:rsidR="00190753" w:rsidRPr="00846A52">
        <w:t>cuya vigencia corrió desde el 29 de febrero de 2024 al 16 de octubre de 2024 con prórroga hasta el 15 de noviembre de 2024</w:t>
      </w:r>
      <w:r w:rsidR="002D0A3B" w:rsidRPr="00846A52">
        <w:rPr>
          <w:b/>
          <w:bCs/>
        </w:rPr>
        <w:t>,</w:t>
      </w:r>
      <w:r w:rsidRPr="00846A52">
        <w:t xml:space="preserve"> limitándose exclusivamente a enunciar la existencia de las mismas. Es evidente que, de haberse realizado el respectivo examen, definitivamente la conclusión sería que los hechos objeto de la acción fiscal no se encuentran cubiertos bajo los contratos de seguro documentados en las pólizas antes referidas. </w:t>
      </w:r>
    </w:p>
    <w:p w14:paraId="3DDAB70C" w14:textId="77777777" w:rsidR="00516442" w:rsidRPr="00846A52" w:rsidRDefault="00516442" w:rsidP="00846A52">
      <w:pPr>
        <w:spacing w:after="0" w:line="312" w:lineRule="auto"/>
        <w:ind w:left="77" w:right="-7"/>
      </w:pPr>
      <w:r w:rsidRPr="00846A52">
        <w:t xml:space="preserve"> </w:t>
      </w:r>
    </w:p>
    <w:p w14:paraId="0AAD0E05" w14:textId="2149F5ED" w:rsidR="00516442" w:rsidRPr="00846A52" w:rsidRDefault="00516442" w:rsidP="00846A52">
      <w:pPr>
        <w:spacing w:after="0" w:line="312" w:lineRule="auto"/>
      </w:pPr>
      <w:r w:rsidRPr="00846A52">
        <w:t xml:space="preserve">Dicho lo anterior, se presentarán los argumentos por los cuales se solicita eximir de todo tipo de responsabilidad a </w:t>
      </w:r>
      <w:r w:rsidR="00F049D3" w:rsidRPr="00846A52">
        <w:rPr>
          <w:b/>
          <w:bCs/>
          <w:lang w:val="es-ES"/>
        </w:rPr>
        <w:t>LA PREVISORA S.A. COMPAÑÍA DE SEGUROS</w:t>
      </w:r>
      <w:r w:rsidR="006F6291">
        <w:rPr>
          <w:b/>
          <w:bCs/>
          <w:lang w:val="es-ES"/>
        </w:rPr>
        <w:t>,</w:t>
      </w:r>
      <w:r w:rsidR="00F049D3" w:rsidRPr="00846A52">
        <w:rPr>
          <w:b/>
          <w:bCs/>
          <w:lang w:val="es-ES"/>
        </w:rPr>
        <w:t xml:space="preserve"> </w:t>
      </w:r>
      <w:r w:rsidRPr="00846A52">
        <w:t xml:space="preserve">así: </w:t>
      </w:r>
    </w:p>
    <w:p w14:paraId="0B8A5E0D" w14:textId="77777777" w:rsidR="00294430" w:rsidRPr="00846A52" w:rsidRDefault="00294430" w:rsidP="00846A52">
      <w:pPr>
        <w:spacing w:after="0" w:line="312" w:lineRule="auto"/>
      </w:pPr>
    </w:p>
    <w:p w14:paraId="06BB7004" w14:textId="2863D62E" w:rsidR="00516442" w:rsidRPr="00846A52" w:rsidRDefault="00516442" w:rsidP="00846A52">
      <w:pPr>
        <w:pStyle w:val="Prrafodelista"/>
        <w:numPr>
          <w:ilvl w:val="0"/>
          <w:numId w:val="24"/>
        </w:numPr>
        <w:spacing w:after="0" w:line="312" w:lineRule="auto"/>
        <w:ind w:left="293" w:hanging="283"/>
        <w:jc w:val="both"/>
        <w:rPr>
          <w:rFonts w:ascii="Arial" w:hAnsi="Arial" w:cs="Arial"/>
        </w:rPr>
      </w:pPr>
      <w:bookmarkStart w:id="7" w:name="_Hlk120468716"/>
      <w:r w:rsidRPr="00846A52">
        <w:rPr>
          <w:rFonts w:ascii="Arial" w:hAnsi="Arial" w:cs="Arial"/>
          <w:b/>
          <w:u w:val="single"/>
        </w:rPr>
        <w:t>INEXI</w:t>
      </w:r>
      <w:r w:rsidR="00FC11ED" w:rsidRPr="00846A52">
        <w:rPr>
          <w:rFonts w:ascii="Arial" w:hAnsi="Arial" w:cs="Arial"/>
          <w:b/>
          <w:u w:val="single"/>
        </w:rPr>
        <w:t>GIBILIDAD</w:t>
      </w:r>
      <w:r w:rsidRPr="00846A52">
        <w:rPr>
          <w:rFonts w:ascii="Arial" w:hAnsi="Arial" w:cs="Arial"/>
          <w:b/>
          <w:u w:val="single"/>
        </w:rPr>
        <w:t xml:space="preserve"> DE </w:t>
      </w:r>
      <w:r w:rsidR="00FC11ED" w:rsidRPr="00846A52">
        <w:rPr>
          <w:rFonts w:ascii="Arial" w:hAnsi="Arial" w:cs="Arial"/>
          <w:b/>
          <w:u w:val="single"/>
        </w:rPr>
        <w:t xml:space="preserve">LA </w:t>
      </w:r>
      <w:r w:rsidRPr="00846A52">
        <w:rPr>
          <w:rFonts w:ascii="Arial" w:hAnsi="Arial" w:cs="Arial"/>
          <w:b/>
          <w:u w:val="single"/>
        </w:rPr>
        <w:t xml:space="preserve">OBLIGACIÓN A CARGO DE LA COMPAÑÍA ASEGURADORA POR CUANTO NO SE </w:t>
      </w:r>
      <w:r w:rsidR="00EC42DF" w:rsidRPr="00846A52">
        <w:rPr>
          <w:rFonts w:ascii="Arial" w:hAnsi="Arial" w:cs="Arial"/>
          <w:b/>
          <w:u w:val="single"/>
        </w:rPr>
        <w:t xml:space="preserve">REALIZÓ EL RIESGO ASEGURADO </w:t>
      </w:r>
      <w:r w:rsidR="00EC42DF" w:rsidRPr="00846A52">
        <w:rPr>
          <w:rFonts w:ascii="Arial" w:hAnsi="Arial" w:cs="Arial"/>
          <w:b/>
          <w:bCs/>
          <w:u w:val="single"/>
        </w:rPr>
        <w:t>EN</w:t>
      </w:r>
      <w:r w:rsidR="00EC42DF" w:rsidRPr="00846A52">
        <w:rPr>
          <w:rFonts w:ascii="Arial" w:hAnsi="Arial" w:cs="Arial"/>
          <w:b/>
          <w:u w:val="single"/>
        </w:rPr>
        <w:t xml:space="preserve"> LA </w:t>
      </w:r>
      <w:r w:rsidR="00EC42DF" w:rsidRPr="00846A52">
        <w:rPr>
          <w:rFonts w:ascii="Arial" w:hAnsi="Arial" w:cs="Arial"/>
          <w:b/>
          <w:bCs/>
          <w:u w:val="single"/>
        </w:rPr>
        <w:t>PÓLIZA DE SEGURO DE MODULAR COMERCIAL No. 1000074</w:t>
      </w:r>
      <w:r w:rsidR="00EC42DF" w:rsidRPr="00846A52">
        <w:rPr>
          <w:rFonts w:ascii="Arial" w:hAnsi="Arial" w:cs="Arial"/>
          <w:b/>
          <w:u w:val="single"/>
        </w:rPr>
        <w:t xml:space="preserve">.  </w:t>
      </w:r>
    </w:p>
    <w:p w14:paraId="5FC4F9A1" w14:textId="77777777" w:rsidR="00516442" w:rsidRPr="00846A52" w:rsidRDefault="00516442" w:rsidP="00846A52">
      <w:pPr>
        <w:spacing w:after="0" w:line="312" w:lineRule="auto"/>
        <w:ind w:left="77" w:right="-7"/>
      </w:pPr>
      <w:r w:rsidRPr="00846A52">
        <w:t xml:space="preserve"> </w:t>
      </w:r>
    </w:p>
    <w:p w14:paraId="541A00E2" w14:textId="32B76202" w:rsidR="00710A3E" w:rsidRPr="00846A52" w:rsidRDefault="00710A3E" w:rsidP="00846A52">
      <w:pPr>
        <w:spacing w:after="0" w:line="312" w:lineRule="auto"/>
      </w:pPr>
      <w:r w:rsidRPr="00846A52">
        <w:t xml:space="preserve">No existe obligación indemnizatoria a cargo de mi representada, toda vez que no se realizó el riesgo asegurado en </w:t>
      </w:r>
      <w:r w:rsidR="00177DDF" w:rsidRPr="00846A52">
        <w:t xml:space="preserve">la </w:t>
      </w:r>
      <w:r w:rsidR="00177DDF" w:rsidRPr="000D3A0C">
        <w:rPr>
          <w:b/>
          <w:bCs/>
        </w:rPr>
        <w:t>Póliza de Seguro de Modular Comercial No. 1000074</w:t>
      </w:r>
      <w:r w:rsidR="00177DDF" w:rsidRPr="00846A52">
        <w:rPr>
          <w:b/>
          <w:bCs/>
        </w:rPr>
        <w:t xml:space="preserve"> </w:t>
      </w:r>
      <w:r w:rsidR="00177DDF" w:rsidRPr="00846A52">
        <w:t>cuya vigencia corrió desde el 29 de febrero de 2024 al 16 de octubre de 2024 con prórroga hasta el 15 de noviembre de 2024.</w:t>
      </w:r>
      <w:r w:rsidRPr="00846A52">
        <w:t xml:space="preserve"> </w:t>
      </w:r>
      <w:r w:rsidR="009B501E" w:rsidRPr="00846A52">
        <w:t>Toda vez que</w:t>
      </w:r>
      <w:r w:rsidR="003548BF" w:rsidRPr="00846A52">
        <w:t>,</w:t>
      </w:r>
      <w:r w:rsidR="009B501E" w:rsidRPr="00846A52">
        <w:t xml:space="preserve"> las pruebas allegadas al plenario acreditan que no existe un hecho generador de</w:t>
      </w:r>
      <w:r w:rsidR="003548BF" w:rsidRPr="00846A52">
        <w:t xml:space="preserve">l presunto detrimento patrimonial, pues </w:t>
      </w:r>
      <w:r w:rsidR="00177DDF" w:rsidRPr="00846A52">
        <w:t>el aquí</w:t>
      </w:r>
      <w:r w:rsidR="003548BF" w:rsidRPr="00846A52">
        <w:t xml:space="preserve"> vinculado como presunto responsable </w:t>
      </w:r>
      <w:r w:rsidR="00190741" w:rsidRPr="00846A52">
        <w:t xml:space="preserve">no fue el ejecutor directo de la obra, sino por el contrario fue el contratista quien adelantó la obra y prestó </w:t>
      </w:r>
      <w:r w:rsidR="006F6291">
        <w:t>garantía en favor del D</w:t>
      </w:r>
      <w:r w:rsidR="00190741" w:rsidRPr="00846A52">
        <w:t>istrito de calidad de la obra. Por lo que no sería el servidor público el llamado a responder por los hechos aquí investigados</w:t>
      </w:r>
      <w:r w:rsidR="006F6291">
        <w:t>, máxime cuando é</w:t>
      </w:r>
      <w:r w:rsidR="00190741" w:rsidRPr="00846A52">
        <w:t xml:space="preserve">ste </w:t>
      </w:r>
      <w:r w:rsidR="00587518" w:rsidRPr="00846A52">
        <w:t>cumplió con sus funciones de acuerdo a</w:t>
      </w:r>
      <w:r w:rsidR="006F6291">
        <w:t xml:space="preserve"> los fines de la función pública y no menoscabo al</w:t>
      </w:r>
      <w:r w:rsidR="00587518" w:rsidRPr="00846A52">
        <w:t xml:space="preserve"> patrimonio del Estado. </w:t>
      </w:r>
      <w:r w:rsidR="003548BF" w:rsidRPr="00846A52">
        <w:t>Por lo tanto, e</w:t>
      </w:r>
      <w:r w:rsidRPr="00846A52">
        <w:t>n el expediente ciertamente no está demostrada la responsabilidad fiscal que pretende</w:t>
      </w:r>
      <w:r w:rsidR="006F6291">
        <w:t xml:space="preserve"> el</w:t>
      </w:r>
      <w:r w:rsidRPr="00846A52">
        <w:t xml:space="preserve"> ente de control endilgar al presunto responsabl</w:t>
      </w:r>
      <w:r w:rsidR="003548BF" w:rsidRPr="00846A52">
        <w:t>e, p</w:t>
      </w:r>
      <w:r w:rsidRPr="00846A52">
        <w:t xml:space="preserve">or el contrario, </w:t>
      </w:r>
      <w:r w:rsidR="00093B3E" w:rsidRPr="00846A52">
        <w:t xml:space="preserve">luego de haber analizado la totalidad de las pruebas que obran en el expediente, es claro que </w:t>
      </w:r>
      <w:r w:rsidR="002F02D5" w:rsidRPr="00846A52">
        <w:t>no existe un hecho que se materialice en un daño a la administración ni mucho menos</w:t>
      </w:r>
      <w:r w:rsidR="006F6291">
        <w:t xml:space="preserve"> que éste tenga el impacto de causar</w:t>
      </w:r>
      <w:r w:rsidR="002F02D5" w:rsidRPr="00846A52">
        <w:t xml:space="preserve"> un detrimento patrimonial. </w:t>
      </w:r>
    </w:p>
    <w:p w14:paraId="28964936" w14:textId="77777777" w:rsidR="002F02D5" w:rsidRPr="00846A52" w:rsidRDefault="002F02D5" w:rsidP="00846A52">
      <w:pPr>
        <w:spacing w:after="0" w:line="312" w:lineRule="auto"/>
        <w:rPr>
          <w:color w:val="000000" w:themeColor="text1"/>
        </w:rPr>
      </w:pPr>
    </w:p>
    <w:p w14:paraId="13F212AB" w14:textId="4088B7ED" w:rsidR="00A0174B" w:rsidRPr="00846A52" w:rsidRDefault="00A0174B" w:rsidP="00846A52">
      <w:pPr>
        <w:spacing w:after="0" w:line="312" w:lineRule="auto"/>
      </w:pPr>
      <w:r w:rsidRPr="00846A52">
        <w:t xml:space="preserve">En este orden de ideas, en concordancia con todo lo referenciado a lo largo del presente escrito, se propone esta excepción toda vez que </w:t>
      </w:r>
      <w:r w:rsidR="007C64A6" w:rsidRPr="00846A52">
        <w:rPr>
          <w:b/>
          <w:bCs/>
        </w:rPr>
        <w:t>LA PREVISORA S.A. COMPAÑÍA DE SEGUROS</w:t>
      </w:r>
      <w:r w:rsidRPr="00846A52">
        <w:t xml:space="preserve"> no está </w:t>
      </w:r>
      <w:r w:rsidRPr="00846A52">
        <w:lastRenderedPageBreak/>
        <w:t xml:space="preserve">obligada a responder, de conformidad con las obligaciones expresamente estipuladas y aceptadas por las partes en el contrato de seguro. Así entonces, es necesario señalar que, al tenor de las condiciones generales documentadas en </w:t>
      </w:r>
      <w:r w:rsidR="00580D35" w:rsidRPr="00846A52">
        <w:t xml:space="preserve">la </w:t>
      </w:r>
      <w:r w:rsidR="00580D35" w:rsidRPr="000D3A0C">
        <w:rPr>
          <w:b/>
          <w:bCs/>
        </w:rPr>
        <w:t>Póliza de Seguro de Modular Comercial No. 1000074</w:t>
      </w:r>
      <w:r w:rsidR="00580D35" w:rsidRPr="00846A52">
        <w:rPr>
          <w:b/>
          <w:bCs/>
        </w:rPr>
        <w:t xml:space="preserve"> </w:t>
      </w:r>
      <w:r w:rsidR="00580D35" w:rsidRPr="00846A52">
        <w:t>cuya vigencia corrió desde el 29 de febrero de 2024 al 16 de octubre de 2024 con prórroga hasta el 15 de noviembre de 2024</w:t>
      </w:r>
      <w:r w:rsidR="006F6291">
        <w:t>; póliza</w:t>
      </w:r>
      <w:r w:rsidR="00580D35" w:rsidRPr="00846A52">
        <w:t xml:space="preserve"> líder expedida por SBS Seguros Colombia S.A.</w:t>
      </w:r>
      <w:r w:rsidRPr="00846A52">
        <w:rPr>
          <w:b/>
          <w:bCs/>
        </w:rPr>
        <w:t>,</w:t>
      </w:r>
      <w:r w:rsidRPr="00846A52">
        <w:t xml:space="preserve"> el amparo que se pretende afectar con la presente acción se pactó así: </w:t>
      </w:r>
    </w:p>
    <w:p w14:paraId="6219E8F1" w14:textId="77777777" w:rsidR="00464088" w:rsidRPr="00846A52" w:rsidRDefault="00464088" w:rsidP="00846A52">
      <w:pPr>
        <w:spacing w:after="0" w:line="312" w:lineRule="auto"/>
      </w:pPr>
    </w:p>
    <w:p w14:paraId="140D0F03" w14:textId="2CD94315" w:rsidR="00464088" w:rsidRPr="00846A52" w:rsidRDefault="00180544" w:rsidP="00846A52">
      <w:pPr>
        <w:spacing w:after="0" w:line="312" w:lineRule="auto"/>
        <w:rPr>
          <w:sz w:val="20"/>
          <w:szCs w:val="20"/>
        </w:rPr>
      </w:pPr>
      <w:r w:rsidRPr="00846A52">
        <w:rPr>
          <w:noProof/>
          <w:sz w:val="20"/>
          <w:szCs w:val="20"/>
        </w:rPr>
        <w:drawing>
          <wp:inline distT="0" distB="0" distL="0" distR="0" wp14:anchorId="25EF398C" wp14:editId="52CE4049">
            <wp:extent cx="6116320" cy="582295"/>
            <wp:effectExtent l="0" t="0" r="0" b="8255"/>
            <wp:docPr id="246860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60162" name=""/>
                    <pic:cNvPicPr/>
                  </pic:nvPicPr>
                  <pic:blipFill>
                    <a:blip r:embed="rId12"/>
                    <a:stretch>
                      <a:fillRect/>
                    </a:stretch>
                  </pic:blipFill>
                  <pic:spPr>
                    <a:xfrm>
                      <a:off x="0" y="0"/>
                      <a:ext cx="6116320" cy="582295"/>
                    </a:xfrm>
                    <a:prstGeom prst="rect">
                      <a:avLst/>
                    </a:prstGeom>
                  </pic:spPr>
                </pic:pic>
              </a:graphicData>
            </a:graphic>
          </wp:inline>
        </w:drawing>
      </w:r>
    </w:p>
    <w:p w14:paraId="06E4FAD3" w14:textId="77777777" w:rsidR="00180544" w:rsidRPr="00846A52" w:rsidRDefault="00180544" w:rsidP="00846A52">
      <w:pPr>
        <w:spacing w:after="0" w:line="312" w:lineRule="auto"/>
        <w:rPr>
          <w:sz w:val="20"/>
          <w:szCs w:val="20"/>
        </w:rPr>
      </w:pPr>
    </w:p>
    <w:p w14:paraId="1E00CFDE" w14:textId="505B6E97" w:rsidR="00A0174B" w:rsidRPr="00846A52" w:rsidRDefault="00A0174B" w:rsidP="00846A52">
      <w:pPr>
        <w:spacing w:after="0" w:line="312" w:lineRule="auto"/>
        <w:rPr>
          <w:b/>
          <w:bCs/>
        </w:rPr>
      </w:pPr>
      <w:r w:rsidRPr="00846A52">
        <w:t xml:space="preserve">De conformidad con lo anterior, se evidencia que el riesgo asegurado en el contrato de seguros en comento no es otro que </w:t>
      </w:r>
      <w:r w:rsidR="00081EF7" w:rsidRPr="00846A52">
        <w:t>el menoscabo de los fondos del Distrito Especial de Santiago de Cali causados por acciones y omisiones de sus servidores</w:t>
      </w:r>
      <w:r w:rsidR="00EF6555" w:rsidRPr="00846A52">
        <w:t xml:space="preserve">. </w:t>
      </w:r>
      <w:r w:rsidRPr="00846A52">
        <w:t xml:space="preserve">Dicho de otro modo, el contrato de seguro documentado en la </w:t>
      </w:r>
      <w:r w:rsidR="0012575D" w:rsidRPr="000D3A0C">
        <w:rPr>
          <w:b/>
          <w:bCs/>
        </w:rPr>
        <w:t>Póliza de Seguro de Modular Comercial No. 1000074</w:t>
      </w:r>
      <w:r w:rsidR="0012575D" w:rsidRPr="00846A52">
        <w:rPr>
          <w:b/>
          <w:bCs/>
        </w:rPr>
        <w:t xml:space="preserve"> </w:t>
      </w:r>
      <w:r w:rsidR="0012575D" w:rsidRPr="00846A52">
        <w:t xml:space="preserve">cuya vigencia corrió desde el 29 de febrero de 2024 al 16 de octubre de 2024 con prórroga hasta el 15 de noviembre de 2024 </w:t>
      </w:r>
      <w:r w:rsidRPr="00846A52">
        <w:t>entrará a responder, si y solo sí se causa</w:t>
      </w:r>
      <w:r w:rsidR="001A3AE2" w:rsidRPr="00846A52">
        <w:t xml:space="preserve"> una</w:t>
      </w:r>
      <w:r w:rsidRPr="00846A52">
        <w:t xml:space="preserve"> </w:t>
      </w:r>
      <w:r w:rsidR="00063D79" w:rsidRPr="00846A52">
        <w:t>imputa</w:t>
      </w:r>
      <w:r w:rsidR="001A3AE2" w:rsidRPr="00846A52">
        <w:t>ción de</w:t>
      </w:r>
      <w:r w:rsidR="00063D79" w:rsidRPr="00846A52">
        <w:t xml:space="preserve"> responsabilidad fiscal en cabeza de </w:t>
      </w:r>
      <w:r w:rsidR="00063D79" w:rsidRPr="00846A52">
        <w:rPr>
          <w:b/>
          <w:bCs/>
          <w:u w:val="single"/>
        </w:rPr>
        <w:t xml:space="preserve">los </w:t>
      </w:r>
      <w:r w:rsidR="00C62CB7" w:rsidRPr="00846A52">
        <w:rPr>
          <w:b/>
          <w:bCs/>
          <w:u w:val="single"/>
        </w:rPr>
        <w:t>servidores</w:t>
      </w:r>
      <w:r w:rsidR="00063D79" w:rsidRPr="00846A52">
        <w:rPr>
          <w:b/>
          <w:bCs/>
          <w:u w:val="single"/>
        </w:rPr>
        <w:t xml:space="preserve"> públicos de los cargos amparados en el contrato</w:t>
      </w:r>
      <w:r w:rsidR="00063D79" w:rsidRPr="00846A52">
        <w:t xml:space="preserve"> de seguro y que los mismo</w:t>
      </w:r>
      <w:r w:rsidR="006F6291">
        <w:t>s</w:t>
      </w:r>
      <w:r w:rsidR="00063D79" w:rsidRPr="00846A52">
        <w:t xml:space="preserve"> causen un detrimento a</w:t>
      </w:r>
      <w:r w:rsidR="00030367" w:rsidRPr="00846A52">
        <w:t xml:space="preserve">l </w:t>
      </w:r>
      <w:r w:rsidR="00030367" w:rsidRPr="00846A52">
        <w:rPr>
          <w:b/>
          <w:bCs/>
        </w:rPr>
        <w:t>DISTRI</w:t>
      </w:r>
      <w:r w:rsidR="006F6291">
        <w:rPr>
          <w:b/>
          <w:bCs/>
        </w:rPr>
        <w:t xml:space="preserve">TO ESPECIAL DE SANTIAGO DE CALI, </w:t>
      </w:r>
      <w:r w:rsidRPr="00846A52">
        <w:t>siempre y cuando no se presente una causal de exclusión u otra circunstancia que enerve los efectos jurídicos del contrato de segur</w:t>
      </w:r>
      <w:r w:rsidR="00345269" w:rsidRPr="00846A52">
        <w:t xml:space="preserve">o. </w:t>
      </w:r>
    </w:p>
    <w:p w14:paraId="20332788" w14:textId="77777777" w:rsidR="00A0174B" w:rsidRPr="00846A52" w:rsidRDefault="00A0174B" w:rsidP="00846A52">
      <w:pPr>
        <w:spacing w:after="0" w:line="312" w:lineRule="auto"/>
      </w:pPr>
    </w:p>
    <w:p w14:paraId="65804281" w14:textId="683F8AA4" w:rsidR="00A0174B" w:rsidRPr="00846A52" w:rsidRDefault="00A0174B" w:rsidP="00846A52">
      <w:pPr>
        <w:spacing w:after="0" w:line="312" w:lineRule="auto"/>
      </w:pPr>
      <w:r w:rsidRPr="00846A52">
        <w:t xml:space="preserve">De acuerdo con la exposición anterior y teniendo en cuenta lo descrito en el auto de </w:t>
      </w:r>
      <w:r w:rsidR="00C62CB7" w:rsidRPr="00846A52">
        <w:t>apertura</w:t>
      </w:r>
      <w:r w:rsidRPr="00846A52">
        <w:t xml:space="preserve">, así como los medios probatorios aportados al plenario, se tiene que el ente de control no acreditó que efectivamente el riesgo asegurado se haya materializado por el concurso </w:t>
      </w:r>
      <w:r w:rsidR="006F6291">
        <w:t>de los elementos propios de la r</w:t>
      </w:r>
      <w:r w:rsidRPr="00846A52">
        <w:t xml:space="preserve">esponsabilidad fiscal y, por consiguiente, la presente investigación no está llamada a prosperar. En consecuencia, no se logra estructurar una responsabilidad fiscal en cabeza del presunto responsable, esto es, no se realiza el riesgo asegurado como condición </w:t>
      </w:r>
      <w:r w:rsidRPr="00846A52">
        <w:rPr>
          <w:i/>
        </w:rPr>
        <w:t xml:space="preserve">sine qua non </w:t>
      </w:r>
      <w:r w:rsidRPr="00846A52">
        <w:t xml:space="preserve">para activar la responsabilidad fiscal que, eventual e hipotéticamente, pudiera corresponder a la aseguradora. </w:t>
      </w:r>
    </w:p>
    <w:p w14:paraId="04842E40" w14:textId="77777777" w:rsidR="00A0174B" w:rsidRPr="00846A52" w:rsidRDefault="00A0174B" w:rsidP="00846A52">
      <w:pPr>
        <w:spacing w:after="0" w:line="312" w:lineRule="auto"/>
      </w:pPr>
    </w:p>
    <w:p w14:paraId="5DEF097E" w14:textId="19DC68DE" w:rsidR="00A0174B" w:rsidRPr="00846A52" w:rsidRDefault="00A0174B" w:rsidP="00846A52">
      <w:pPr>
        <w:spacing w:after="0" w:line="312" w:lineRule="auto"/>
        <w:rPr>
          <w:b/>
          <w:bCs/>
        </w:rPr>
      </w:pPr>
      <w:r w:rsidRPr="00846A52">
        <w:rPr>
          <w:rFonts w:eastAsia="ArialUnicodeMS"/>
          <w:lang w:val="es-ES"/>
        </w:rPr>
        <w:t>Se concluye, que al no reunirse los supuestos para que se configure la responsabilidad fiscal, claramente no se ha r</w:t>
      </w:r>
      <w:r w:rsidR="006F6291">
        <w:rPr>
          <w:rFonts w:eastAsia="ArialUnicodeMS"/>
          <w:lang w:val="es-ES"/>
        </w:rPr>
        <w:t>ealizado el riesgo asegurado</w:t>
      </w:r>
      <w:r w:rsidRPr="00846A52">
        <w:t xml:space="preserve"> en </w:t>
      </w:r>
      <w:r w:rsidR="00247F89" w:rsidRPr="00846A52">
        <w:t xml:space="preserve">la </w:t>
      </w:r>
      <w:r w:rsidR="00247F89" w:rsidRPr="000D3A0C">
        <w:rPr>
          <w:b/>
          <w:bCs/>
        </w:rPr>
        <w:t>Póliza de Seguro de Modular Comercial No. 1000074</w:t>
      </w:r>
      <w:r w:rsidR="00247F89" w:rsidRPr="00846A52">
        <w:rPr>
          <w:b/>
          <w:bCs/>
        </w:rPr>
        <w:t xml:space="preserve"> </w:t>
      </w:r>
      <w:r w:rsidR="00247F89" w:rsidRPr="00846A52">
        <w:t>cuya vigencia corrió desde el 29 de febrero de 2024 al 16 de octubre de 2024 con prórroga hasta el 15 de noviembre de 2024</w:t>
      </w:r>
      <w:r w:rsidR="006F6291">
        <w:t xml:space="preserve">, la cual, </w:t>
      </w:r>
      <w:r w:rsidRPr="00846A52">
        <w:rPr>
          <w:rFonts w:eastAsia="ArialUnicodeMS"/>
          <w:lang w:val="es-ES"/>
        </w:rPr>
        <w:t>sirvió como sustento para vincular como tercero civi</w:t>
      </w:r>
      <w:r w:rsidR="006F6291">
        <w:rPr>
          <w:rFonts w:eastAsia="ArialUnicodeMS"/>
          <w:lang w:val="es-ES"/>
        </w:rPr>
        <w:t>lmente responsable a mi procurada</w:t>
      </w:r>
      <w:r w:rsidRPr="00846A52">
        <w:rPr>
          <w:rFonts w:eastAsia="ArialUnicodeMS"/>
          <w:lang w:val="es-ES"/>
        </w:rPr>
        <w:t>. En tal sentido, no surge obligación indemnizatoria algu</w:t>
      </w:r>
      <w:r w:rsidR="006F6291">
        <w:rPr>
          <w:rFonts w:eastAsia="ArialUnicodeMS"/>
          <w:lang w:val="es-ES"/>
        </w:rPr>
        <w:t>na a cargo de la a</w:t>
      </w:r>
      <w:r w:rsidRPr="00846A52">
        <w:rPr>
          <w:rFonts w:eastAsia="ArialUnicodeMS"/>
          <w:lang w:val="es-ES"/>
        </w:rPr>
        <w:t xml:space="preserve">seguradora. </w:t>
      </w:r>
      <w:r w:rsidRPr="00846A52">
        <w:t xml:space="preserve">De esta manera, al ser jurídicamente improcedente la declaratoria de responsabilidad fiscal en contra </w:t>
      </w:r>
      <w:r w:rsidR="000F6636" w:rsidRPr="00846A52">
        <w:t>de los aquí vinculados como pr</w:t>
      </w:r>
      <w:r w:rsidR="00573353">
        <w:t>esuntos responsables y sobre el</w:t>
      </w:r>
      <w:r w:rsidR="000F6636" w:rsidRPr="00846A52">
        <w:t xml:space="preserve"> cual se </w:t>
      </w:r>
      <w:r w:rsidR="006F6291">
        <w:t>aperturó</w:t>
      </w:r>
      <w:r w:rsidR="00D370B0" w:rsidRPr="00846A52">
        <w:t xml:space="preserve"> el proceso de</w:t>
      </w:r>
      <w:r w:rsidR="000F6636" w:rsidRPr="00846A52">
        <w:t xml:space="preserve"> responsabilidad</w:t>
      </w:r>
      <w:r w:rsidR="00573353">
        <w:t xml:space="preserve"> fiscal</w:t>
      </w:r>
      <w:r w:rsidR="000F6636" w:rsidRPr="00846A52">
        <w:t>,</w:t>
      </w:r>
      <w:r w:rsidRPr="00846A52">
        <w:t xml:space="preserve"> se debe concluir que tampoco se puede exigir pago alguno a mi procurada, derivado </w:t>
      </w:r>
      <w:r w:rsidR="00103503" w:rsidRPr="00846A52">
        <w:t>del contrato de seguro vinculado</w:t>
      </w:r>
      <w:r w:rsidR="006F6291">
        <w:t>,</w:t>
      </w:r>
      <w:r w:rsidR="00103503" w:rsidRPr="00846A52">
        <w:t xml:space="preserve"> </w:t>
      </w:r>
      <w:r w:rsidRPr="00846A52">
        <w:t xml:space="preserve">lo que por sustracción de materia significa, la no realización del riesgo asegurado. En consecuencia, el </w:t>
      </w:r>
      <w:r w:rsidR="00573353">
        <w:t>órgano de control fiscal</w:t>
      </w:r>
      <w:r w:rsidRPr="00846A52">
        <w:t xml:space="preserve"> no tiene una alternativa diferente que desvincular a </w:t>
      </w:r>
      <w:r w:rsidR="00A404AC" w:rsidRPr="00846A52">
        <w:rPr>
          <w:b/>
          <w:bCs/>
        </w:rPr>
        <w:t xml:space="preserve">LA PREVISORA S.A. COMPAÑÍA DE SEGUROS </w:t>
      </w:r>
      <w:r w:rsidRPr="00846A52">
        <w:t xml:space="preserve">del proceso de responsabilidad fiscal identificado con el expediente No </w:t>
      </w:r>
      <w:r w:rsidR="000B5EF2" w:rsidRPr="00846A52">
        <w:rPr>
          <w:b/>
          <w:color w:val="auto"/>
        </w:rPr>
        <w:t>1900.27.06.24.1696</w:t>
      </w:r>
      <w:r w:rsidR="00F832A4" w:rsidRPr="00846A52">
        <w:rPr>
          <w:b/>
          <w:bCs/>
        </w:rPr>
        <w:t>.</w:t>
      </w:r>
    </w:p>
    <w:p w14:paraId="17A4B9FA" w14:textId="77777777" w:rsidR="000011A0" w:rsidRPr="00846A52" w:rsidRDefault="000011A0" w:rsidP="00846A52">
      <w:pPr>
        <w:spacing w:after="0" w:line="312" w:lineRule="auto"/>
        <w:rPr>
          <w:b/>
          <w:bCs/>
        </w:rPr>
      </w:pPr>
    </w:p>
    <w:p w14:paraId="441AF92D" w14:textId="49FC118A" w:rsidR="000011A0" w:rsidRPr="00846A52" w:rsidRDefault="000011A0" w:rsidP="00573353">
      <w:pPr>
        <w:pStyle w:val="Prrafodelista"/>
        <w:numPr>
          <w:ilvl w:val="0"/>
          <w:numId w:val="24"/>
        </w:numPr>
        <w:spacing w:after="0" w:line="312" w:lineRule="auto"/>
        <w:ind w:left="284" w:hanging="284"/>
        <w:jc w:val="both"/>
        <w:rPr>
          <w:rFonts w:ascii="Arial" w:hAnsi="Arial" w:cs="Arial"/>
          <w:b/>
          <w:bCs/>
          <w:u w:val="single"/>
        </w:rPr>
      </w:pPr>
      <w:r w:rsidRPr="00846A52">
        <w:rPr>
          <w:rFonts w:ascii="Arial" w:hAnsi="Arial" w:cs="Arial"/>
          <w:b/>
          <w:bCs/>
          <w:u w:val="single"/>
        </w:rPr>
        <w:lastRenderedPageBreak/>
        <w:t>AUSENCIA DE COBERTURA PARA LOS CARGOS</w:t>
      </w:r>
      <w:r w:rsidR="00573353">
        <w:rPr>
          <w:rFonts w:ascii="Arial" w:hAnsi="Arial" w:cs="Arial"/>
          <w:b/>
          <w:bCs/>
          <w:u w:val="single"/>
        </w:rPr>
        <w:t xml:space="preserve"> QUE</w:t>
      </w:r>
      <w:r w:rsidRPr="00846A52">
        <w:rPr>
          <w:rFonts w:ascii="Arial" w:hAnsi="Arial" w:cs="Arial"/>
          <w:b/>
          <w:bCs/>
          <w:u w:val="single"/>
        </w:rPr>
        <w:t xml:space="preserve"> NO SE ENCUENTRAN AMPARADOS EN </w:t>
      </w:r>
      <w:r w:rsidRPr="00846A52">
        <w:rPr>
          <w:rFonts w:ascii="Arial" w:hAnsi="Arial" w:cs="Arial"/>
          <w:b/>
          <w:u w:val="single"/>
        </w:rPr>
        <w:t xml:space="preserve">LA </w:t>
      </w:r>
      <w:r w:rsidRPr="00846A52">
        <w:rPr>
          <w:rFonts w:ascii="Arial" w:hAnsi="Arial" w:cs="Arial"/>
          <w:b/>
          <w:bCs/>
          <w:u w:val="single"/>
        </w:rPr>
        <w:t xml:space="preserve">PÓLIZA DE SEGURO DE MODULAR COMERCIAL No. 1000074. </w:t>
      </w:r>
    </w:p>
    <w:p w14:paraId="59D61A26" w14:textId="77777777" w:rsidR="000011A0" w:rsidRPr="00846A52" w:rsidRDefault="000011A0" w:rsidP="00846A52">
      <w:pPr>
        <w:spacing w:after="0" w:line="312" w:lineRule="auto"/>
        <w:rPr>
          <w:b/>
          <w:i/>
        </w:rPr>
      </w:pPr>
    </w:p>
    <w:p w14:paraId="05B605BD" w14:textId="2F736486" w:rsidR="000011A0" w:rsidRPr="00846A52" w:rsidRDefault="00573353" w:rsidP="00846A52">
      <w:pPr>
        <w:spacing w:after="0" w:line="312" w:lineRule="auto"/>
      </w:pPr>
      <w:r>
        <w:rPr>
          <w:bCs/>
        </w:rPr>
        <w:t>El contrato de seguro</w:t>
      </w:r>
      <w:r w:rsidR="000011A0" w:rsidRPr="00846A52">
        <w:rPr>
          <w:bCs/>
        </w:rPr>
        <w:t xml:space="preserve">, materializado en la </w:t>
      </w:r>
      <w:r w:rsidR="000011A0" w:rsidRPr="000D3A0C">
        <w:rPr>
          <w:b/>
          <w:bCs/>
        </w:rPr>
        <w:t xml:space="preserve">Póliza de Seguro de Modular Comercial No. </w:t>
      </w:r>
      <w:r w:rsidR="000011A0" w:rsidRPr="00846A52">
        <w:rPr>
          <w:b/>
          <w:bCs/>
        </w:rPr>
        <w:t xml:space="preserve">1000074 </w:t>
      </w:r>
      <w:r w:rsidR="000011A0" w:rsidRPr="00846A52">
        <w:t xml:space="preserve">no presta cobertura para los investigados a cargo del contratista </w:t>
      </w:r>
      <w:r w:rsidR="000011A0" w:rsidRPr="00846A52">
        <w:rPr>
          <w:b/>
          <w:bCs/>
        </w:rPr>
        <w:t>EQUIVAR S.A.S.</w:t>
      </w:r>
      <w:r>
        <w:rPr>
          <w:b/>
          <w:bCs/>
        </w:rPr>
        <w:t>,</w:t>
      </w:r>
      <w:r w:rsidR="000011A0" w:rsidRPr="00846A52">
        <w:t xml:space="preserve"> toda vez que esta únicamente presta cobertura para los hechos u omisiones en los que incurran los servidores y/o empleados del Distrito Especial de Santiago de Cali. Es decir que en el remoto evento que la empr</w:t>
      </w:r>
      <w:r>
        <w:t>esa EQUIVAR S.A.S. sea declarada</w:t>
      </w:r>
      <w:r w:rsidR="000011A0" w:rsidRPr="00846A52">
        <w:t xml:space="preserve"> responsable fiscal, el presente contrato </w:t>
      </w:r>
      <w:r>
        <w:t xml:space="preserve">de seguro no </w:t>
      </w:r>
      <w:r w:rsidR="000011A0" w:rsidRPr="00846A52">
        <w:t>podrá afectarse por cuanto este no ampara sus riesgos y, en ese sentido</w:t>
      </w:r>
      <w:r>
        <w:t>,</w:t>
      </w:r>
      <w:r w:rsidR="000011A0" w:rsidRPr="00846A52">
        <w:t xml:space="preserve"> la compañía no podrá responder por riesgos que no le han sido trasladados ni mucho menos beneficiar a quienes no hagan parte integral del seguro. </w:t>
      </w:r>
    </w:p>
    <w:p w14:paraId="2ACB309E" w14:textId="77777777" w:rsidR="000011A0" w:rsidRPr="00846A52" w:rsidRDefault="000011A0" w:rsidP="00846A52">
      <w:pPr>
        <w:spacing w:after="0" w:line="312" w:lineRule="auto"/>
        <w:rPr>
          <w:bCs/>
        </w:rPr>
      </w:pPr>
    </w:p>
    <w:p w14:paraId="5014EDB9" w14:textId="38A3103D" w:rsidR="000011A0" w:rsidRPr="00846A52" w:rsidRDefault="000011A0" w:rsidP="00846A52">
      <w:pPr>
        <w:spacing w:after="0" w:line="312" w:lineRule="auto"/>
        <w:ind w:left="0" w:firstLine="0"/>
        <w:rPr>
          <w:bCs/>
        </w:rPr>
      </w:pPr>
      <w:r w:rsidRPr="00846A52">
        <w:rPr>
          <w:bCs/>
        </w:rPr>
        <w:t>Es preciso indicar también que las condiciones particulares del contrato de seguro indicado, establece respecto al objeto del seguro</w:t>
      </w:r>
      <w:r w:rsidR="0036650F">
        <w:rPr>
          <w:bCs/>
        </w:rPr>
        <w:t>,</w:t>
      </w:r>
      <w:r w:rsidRPr="00846A52">
        <w:rPr>
          <w:bCs/>
        </w:rPr>
        <w:t xml:space="preserve"> la siguiente estipulación:</w:t>
      </w:r>
    </w:p>
    <w:p w14:paraId="4DF0A141" w14:textId="77777777" w:rsidR="000011A0" w:rsidRPr="00846A52" w:rsidRDefault="000011A0" w:rsidP="00846A52">
      <w:pPr>
        <w:spacing w:after="0" w:line="312" w:lineRule="auto"/>
        <w:rPr>
          <w:bCs/>
        </w:rPr>
      </w:pPr>
    </w:p>
    <w:p w14:paraId="7BE7A4F9" w14:textId="77777777" w:rsidR="00D966D4" w:rsidRPr="00D966D4" w:rsidRDefault="00D966D4" w:rsidP="00846A52">
      <w:pPr>
        <w:spacing w:after="0" w:line="240" w:lineRule="auto"/>
        <w:ind w:left="851" w:right="843" w:firstLine="0"/>
        <w:rPr>
          <w:sz w:val="20"/>
          <w:szCs w:val="20"/>
        </w:rPr>
      </w:pPr>
      <w:r w:rsidRPr="00D966D4">
        <w:rPr>
          <w:sz w:val="20"/>
          <w:szCs w:val="20"/>
        </w:rPr>
        <w:t>1. Objeto del seguro</w:t>
      </w:r>
    </w:p>
    <w:p w14:paraId="6540DAA2" w14:textId="15BB9623" w:rsidR="000011A0" w:rsidRPr="00846A52" w:rsidRDefault="00D966D4" w:rsidP="00846A52">
      <w:pPr>
        <w:spacing w:after="0" w:line="240" w:lineRule="auto"/>
        <w:ind w:left="851" w:right="843" w:firstLine="0"/>
        <w:rPr>
          <w:sz w:val="20"/>
          <w:szCs w:val="20"/>
        </w:rPr>
      </w:pPr>
      <w:r w:rsidRPr="00D966D4">
        <w:rPr>
          <w:sz w:val="20"/>
          <w:szCs w:val="20"/>
        </w:rPr>
        <w:t>Amparar los riesgos que impliquen menoscabo de los fondos o bienes del DISTRITO DE SANTIAGO DE CALI causados por acciones y omisiones</w:t>
      </w:r>
      <w:r w:rsidRPr="00846A52">
        <w:rPr>
          <w:sz w:val="20"/>
          <w:szCs w:val="20"/>
        </w:rPr>
        <w:t xml:space="preserve"> </w:t>
      </w:r>
      <w:r w:rsidRPr="00D966D4">
        <w:rPr>
          <w:sz w:val="20"/>
          <w:szCs w:val="20"/>
        </w:rPr>
        <w:t xml:space="preserve">de </w:t>
      </w:r>
      <w:r w:rsidRPr="00D966D4">
        <w:rPr>
          <w:b/>
          <w:bCs/>
          <w:sz w:val="20"/>
          <w:szCs w:val="20"/>
          <w:u w:val="single"/>
        </w:rPr>
        <w:t>sus servidores</w:t>
      </w:r>
      <w:r w:rsidRPr="00D966D4">
        <w:rPr>
          <w:sz w:val="20"/>
          <w:szCs w:val="20"/>
        </w:rPr>
        <w:t>, que incurran en delitos contra la administración pública o en alcances fiscales por incumplimiento de las disposiciones legales y</w:t>
      </w:r>
      <w:r w:rsidRPr="00846A52">
        <w:rPr>
          <w:sz w:val="20"/>
          <w:szCs w:val="20"/>
        </w:rPr>
        <w:t xml:space="preserve"> </w:t>
      </w:r>
      <w:r w:rsidRPr="00D966D4">
        <w:rPr>
          <w:sz w:val="20"/>
          <w:szCs w:val="20"/>
        </w:rPr>
        <w:t>reglamentarias, incluyendo el costo de la rendición o reconstrucción de cuentas en caso de abandono del cargo o fallecimiento del empleado o</w:t>
      </w:r>
      <w:r w:rsidRPr="00846A52">
        <w:rPr>
          <w:sz w:val="20"/>
          <w:szCs w:val="20"/>
        </w:rPr>
        <w:t xml:space="preserve"> funcionario.</w:t>
      </w:r>
    </w:p>
    <w:p w14:paraId="13AB4C8B" w14:textId="77777777" w:rsidR="00D966D4" w:rsidRPr="00846A52" w:rsidRDefault="00D966D4" w:rsidP="00846A52">
      <w:pPr>
        <w:spacing w:after="0" w:line="312" w:lineRule="auto"/>
        <w:rPr>
          <w:bCs/>
        </w:rPr>
      </w:pPr>
    </w:p>
    <w:p w14:paraId="0410735D" w14:textId="738B7D94" w:rsidR="000011A0" w:rsidRPr="00846A52" w:rsidRDefault="000011A0" w:rsidP="00846A52">
      <w:pPr>
        <w:spacing w:after="0" w:line="312" w:lineRule="auto"/>
        <w:rPr>
          <w:bCs/>
        </w:rPr>
      </w:pPr>
      <w:r w:rsidRPr="00846A52">
        <w:rPr>
          <w:bCs/>
        </w:rPr>
        <w:t>De lo anterior, resulta imprescindible indicar, que al momento de tomarse u</w:t>
      </w:r>
      <w:r w:rsidR="0036650F">
        <w:rPr>
          <w:bCs/>
        </w:rPr>
        <w:t>na determinación por parte del ente f</w:t>
      </w:r>
      <w:r w:rsidRPr="00846A52">
        <w:rPr>
          <w:bCs/>
        </w:rPr>
        <w:t>iscal respecto de la afectación al contrato de seguro mediante el cual fue vinculada mi representada, necesariamente se debe cotejar la relación suministrada por la entidad respecto de</w:t>
      </w:r>
      <w:r w:rsidR="00A51334" w:rsidRPr="00846A52">
        <w:rPr>
          <w:bCs/>
        </w:rPr>
        <w:t xml:space="preserve"> lo que se ha definido como empleado, trabajador o funcionario del ente territorial asegurado  </w:t>
      </w:r>
      <w:r w:rsidRPr="00846A52">
        <w:rPr>
          <w:bCs/>
        </w:rPr>
        <w:t>puesto que mi representada no podría, en ningún escenario ser declarada civilmente responsable respecto de la conducta fiscal que presuntamente se establezca frente a los demás investigados que no están asegurados.</w:t>
      </w:r>
    </w:p>
    <w:p w14:paraId="06266997" w14:textId="77777777" w:rsidR="000011A0" w:rsidRPr="00846A52" w:rsidRDefault="000011A0" w:rsidP="00846A52">
      <w:pPr>
        <w:spacing w:after="0" w:line="312" w:lineRule="auto"/>
        <w:rPr>
          <w:bCs/>
        </w:rPr>
      </w:pPr>
    </w:p>
    <w:p w14:paraId="0AAD7F2E" w14:textId="77777777" w:rsidR="000011A0" w:rsidRPr="00846A52" w:rsidRDefault="000011A0" w:rsidP="00846A52">
      <w:pPr>
        <w:spacing w:after="0" w:line="312" w:lineRule="auto"/>
        <w:rPr>
          <w:bCs/>
        </w:rPr>
      </w:pPr>
      <w:r w:rsidRPr="00846A52">
        <w:rPr>
          <w:bCs/>
        </w:rPr>
        <w:t>Sobre el particular, encontramos que las condiciones particulares del mismo establecen como cargos asegurados los siguientes, veamos:</w:t>
      </w:r>
    </w:p>
    <w:p w14:paraId="4057D84C" w14:textId="77777777" w:rsidR="00DB4EF0" w:rsidRPr="00846A52" w:rsidRDefault="00DB4EF0" w:rsidP="00846A52">
      <w:pPr>
        <w:spacing w:after="0" w:line="312" w:lineRule="auto"/>
        <w:rPr>
          <w:bCs/>
        </w:rPr>
      </w:pPr>
    </w:p>
    <w:p w14:paraId="41C26317" w14:textId="77777777" w:rsidR="00DB4EF0" w:rsidRPr="00DB4EF0" w:rsidRDefault="00DB4EF0" w:rsidP="00846A52">
      <w:pPr>
        <w:spacing w:after="0" w:line="240" w:lineRule="auto"/>
        <w:ind w:left="851" w:right="843"/>
        <w:rPr>
          <w:bCs/>
          <w:sz w:val="20"/>
          <w:szCs w:val="20"/>
        </w:rPr>
      </w:pPr>
      <w:r w:rsidRPr="00DB4EF0">
        <w:rPr>
          <w:bCs/>
          <w:sz w:val="20"/>
          <w:szCs w:val="20"/>
        </w:rPr>
        <w:t>Ampliación de la definición de empleado y/o trabajador.</w:t>
      </w:r>
    </w:p>
    <w:p w14:paraId="134E0FBF" w14:textId="2FBA60E0" w:rsidR="00DB4EF0" w:rsidRPr="00846A52" w:rsidRDefault="00DB4EF0" w:rsidP="00846A52">
      <w:pPr>
        <w:spacing w:after="0" w:line="240" w:lineRule="auto"/>
        <w:ind w:left="851" w:right="843"/>
        <w:rPr>
          <w:bCs/>
          <w:sz w:val="20"/>
          <w:szCs w:val="20"/>
        </w:rPr>
      </w:pPr>
      <w:r w:rsidRPr="00DB4EF0">
        <w:rPr>
          <w:bCs/>
          <w:sz w:val="20"/>
          <w:szCs w:val="20"/>
        </w:rPr>
        <w:t>La Compañía acepta que el término empleado y/o trabajador y/o funcionario comprende a representantes legales, funcionarios y/o empleados del</w:t>
      </w:r>
      <w:r w:rsidRPr="00846A52">
        <w:rPr>
          <w:bCs/>
          <w:sz w:val="20"/>
          <w:szCs w:val="20"/>
        </w:rPr>
        <w:t xml:space="preserve"> </w:t>
      </w:r>
      <w:r w:rsidRPr="00DB4EF0">
        <w:rPr>
          <w:bCs/>
          <w:sz w:val="20"/>
          <w:szCs w:val="20"/>
        </w:rPr>
        <w:t>asegurado, vinculados a este mediante contrato de trabajo, orden de trabajo o mediante nombramiento por decreto o resolución. Igualmente, se</w:t>
      </w:r>
      <w:r w:rsidRPr="00846A52">
        <w:rPr>
          <w:bCs/>
          <w:sz w:val="20"/>
          <w:szCs w:val="20"/>
        </w:rPr>
        <w:t xml:space="preserve"> </w:t>
      </w:r>
      <w:r w:rsidRPr="00DB4EF0">
        <w:rPr>
          <w:bCs/>
          <w:sz w:val="20"/>
          <w:szCs w:val="20"/>
        </w:rPr>
        <w:t>entienden como empleado y/o trabajador y/o funcionario los trabajadores ocasionales, temporales o transitorios, y a quienes sin serlo realicen</w:t>
      </w:r>
      <w:r w:rsidRPr="00846A52">
        <w:rPr>
          <w:bCs/>
          <w:sz w:val="20"/>
          <w:szCs w:val="20"/>
        </w:rPr>
        <w:t xml:space="preserve"> </w:t>
      </w:r>
      <w:r w:rsidRPr="00DB4EF0">
        <w:rPr>
          <w:bCs/>
          <w:sz w:val="20"/>
          <w:szCs w:val="20"/>
        </w:rPr>
        <w:t>prácticas o investigaciones en sus dependencias, como estudiantes o visitantes especiales, con la previa y expresa autorización del asegurado,</w:t>
      </w:r>
      <w:r w:rsidRPr="00846A52">
        <w:rPr>
          <w:bCs/>
          <w:sz w:val="20"/>
          <w:szCs w:val="20"/>
        </w:rPr>
        <w:t xml:space="preserve"> </w:t>
      </w:r>
      <w:r w:rsidRPr="00DB4EF0">
        <w:rPr>
          <w:bCs/>
          <w:sz w:val="20"/>
          <w:szCs w:val="20"/>
        </w:rPr>
        <w:t>Personas suministradas por agencias de empleo, empresas de servicios temporales, empresas asociativas de trabajo y Cooperativas. Así mismo</w:t>
      </w:r>
      <w:r w:rsidRPr="00846A52">
        <w:rPr>
          <w:bCs/>
          <w:sz w:val="20"/>
          <w:szCs w:val="20"/>
        </w:rPr>
        <w:t xml:space="preserve"> </w:t>
      </w:r>
      <w:r w:rsidRPr="00DB4EF0">
        <w:rPr>
          <w:bCs/>
          <w:sz w:val="20"/>
          <w:szCs w:val="20"/>
        </w:rPr>
        <w:t>todas aquellas personas naturales, contratistas y subcontratistas independientes y demás que requiera la entidad para su normal funcionamiento, que</w:t>
      </w:r>
      <w:r w:rsidRPr="00846A52">
        <w:rPr>
          <w:bCs/>
          <w:sz w:val="20"/>
          <w:szCs w:val="20"/>
        </w:rPr>
        <w:t xml:space="preserve"> </w:t>
      </w:r>
      <w:r w:rsidRPr="00DB4EF0">
        <w:rPr>
          <w:bCs/>
          <w:sz w:val="20"/>
          <w:szCs w:val="20"/>
        </w:rPr>
        <w:t>presten sus servicios en el establecimiento del asegurado, bajo cualquier título o contrato y que trabajen o se desempeñen bajo instrucciones del</w:t>
      </w:r>
      <w:r w:rsidRPr="00846A52">
        <w:rPr>
          <w:bCs/>
          <w:sz w:val="20"/>
          <w:szCs w:val="20"/>
        </w:rPr>
        <w:t xml:space="preserve"> DISTRITO DE SANTIAGO DE CALI.</w:t>
      </w:r>
    </w:p>
    <w:p w14:paraId="40FE1766" w14:textId="77777777" w:rsidR="000011A0" w:rsidRPr="00846A52" w:rsidRDefault="000011A0" w:rsidP="00846A52">
      <w:pPr>
        <w:spacing w:after="0" w:line="312" w:lineRule="auto"/>
        <w:rPr>
          <w:bCs/>
        </w:rPr>
      </w:pPr>
    </w:p>
    <w:p w14:paraId="28FF3741" w14:textId="1433F523" w:rsidR="00DB4EF0" w:rsidRPr="00C76223" w:rsidRDefault="00DB4EF0" w:rsidP="00846A52">
      <w:pPr>
        <w:spacing w:after="0" w:line="312" w:lineRule="auto"/>
        <w:rPr>
          <w:u w:val="single"/>
        </w:rPr>
      </w:pPr>
      <w:r w:rsidRPr="00846A52">
        <w:rPr>
          <w:bCs/>
        </w:rPr>
        <w:t xml:space="preserve">Es decir, que el contrato de seguros materializado en la </w:t>
      </w:r>
      <w:r w:rsidR="002B1F58" w:rsidRPr="000D3A0C">
        <w:rPr>
          <w:b/>
          <w:bCs/>
        </w:rPr>
        <w:t>Póliza de Seguro de Modular Comercial No. 1000074</w:t>
      </w:r>
      <w:r w:rsidR="002B1F58" w:rsidRPr="00846A52">
        <w:rPr>
          <w:b/>
          <w:bCs/>
        </w:rPr>
        <w:t xml:space="preserve"> </w:t>
      </w:r>
      <w:r w:rsidR="002B1F58" w:rsidRPr="00846A52">
        <w:t xml:space="preserve">cuya vigencia corrió desde el 29 de febrero de 2024 al 16 de octubre de 2024 con prórroga hasta el 15 de noviembre de 2024 </w:t>
      </w:r>
      <w:r w:rsidR="005D218D" w:rsidRPr="00846A52">
        <w:t>únicamente</w:t>
      </w:r>
      <w:r w:rsidR="002B1F58" w:rsidRPr="00846A52">
        <w:t xml:space="preserve"> prestara cobertura para los </w:t>
      </w:r>
      <w:r w:rsidR="005D218D" w:rsidRPr="00846A52">
        <w:t>empleados</w:t>
      </w:r>
      <w:r w:rsidR="002B1F58" w:rsidRPr="00846A52">
        <w:t xml:space="preserve">, servidores públicos, funcionarios del </w:t>
      </w:r>
      <w:r w:rsidR="005D218D" w:rsidRPr="00846A52">
        <w:rPr>
          <w:b/>
          <w:bCs/>
        </w:rPr>
        <w:t xml:space="preserve">DISTRITO ESPECIAL DE SANTIAGO DE CALI </w:t>
      </w:r>
      <w:r w:rsidR="005D218D" w:rsidRPr="00846A52">
        <w:t xml:space="preserve">y no para los </w:t>
      </w:r>
      <w:r w:rsidR="005D218D" w:rsidRPr="00846A52">
        <w:lastRenderedPageBreak/>
        <w:t>contratistas,</w:t>
      </w:r>
      <w:r w:rsidR="0036650F">
        <w:t xml:space="preserve"> de</w:t>
      </w:r>
      <w:r w:rsidR="005D218D" w:rsidRPr="00846A52">
        <w:t xml:space="preserve"> lo</w:t>
      </w:r>
      <w:r w:rsidR="0036650F">
        <w:t xml:space="preserve"> cual se </w:t>
      </w:r>
      <w:r w:rsidR="005D218D" w:rsidRPr="00846A52">
        <w:t xml:space="preserve">concluye fácilmente que </w:t>
      </w:r>
      <w:r w:rsidR="005D218D" w:rsidRPr="00C76223">
        <w:rPr>
          <w:u w:val="single"/>
        </w:rPr>
        <w:t xml:space="preserve">no presta cobertura para la empresa </w:t>
      </w:r>
      <w:r w:rsidR="005D218D" w:rsidRPr="00C76223">
        <w:rPr>
          <w:b/>
          <w:bCs/>
          <w:u w:val="single"/>
        </w:rPr>
        <w:t>EQUIVAR S.A.S.</w:t>
      </w:r>
    </w:p>
    <w:p w14:paraId="7191FF9F" w14:textId="77777777" w:rsidR="00DB4EF0" w:rsidRPr="00846A52" w:rsidRDefault="00DB4EF0" w:rsidP="00846A52">
      <w:pPr>
        <w:spacing w:after="0" w:line="312" w:lineRule="auto"/>
        <w:rPr>
          <w:bCs/>
        </w:rPr>
      </w:pPr>
    </w:p>
    <w:p w14:paraId="6ED47D97" w14:textId="0B02B94B" w:rsidR="000011A0" w:rsidRPr="00846A52" w:rsidRDefault="000011A0" w:rsidP="00846A52">
      <w:pPr>
        <w:spacing w:after="0" w:line="312" w:lineRule="auto"/>
      </w:pPr>
      <w:r w:rsidRPr="00846A52">
        <w:rPr>
          <w:bCs/>
        </w:rPr>
        <w:t xml:space="preserve">En tal sentido, la </w:t>
      </w:r>
      <w:r w:rsidR="00BE153A" w:rsidRPr="000D3A0C">
        <w:rPr>
          <w:b/>
          <w:bCs/>
        </w:rPr>
        <w:t>Póliza de Seguro de Modular Comercial No. 1000074</w:t>
      </w:r>
      <w:r w:rsidR="00BE153A" w:rsidRPr="00846A52">
        <w:rPr>
          <w:b/>
          <w:bCs/>
        </w:rPr>
        <w:t xml:space="preserve"> </w:t>
      </w:r>
      <w:r w:rsidRPr="00846A52">
        <w:t>no ofrece cobertura material para los funcionarios que no se encuentren dentro de</w:t>
      </w:r>
      <w:r w:rsidR="005D218D" w:rsidRPr="00846A52">
        <w:t xml:space="preserve">l significado </w:t>
      </w:r>
      <w:r w:rsidRPr="00846A52">
        <w:t>anteriormente señalado, por lo tanto,</w:t>
      </w:r>
      <w:r w:rsidR="0036650F">
        <w:t xml:space="preserve"> el</w:t>
      </w:r>
      <w:r w:rsidRPr="00846A52">
        <w:t xml:space="preserve"> ente de control deberá tener muy presente tal situación con el fin de </w:t>
      </w:r>
      <w:r w:rsidR="005D218D" w:rsidRPr="00846A52">
        <w:t>evitar</w:t>
      </w:r>
      <w:r w:rsidRPr="00846A52">
        <w:t xml:space="preserve"> caer en imprecisiones que afecten patrimonialmente a mi representada. Máxime cuando</w:t>
      </w:r>
      <w:r w:rsidRPr="00846A52">
        <w:rPr>
          <w:bCs/>
        </w:rPr>
        <w:t xml:space="preserve"> no resultaría posible jurídicamente que la aseguradora que represento sea condenada por conductas de</w:t>
      </w:r>
      <w:r w:rsidR="0036650F">
        <w:rPr>
          <w:bCs/>
        </w:rPr>
        <w:t xml:space="preserve"> sujetos distintos a los amparados</w:t>
      </w:r>
      <w:r w:rsidRPr="00846A52">
        <w:rPr>
          <w:bCs/>
        </w:rPr>
        <w:t xml:space="preserve"> en el contrato de seguro. </w:t>
      </w:r>
    </w:p>
    <w:p w14:paraId="33C9B304" w14:textId="77777777" w:rsidR="008E1BDD" w:rsidRPr="00846A52" w:rsidRDefault="008E1BDD" w:rsidP="00846A52">
      <w:pPr>
        <w:spacing w:after="0" w:line="312" w:lineRule="auto"/>
        <w:rPr>
          <w:b/>
          <w:bCs/>
        </w:rPr>
      </w:pPr>
    </w:p>
    <w:p w14:paraId="473CBB4C" w14:textId="77777777" w:rsidR="00294430" w:rsidRPr="00846A52" w:rsidRDefault="00294430" w:rsidP="00846A52">
      <w:pPr>
        <w:pStyle w:val="Prrafodelista"/>
        <w:numPr>
          <w:ilvl w:val="0"/>
          <w:numId w:val="24"/>
        </w:numPr>
        <w:spacing w:after="0" w:line="312" w:lineRule="auto"/>
        <w:jc w:val="both"/>
        <w:rPr>
          <w:rFonts w:ascii="Arial" w:hAnsi="Arial" w:cs="Arial"/>
          <w:b/>
          <w:bCs/>
          <w:u w:val="single"/>
        </w:rPr>
      </w:pPr>
      <w:r w:rsidRPr="00846A52">
        <w:rPr>
          <w:rFonts w:ascii="Arial" w:hAnsi="Arial" w:cs="Arial"/>
          <w:b/>
          <w:u w:val="single"/>
          <w:lang w:eastAsia="es-CO"/>
        </w:rPr>
        <w:t xml:space="preserve">LAS EXCLUSIONES DE AMPARO CONCERTADAS EN </w:t>
      </w:r>
      <w:r w:rsidRPr="00846A52">
        <w:rPr>
          <w:rFonts w:ascii="Arial" w:hAnsi="Arial" w:cs="Arial"/>
          <w:b/>
          <w:u w:val="single"/>
        </w:rPr>
        <w:t xml:space="preserve">LA </w:t>
      </w:r>
      <w:r w:rsidRPr="00846A52">
        <w:rPr>
          <w:rFonts w:ascii="Arial" w:hAnsi="Arial" w:cs="Arial"/>
          <w:b/>
          <w:bCs/>
          <w:u w:val="single"/>
        </w:rPr>
        <w:t>PÓLIZA DE SEGURO DE MODULAR COMERCIAL No. 1000074.</w:t>
      </w:r>
    </w:p>
    <w:p w14:paraId="7FEA2BD8" w14:textId="77777777" w:rsidR="00294430" w:rsidRPr="00846A52" w:rsidRDefault="00294430" w:rsidP="00846A52">
      <w:pPr>
        <w:spacing w:after="0" w:line="312" w:lineRule="auto"/>
      </w:pPr>
    </w:p>
    <w:p w14:paraId="55A10A7C" w14:textId="3860A013" w:rsidR="00294430" w:rsidRPr="00846A52" w:rsidRDefault="00294430" w:rsidP="00846A52">
      <w:pPr>
        <w:pStyle w:val="Estilo"/>
        <w:spacing w:line="312" w:lineRule="auto"/>
        <w:jc w:val="both"/>
        <w:rPr>
          <w:sz w:val="22"/>
          <w:szCs w:val="22"/>
          <w:lang w:val="es-ES_tradnl"/>
        </w:rPr>
      </w:pPr>
      <w:r w:rsidRPr="00846A52">
        <w:rPr>
          <w:sz w:val="22"/>
          <w:szCs w:val="22"/>
          <w:lang w:val="es-ES_tradnl"/>
        </w:rPr>
        <w:t>En materia de contrato de seguros, es menester señalar que los riesgos excluidos son una serie de cobertura</w:t>
      </w:r>
      <w:r w:rsidR="0036650F">
        <w:rPr>
          <w:sz w:val="22"/>
          <w:szCs w:val="22"/>
          <w:lang w:val="es-ES_tradnl"/>
        </w:rPr>
        <w:t>s que no se amparan dentro del contrato de s</w:t>
      </w:r>
      <w:r w:rsidRPr="00846A52">
        <w:rPr>
          <w:sz w:val="22"/>
          <w:szCs w:val="22"/>
          <w:lang w:val="es-ES_tradnl"/>
        </w:rPr>
        <w:t>eguro, en cuyo c</w:t>
      </w:r>
      <w:r w:rsidR="0036650F">
        <w:rPr>
          <w:sz w:val="22"/>
          <w:szCs w:val="22"/>
          <w:lang w:val="es-ES_tradnl"/>
        </w:rPr>
        <w:t>aso de acaecimiento, eximen al a</w:t>
      </w:r>
      <w:r w:rsidRPr="00846A52">
        <w:rPr>
          <w:sz w:val="22"/>
          <w:szCs w:val="22"/>
          <w:lang w:val="es-ES_tradnl"/>
        </w:rPr>
        <w:t>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1E1C0B32" w14:textId="77777777" w:rsidR="00294430" w:rsidRPr="00846A52" w:rsidRDefault="00294430" w:rsidP="00846A52">
      <w:pPr>
        <w:pStyle w:val="Estilo"/>
        <w:spacing w:line="312" w:lineRule="auto"/>
        <w:jc w:val="both"/>
        <w:rPr>
          <w:sz w:val="22"/>
          <w:szCs w:val="22"/>
          <w:lang w:val="es-ES_tradnl"/>
        </w:rPr>
      </w:pPr>
    </w:p>
    <w:p w14:paraId="34E62FF7" w14:textId="77777777" w:rsidR="00294430" w:rsidRPr="00846A52" w:rsidRDefault="00294430" w:rsidP="00846A52">
      <w:pPr>
        <w:spacing w:after="0" w:line="240" w:lineRule="auto"/>
        <w:ind w:left="851" w:right="1127"/>
        <w:rPr>
          <w:i/>
          <w:iCs/>
          <w:sz w:val="20"/>
          <w:szCs w:val="20"/>
          <w:lang w:val="es-ES_tradnl"/>
        </w:rPr>
      </w:pPr>
      <w:r w:rsidRPr="00846A52">
        <w:rPr>
          <w:i/>
          <w:iCs/>
          <w:sz w:val="20"/>
          <w:szCs w:val="20"/>
          <w:lang w:val="es-ES_tradnl"/>
        </w:rPr>
        <w:t>“</w:t>
      </w:r>
      <w:r w:rsidRPr="00846A52">
        <w:rPr>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846A52">
        <w:rPr>
          <w:rStyle w:val="Refdenotaalpie"/>
          <w:sz w:val="20"/>
          <w:szCs w:val="20"/>
          <w:lang w:val="es-ES_tradnl"/>
        </w:rPr>
        <w:footnoteReference w:id="7"/>
      </w:r>
      <w:r w:rsidRPr="00846A52">
        <w:rPr>
          <w:i/>
          <w:iCs/>
          <w:sz w:val="20"/>
          <w:szCs w:val="20"/>
          <w:lang w:val="es-ES_tradnl"/>
        </w:rPr>
        <w:t xml:space="preserve"> </w:t>
      </w:r>
    </w:p>
    <w:p w14:paraId="7DCAF669" w14:textId="77777777" w:rsidR="00294430" w:rsidRPr="00846A52" w:rsidRDefault="00294430" w:rsidP="00846A52">
      <w:pPr>
        <w:spacing w:after="0" w:line="312" w:lineRule="auto"/>
        <w:ind w:left="567" w:right="850"/>
        <w:rPr>
          <w:i/>
          <w:iCs/>
          <w:lang w:val="es-ES_tradnl"/>
        </w:rPr>
      </w:pPr>
    </w:p>
    <w:p w14:paraId="6E5C189F" w14:textId="4050B104" w:rsidR="00294430" w:rsidRPr="00846A52" w:rsidRDefault="00294430" w:rsidP="00846A52">
      <w:pPr>
        <w:spacing w:after="0" w:line="312" w:lineRule="auto"/>
        <w:rPr>
          <w:lang w:val="es-ES_tradnl"/>
        </w:rPr>
      </w:pPr>
      <w:r w:rsidRPr="00846A52">
        <w:rPr>
          <w:lang w:val="es-ES_tradnl"/>
        </w:rPr>
        <w:t>Así las cosas, se evidencia cómo por parte del Órgano de Cierre de la Jurisdicción de lo Contencioso Administrativo, se exhorta a los Jueces para tener en cuenta en sus providencias las</w:t>
      </w:r>
      <w:r w:rsidR="0036650F">
        <w:rPr>
          <w:lang w:val="es-ES_tradnl"/>
        </w:rPr>
        <w:t xml:space="preserve"> exclusiones contenidas en los contratos de s</w:t>
      </w:r>
      <w:r w:rsidRPr="00846A52">
        <w:rPr>
          <w:lang w:val="es-ES_tradnl"/>
        </w:rPr>
        <w:t xml:space="preserve">eguro. Razón por la cual, es menester señalar que </w:t>
      </w:r>
      <w:r w:rsidR="00537023" w:rsidRPr="000D3A0C">
        <w:rPr>
          <w:b/>
          <w:bCs/>
        </w:rPr>
        <w:t>Póliza de Seguro de Modular Comercial No. 1000074</w:t>
      </w:r>
      <w:r w:rsidR="00537023" w:rsidRPr="00846A52">
        <w:rPr>
          <w:b/>
          <w:bCs/>
        </w:rPr>
        <w:t xml:space="preserve"> </w:t>
      </w:r>
      <w:r w:rsidR="00537023" w:rsidRPr="00846A52">
        <w:t xml:space="preserve">cuya vigencia corrió desde el 29 de febrero de 2024 al 16 de octubre de 2024 con prórroga hasta el 15 de noviembre de 2024 </w:t>
      </w:r>
      <w:r w:rsidRPr="00846A52">
        <w:rPr>
          <w:lang w:val="es-ES_tradnl"/>
        </w:rPr>
        <w:t xml:space="preserve">contiene una serie de exclusiones, las cuales solicito aplicar expresamente al caso concreto.  </w:t>
      </w:r>
    </w:p>
    <w:p w14:paraId="5E297CFA" w14:textId="77777777" w:rsidR="00294430" w:rsidRPr="00846A52" w:rsidRDefault="00294430" w:rsidP="00846A52">
      <w:pPr>
        <w:spacing w:after="0" w:line="312" w:lineRule="auto"/>
        <w:rPr>
          <w:lang w:val="es-ES_tradnl"/>
        </w:rPr>
      </w:pPr>
    </w:p>
    <w:p w14:paraId="78AC6E57" w14:textId="77777777" w:rsidR="00294430" w:rsidRPr="00846A52" w:rsidRDefault="00294430" w:rsidP="00846A52">
      <w:pPr>
        <w:spacing w:after="0" w:line="312" w:lineRule="auto"/>
      </w:pPr>
      <w:r w:rsidRPr="00846A52">
        <w:rPr>
          <w:lang w:val="es-ES"/>
        </w:rPr>
        <w:t xml:space="preserve">Por otro lado, si bien la Circular Básica Jurídica establece que las </w:t>
      </w:r>
      <w:r w:rsidRPr="00846A52">
        <w:t xml:space="preserve">exclusiones deben constar en la primera página de la póliza y en caracteres destacados, la Corte Suprema de Justicia en Sentencia de unificación </w:t>
      </w:r>
      <w:r w:rsidRPr="00846A52">
        <w:rPr>
          <w:shd w:val="clear" w:color="auto" w:fill="FFFFFF"/>
        </w:rPr>
        <w:t xml:space="preserve">No. </w:t>
      </w:r>
      <w:hyperlink r:id="rId13" w:history="1">
        <w:r w:rsidRPr="00846A52">
          <w:rPr>
            <w:rStyle w:val="Hipervnculo"/>
            <w:color w:val="auto"/>
            <w:spacing w:val="12"/>
            <w:u w:val="none"/>
            <w:shd w:val="clear" w:color="auto" w:fill="FFFFFF"/>
          </w:rPr>
          <w:t>SC328 del 21 de septiembre de 2023</w:t>
        </w:r>
      </w:hyperlink>
      <w:r w:rsidRPr="00846A52">
        <w:rPr>
          <w:shd w:val="clear" w:color="auto" w:fill="FFFFFF"/>
        </w:rPr>
        <w:t xml:space="preserve">  </w:t>
      </w:r>
      <w:r w:rsidRPr="00846A52">
        <w:t xml:space="preserve">ha aclarado que lo necesario es que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 </w:t>
      </w:r>
    </w:p>
    <w:p w14:paraId="0A11F28D" w14:textId="77777777" w:rsidR="00294430" w:rsidRPr="00846A52" w:rsidRDefault="00294430" w:rsidP="00846A52">
      <w:pPr>
        <w:spacing w:after="0" w:line="312" w:lineRule="auto"/>
      </w:pPr>
    </w:p>
    <w:p w14:paraId="6D92B0E9" w14:textId="77777777" w:rsidR="00294430" w:rsidRPr="00846A52" w:rsidRDefault="00294430" w:rsidP="00846A52">
      <w:pPr>
        <w:spacing w:after="0" w:line="312" w:lineRule="auto"/>
      </w:pPr>
      <w:r w:rsidRPr="00846A52">
        <w:t>Lo anterior, en estricto cumplimiento del artículo 184 del Estatuto Orgánico del Sistema Financiero:</w:t>
      </w:r>
    </w:p>
    <w:p w14:paraId="2F99C27F" w14:textId="77777777" w:rsidR="00294430" w:rsidRPr="00846A52" w:rsidRDefault="00294430" w:rsidP="00846A52">
      <w:pPr>
        <w:spacing w:after="0" w:line="312" w:lineRule="auto"/>
      </w:pPr>
    </w:p>
    <w:p w14:paraId="38C752AF" w14:textId="77777777" w:rsidR="00294430" w:rsidRPr="00846A52" w:rsidRDefault="00294430" w:rsidP="00846A52">
      <w:pPr>
        <w:spacing w:after="0" w:line="240" w:lineRule="auto"/>
        <w:ind w:left="851" w:right="843"/>
        <w:rPr>
          <w:sz w:val="20"/>
          <w:szCs w:val="20"/>
        </w:rPr>
      </w:pPr>
      <w:r w:rsidRPr="00846A52">
        <w:rPr>
          <w:sz w:val="20"/>
          <w:szCs w:val="20"/>
        </w:rPr>
        <w:t xml:space="preserve">Artículo 184. Régimen de pólizas y tarifas. </w:t>
      </w:r>
    </w:p>
    <w:p w14:paraId="51BBE787" w14:textId="77777777" w:rsidR="00294430" w:rsidRPr="00846A52" w:rsidRDefault="00294430" w:rsidP="00846A52">
      <w:pPr>
        <w:spacing w:after="0" w:line="240" w:lineRule="auto"/>
        <w:ind w:left="851" w:right="843"/>
        <w:rPr>
          <w:sz w:val="20"/>
          <w:szCs w:val="20"/>
        </w:rPr>
      </w:pPr>
      <w:r w:rsidRPr="00846A52">
        <w:rPr>
          <w:sz w:val="20"/>
          <w:szCs w:val="20"/>
        </w:rPr>
        <w:lastRenderedPageBreak/>
        <w:t>(…)</w:t>
      </w:r>
    </w:p>
    <w:p w14:paraId="30AE0BB9" w14:textId="77777777" w:rsidR="00294430" w:rsidRPr="00846A52" w:rsidRDefault="00294430" w:rsidP="00846A52">
      <w:pPr>
        <w:spacing w:after="0" w:line="240" w:lineRule="auto"/>
        <w:ind w:left="851" w:right="843"/>
        <w:rPr>
          <w:sz w:val="20"/>
          <w:szCs w:val="20"/>
        </w:rPr>
      </w:pPr>
      <w:r w:rsidRPr="00846A52">
        <w:rPr>
          <w:sz w:val="20"/>
          <w:szCs w:val="20"/>
        </w:rPr>
        <w:t>2. Requisitos de las pólizas. Las pólizas deberán ajustarse a las siguientes exigencias:</w:t>
      </w:r>
    </w:p>
    <w:p w14:paraId="20047E58" w14:textId="77777777" w:rsidR="00294430" w:rsidRPr="00846A52" w:rsidRDefault="00294430" w:rsidP="00846A52">
      <w:pPr>
        <w:spacing w:after="0" w:line="240" w:lineRule="auto"/>
        <w:ind w:left="851" w:right="843"/>
        <w:rPr>
          <w:sz w:val="20"/>
          <w:szCs w:val="20"/>
        </w:rPr>
      </w:pPr>
      <w:r w:rsidRPr="00846A52">
        <w:rPr>
          <w:sz w:val="20"/>
          <w:szCs w:val="20"/>
        </w:rPr>
        <w:t>a. Su contenido debe ceñirse a las normas que regulan el contrato de seguro, al presente estatuto y a las demás disposiciones imperativas que resulten aplicables, so pena de ineficacia de la estipulación respectiva;</w:t>
      </w:r>
    </w:p>
    <w:p w14:paraId="676FAA0B" w14:textId="77777777" w:rsidR="00294430" w:rsidRPr="00846A52" w:rsidRDefault="00294430" w:rsidP="00846A52">
      <w:pPr>
        <w:spacing w:after="0" w:line="240" w:lineRule="auto"/>
        <w:ind w:left="851" w:right="843"/>
        <w:rPr>
          <w:sz w:val="20"/>
          <w:szCs w:val="20"/>
        </w:rPr>
      </w:pPr>
      <w:r w:rsidRPr="00846A52">
        <w:rPr>
          <w:sz w:val="20"/>
          <w:szCs w:val="20"/>
        </w:rPr>
        <w:t>b. Deben redactarse en tal forma que sean de fácil comprensión para el asegurado. Por tanto, los caracteres tipográficos deben ser fácilmente legibles, y</w:t>
      </w:r>
    </w:p>
    <w:p w14:paraId="41DB4B0D" w14:textId="77777777" w:rsidR="00294430" w:rsidRPr="00846A52" w:rsidRDefault="00294430" w:rsidP="00846A52">
      <w:pPr>
        <w:spacing w:after="0" w:line="240" w:lineRule="auto"/>
        <w:ind w:left="851" w:right="843"/>
        <w:rPr>
          <w:sz w:val="20"/>
          <w:szCs w:val="20"/>
        </w:rPr>
      </w:pPr>
      <w:r w:rsidRPr="00846A52">
        <w:rPr>
          <w:sz w:val="20"/>
          <w:szCs w:val="20"/>
        </w:rPr>
        <w:t xml:space="preserve">c. </w:t>
      </w:r>
      <w:r w:rsidRPr="00846A52">
        <w:rPr>
          <w:b/>
          <w:bCs/>
          <w:sz w:val="20"/>
          <w:szCs w:val="20"/>
          <w:u w:val="single"/>
        </w:rPr>
        <w:t xml:space="preserve">Los amparos básicos y las exclusiones deben figurar, en caracteres destacados, en la primera página de la póliza. (negrilla y subrayado por fuera del texto original). </w:t>
      </w:r>
    </w:p>
    <w:p w14:paraId="14DB1083" w14:textId="77777777" w:rsidR="00294430" w:rsidRPr="00846A52" w:rsidRDefault="00294430" w:rsidP="00846A52">
      <w:pPr>
        <w:autoSpaceDE w:val="0"/>
        <w:autoSpaceDN w:val="0"/>
        <w:adjustRightInd w:val="0"/>
        <w:spacing w:after="0" w:line="312" w:lineRule="auto"/>
      </w:pPr>
    </w:p>
    <w:p w14:paraId="33151C73" w14:textId="77777777" w:rsidR="00294430" w:rsidRPr="00846A52" w:rsidRDefault="00294430" w:rsidP="00846A52">
      <w:pPr>
        <w:autoSpaceDE w:val="0"/>
        <w:autoSpaceDN w:val="0"/>
        <w:adjustRightInd w:val="0"/>
        <w:spacing w:after="0" w:line="312" w:lineRule="auto"/>
        <w:rPr>
          <w:shd w:val="clear" w:color="auto" w:fill="FFFFFF"/>
        </w:rPr>
      </w:pPr>
      <w:r w:rsidRPr="00846A52">
        <w:t xml:space="preserve">En tal sentido, la Corte Suprema de Justicia-Sala de Casación Civil </w:t>
      </w:r>
      <w:r w:rsidRPr="00846A52">
        <w:rPr>
          <w:shd w:val="clear" w:color="auto" w:fill="FFFFFF"/>
        </w:rPr>
        <w:t xml:space="preserve">mediante la sentencia de unificación No. </w:t>
      </w:r>
      <w:hyperlink r:id="rId14" w:history="1">
        <w:r w:rsidRPr="00846A52">
          <w:rPr>
            <w:rStyle w:val="Hipervnculo"/>
            <w:b/>
            <w:bCs/>
            <w:color w:val="auto"/>
            <w:spacing w:val="12"/>
            <w:u w:val="none"/>
            <w:shd w:val="clear" w:color="auto" w:fill="FFFFFF"/>
          </w:rPr>
          <w:t>SC328 del 21 de septiembre de 2023</w:t>
        </w:r>
      </w:hyperlink>
      <w:r w:rsidRPr="00846A52">
        <w:rPr>
          <w:shd w:val="clear" w:color="auto" w:fill="FFFFFF"/>
        </w:rPr>
        <w:t>, señaló que:</w:t>
      </w:r>
    </w:p>
    <w:p w14:paraId="4BF13DB8" w14:textId="77777777" w:rsidR="00294430" w:rsidRPr="00846A52" w:rsidRDefault="00294430" w:rsidP="00846A52">
      <w:pPr>
        <w:autoSpaceDE w:val="0"/>
        <w:autoSpaceDN w:val="0"/>
        <w:adjustRightInd w:val="0"/>
        <w:spacing w:after="0" w:line="312" w:lineRule="auto"/>
        <w:rPr>
          <w:sz w:val="23"/>
          <w:szCs w:val="23"/>
          <w:shd w:val="clear" w:color="auto" w:fill="FFFFFF"/>
        </w:rPr>
      </w:pPr>
    </w:p>
    <w:p w14:paraId="00D9A2CD" w14:textId="77777777" w:rsidR="00294430" w:rsidRPr="00846A52" w:rsidRDefault="00294430" w:rsidP="00846A52">
      <w:pPr>
        <w:autoSpaceDE w:val="0"/>
        <w:autoSpaceDN w:val="0"/>
        <w:adjustRightInd w:val="0"/>
        <w:spacing w:after="0" w:line="240" w:lineRule="auto"/>
        <w:ind w:left="851" w:right="843"/>
        <w:rPr>
          <w:sz w:val="20"/>
          <w:szCs w:val="20"/>
        </w:rPr>
      </w:pPr>
      <w:r w:rsidRPr="00846A52">
        <w:rPr>
          <w:sz w:val="20"/>
          <w:szCs w:val="20"/>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w:t>
      </w:r>
      <w:proofErr w:type="spellStart"/>
      <w:r w:rsidRPr="00846A52">
        <w:rPr>
          <w:sz w:val="20"/>
          <w:szCs w:val="20"/>
        </w:rPr>
        <w:t>ejusdem</w:t>
      </w:r>
      <w:proofErr w:type="spellEnd"/>
      <w:r w:rsidRPr="00846A52">
        <w:rPr>
          <w:sz w:val="20"/>
          <w:szCs w:val="20"/>
        </w:rPr>
        <w:t>.</w:t>
      </w:r>
    </w:p>
    <w:p w14:paraId="3847359D" w14:textId="77777777" w:rsidR="00294430" w:rsidRPr="00846A52" w:rsidRDefault="00294430" w:rsidP="00846A52">
      <w:pPr>
        <w:autoSpaceDE w:val="0"/>
        <w:autoSpaceDN w:val="0"/>
        <w:adjustRightInd w:val="0"/>
        <w:spacing w:after="0" w:line="240" w:lineRule="auto"/>
        <w:ind w:left="851" w:right="843"/>
        <w:rPr>
          <w:sz w:val="20"/>
          <w:szCs w:val="20"/>
        </w:rPr>
      </w:pPr>
    </w:p>
    <w:p w14:paraId="1EE0A925" w14:textId="77777777" w:rsidR="00294430" w:rsidRPr="00846A52" w:rsidRDefault="00294430" w:rsidP="00846A52">
      <w:pPr>
        <w:autoSpaceDE w:val="0"/>
        <w:autoSpaceDN w:val="0"/>
        <w:adjustRightInd w:val="0"/>
        <w:spacing w:after="0" w:line="240" w:lineRule="auto"/>
        <w:ind w:left="851" w:right="843"/>
        <w:rPr>
          <w:sz w:val="20"/>
          <w:szCs w:val="20"/>
        </w:rPr>
      </w:pPr>
      <w:r w:rsidRPr="00846A52">
        <w:rPr>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BC5BEF8" w14:textId="77777777" w:rsidR="00294430" w:rsidRPr="00846A52" w:rsidRDefault="00294430" w:rsidP="00846A52">
      <w:pPr>
        <w:autoSpaceDE w:val="0"/>
        <w:autoSpaceDN w:val="0"/>
        <w:adjustRightInd w:val="0"/>
        <w:spacing w:after="0" w:line="240" w:lineRule="auto"/>
        <w:ind w:left="851" w:right="843"/>
        <w:rPr>
          <w:sz w:val="20"/>
          <w:szCs w:val="20"/>
        </w:rPr>
      </w:pPr>
    </w:p>
    <w:p w14:paraId="5C3BF15B" w14:textId="77777777" w:rsidR="00294430" w:rsidRPr="00846A52" w:rsidRDefault="00294430" w:rsidP="00846A52">
      <w:pPr>
        <w:autoSpaceDE w:val="0"/>
        <w:autoSpaceDN w:val="0"/>
        <w:adjustRightInd w:val="0"/>
        <w:spacing w:after="0" w:line="240" w:lineRule="auto"/>
        <w:ind w:left="851" w:right="843"/>
        <w:rPr>
          <w:sz w:val="20"/>
          <w:szCs w:val="20"/>
        </w:rPr>
      </w:pPr>
      <w:r w:rsidRPr="00846A52">
        <w:rPr>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846A52">
        <w:rPr>
          <w:b/>
          <w:bCs/>
          <w:sz w:val="20"/>
          <w:szCs w:val="20"/>
        </w:rPr>
        <w:t xml:space="preserve">a partir de allí </w:t>
      </w:r>
      <w:r w:rsidRPr="00846A52">
        <w:rPr>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02A711EB" w14:textId="77777777" w:rsidR="00294430" w:rsidRPr="00846A52" w:rsidRDefault="00294430" w:rsidP="00846A52">
      <w:pPr>
        <w:autoSpaceDE w:val="0"/>
        <w:autoSpaceDN w:val="0"/>
        <w:adjustRightInd w:val="0"/>
        <w:spacing w:after="0" w:line="312" w:lineRule="auto"/>
        <w:rPr>
          <w:b/>
          <w:bCs/>
          <w:i/>
          <w:iCs/>
        </w:rPr>
      </w:pPr>
    </w:p>
    <w:p w14:paraId="5E672063" w14:textId="77777777" w:rsidR="00294430" w:rsidRPr="00846A52" w:rsidRDefault="00294430" w:rsidP="00846A52">
      <w:pPr>
        <w:spacing w:after="0" w:line="312" w:lineRule="auto"/>
      </w:pPr>
      <w:r w:rsidRPr="00846A52">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355262C4" w14:textId="77777777" w:rsidR="00294430" w:rsidRPr="00846A52" w:rsidRDefault="00294430" w:rsidP="00846A52">
      <w:pPr>
        <w:spacing w:after="0" w:line="312" w:lineRule="auto"/>
      </w:pPr>
    </w:p>
    <w:p w14:paraId="34A3B9CB" w14:textId="77777777" w:rsidR="00294430" w:rsidRPr="00846A52" w:rsidRDefault="00294430" w:rsidP="00846A52">
      <w:pPr>
        <w:spacing w:after="0" w:line="312" w:lineRule="auto"/>
        <w:rPr>
          <w:lang w:val="es-ES_tradnl"/>
        </w:rPr>
      </w:pPr>
      <w:r w:rsidRPr="00846A52">
        <w:rPr>
          <w:lang w:val="es-ES_tradnl"/>
        </w:rPr>
        <w:t xml:space="preserve">Sobre la ubicación de las exclusiones pactadas en el instrumento </w:t>
      </w:r>
      <w:proofErr w:type="spellStart"/>
      <w:r w:rsidRPr="00846A52">
        <w:rPr>
          <w:lang w:val="es-ES_tradnl"/>
        </w:rPr>
        <w:t>asegurativo</w:t>
      </w:r>
      <w:proofErr w:type="spellEnd"/>
      <w:r w:rsidRPr="00846A52">
        <w:rPr>
          <w:lang w:val="es-ES_tradnl"/>
        </w:rPr>
        <w:t xml:space="preserve">, </w:t>
      </w:r>
      <w:r w:rsidRPr="00846A52">
        <w:t>en la Circular Básica Jurídica 029 de 2014, de la referida entidad, se reafirmó la postura realizando una regulación de la emisión de las pólizas y del contenido que estas debían tener, así:</w:t>
      </w:r>
    </w:p>
    <w:p w14:paraId="081B6A41" w14:textId="77777777" w:rsidR="00294430" w:rsidRPr="00846A52" w:rsidRDefault="00294430" w:rsidP="00846A52">
      <w:pPr>
        <w:spacing w:after="0" w:line="312" w:lineRule="auto"/>
      </w:pPr>
    </w:p>
    <w:p w14:paraId="1EC7FA5C" w14:textId="77777777" w:rsidR="00294430" w:rsidRPr="00846A52" w:rsidRDefault="00294430" w:rsidP="00846A52">
      <w:pPr>
        <w:spacing w:after="0" w:line="240" w:lineRule="auto"/>
        <w:ind w:left="850" w:right="850"/>
        <w:rPr>
          <w:iCs/>
          <w:sz w:val="20"/>
          <w:szCs w:val="20"/>
        </w:rPr>
      </w:pPr>
      <w:r w:rsidRPr="00846A52">
        <w:rPr>
          <w:iCs/>
          <w:sz w:val="20"/>
          <w:szCs w:val="20"/>
        </w:rPr>
        <w:t>1.2.1. Requisitos generales de las pólizas de seguros:</w:t>
      </w:r>
    </w:p>
    <w:p w14:paraId="78DC5E7B" w14:textId="77777777" w:rsidR="00294430" w:rsidRPr="00846A52" w:rsidRDefault="00294430" w:rsidP="00846A52">
      <w:pPr>
        <w:spacing w:after="0" w:line="240" w:lineRule="auto"/>
        <w:ind w:left="850" w:right="850"/>
        <w:rPr>
          <w:iCs/>
          <w:sz w:val="20"/>
          <w:szCs w:val="20"/>
        </w:rPr>
      </w:pPr>
      <w:r w:rsidRPr="00846A52">
        <w:rPr>
          <w:iCs/>
          <w:sz w:val="20"/>
          <w:szCs w:val="20"/>
        </w:rPr>
        <w:t>Para el adecuado cumplimiento de lo señalado en el </w:t>
      </w:r>
      <w:hyperlink r:id="rId15" w:tgtFrame="_blank" w:history="1">
        <w:r w:rsidRPr="00846A52">
          <w:rPr>
            <w:rStyle w:val="Hipervnculo"/>
            <w:iCs/>
            <w:color w:val="auto"/>
            <w:sz w:val="20"/>
            <w:szCs w:val="20"/>
          </w:rPr>
          <w:t>numeral 2 del art. 184</w:t>
        </w:r>
      </w:hyperlink>
      <w:r w:rsidRPr="00846A52">
        <w:rPr>
          <w:iCs/>
          <w:sz w:val="20"/>
          <w:szCs w:val="20"/>
        </w:rPr>
        <w:t> del </w:t>
      </w:r>
      <w:hyperlink r:id="rId16" w:tgtFrame="_blank" w:history="1">
        <w:r w:rsidRPr="00846A52">
          <w:rPr>
            <w:rStyle w:val="Hipervnculo"/>
            <w:iCs/>
            <w:color w:val="auto"/>
            <w:sz w:val="20"/>
            <w:szCs w:val="20"/>
          </w:rPr>
          <w:t>EOSF</w:t>
        </w:r>
      </w:hyperlink>
      <w:r w:rsidRPr="00846A52">
        <w:rPr>
          <w:iCs/>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39218454" w14:textId="77777777" w:rsidR="00294430" w:rsidRPr="00846A52" w:rsidRDefault="00294430" w:rsidP="00846A52">
      <w:pPr>
        <w:spacing w:after="0" w:line="240" w:lineRule="auto"/>
        <w:ind w:left="850" w:right="850"/>
        <w:rPr>
          <w:iCs/>
          <w:sz w:val="20"/>
          <w:szCs w:val="20"/>
        </w:rPr>
      </w:pPr>
      <w:r w:rsidRPr="00846A52">
        <w:rPr>
          <w:iCs/>
          <w:sz w:val="20"/>
          <w:szCs w:val="20"/>
        </w:rPr>
        <w:t>1.2.1.1. </w:t>
      </w:r>
      <w:r w:rsidRPr="00846A52">
        <w:rPr>
          <w:iCs/>
          <w:sz w:val="20"/>
          <w:szCs w:val="20"/>
          <w:u w:val="single"/>
        </w:rPr>
        <w:t>En la carátula:</w:t>
      </w:r>
    </w:p>
    <w:p w14:paraId="55DE56DE" w14:textId="77777777" w:rsidR="00294430" w:rsidRPr="00846A52" w:rsidRDefault="00294430" w:rsidP="00846A52">
      <w:pPr>
        <w:spacing w:after="0" w:line="240" w:lineRule="auto"/>
        <w:ind w:left="850" w:right="850"/>
        <w:rPr>
          <w:iCs/>
          <w:sz w:val="20"/>
          <w:szCs w:val="20"/>
        </w:rPr>
      </w:pPr>
      <w:r w:rsidRPr="00846A52">
        <w:rPr>
          <w:iCs/>
          <w:sz w:val="20"/>
          <w:szCs w:val="20"/>
        </w:rPr>
        <w:t xml:space="preserve">1.2.1.1.1. Las condiciones particulares previstas en el art. 1047 del </w:t>
      </w:r>
      <w:proofErr w:type="spellStart"/>
      <w:r w:rsidRPr="00846A52">
        <w:rPr>
          <w:iCs/>
          <w:sz w:val="20"/>
          <w:szCs w:val="20"/>
        </w:rPr>
        <w:t>C.Co</w:t>
      </w:r>
      <w:proofErr w:type="spellEnd"/>
      <w:r w:rsidRPr="00846A52">
        <w:rPr>
          <w:iCs/>
          <w:sz w:val="20"/>
          <w:szCs w:val="20"/>
        </w:rPr>
        <w:t>.</w:t>
      </w:r>
    </w:p>
    <w:p w14:paraId="4DB76002" w14:textId="77777777" w:rsidR="00294430" w:rsidRPr="00846A52" w:rsidRDefault="00294430" w:rsidP="00846A52">
      <w:pPr>
        <w:spacing w:after="0" w:line="240" w:lineRule="auto"/>
        <w:ind w:left="850" w:right="850"/>
        <w:rPr>
          <w:iCs/>
          <w:sz w:val="20"/>
          <w:szCs w:val="20"/>
        </w:rPr>
      </w:pPr>
      <w:r w:rsidRPr="00846A52">
        <w:rPr>
          <w:iCs/>
          <w:sz w:val="20"/>
          <w:szCs w:val="20"/>
        </w:rPr>
        <w:t xml:space="preserve">1.2.1.1.2. En caracteres destacados o resaltados, es decir, que se distingan del resto del texto de la impresión, el contenido del inciso 1º del art. 1068 del </w:t>
      </w:r>
      <w:proofErr w:type="spellStart"/>
      <w:r w:rsidRPr="00846A52">
        <w:rPr>
          <w:iCs/>
          <w:sz w:val="20"/>
          <w:szCs w:val="20"/>
        </w:rPr>
        <w:t>C.Co</w:t>
      </w:r>
      <w:proofErr w:type="spellEnd"/>
      <w:r w:rsidRPr="00846A52">
        <w:rPr>
          <w:iCs/>
          <w:sz w:val="20"/>
          <w:szCs w:val="20"/>
        </w:rPr>
        <w:t>. Para el caso de los seguros de vida, el contenido del art. 1152 del mismo ordenamiento legal.</w:t>
      </w:r>
    </w:p>
    <w:p w14:paraId="0EEB1302" w14:textId="77777777" w:rsidR="00294430" w:rsidRPr="00846A52" w:rsidRDefault="00294430" w:rsidP="00846A52">
      <w:pPr>
        <w:spacing w:after="0" w:line="240" w:lineRule="auto"/>
        <w:ind w:left="850" w:right="850"/>
        <w:rPr>
          <w:iCs/>
          <w:sz w:val="20"/>
          <w:szCs w:val="20"/>
        </w:rPr>
      </w:pPr>
      <w:r w:rsidRPr="00846A52">
        <w:rPr>
          <w:iCs/>
          <w:sz w:val="20"/>
          <w:szCs w:val="20"/>
        </w:rPr>
        <w:t>1.2.1.2. </w:t>
      </w:r>
      <w:r w:rsidRPr="00846A52">
        <w:rPr>
          <w:iCs/>
          <w:sz w:val="20"/>
          <w:szCs w:val="20"/>
          <w:u w:val="single"/>
        </w:rPr>
        <w:t>A partir de la primera página de la póliza (amparos y exclusiones)</w:t>
      </w:r>
    </w:p>
    <w:p w14:paraId="6B44E4E1" w14:textId="77777777" w:rsidR="00294430" w:rsidRPr="00846A52" w:rsidRDefault="00294430" w:rsidP="00846A52">
      <w:pPr>
        <w:spacing w:after="0" w:line="240" w:lineRule="auto"/>
        <w:ind w:left="850" w:right="850"/>
        <w:rPr>
          <w:iCs/>
          <w:sz w:val="20"/>
          <w:szCs w:val="20"/>
        </w:rPr>
      </w:pPr>
      <w:r w:rsidRPr="00846A52">
        <w:rPr>
          <w:b/>
          <w:bCs/>
          <w:iCs/>
          <w:sz w:val="20"/>
          <w:szCs w:val="20"/>
          <w:u w:val="single"/>
        </w:rPr>
        <w:t>Los amparos básicos y todas las exclusiones que se estipulen deben consignarse en forma continua</w:t>
      </w:r>
      <w:r w:rsidRPr="00846A52">
        <w:rPr>
          <w:iCs/>
          <w:sz w:val="20"/>
          <w:szCs w:val="20"/>
          <w:u w:val="single"/>
        </w:rPr>
        <w:t> </w:t>
      </w:r>
      <w:r w:rsidRPr="00846A52">
        <w:rPr>
          <w:b/>
          <w:bCs/>
          <w:iCs/>
          <w:sz w:val="20"/>
          <w:szCs w:val="20"/>
          <w:u w:val="single"/>
        </w:rPr>
        <w:t>a</w:t>
      </w:r>
      <w:r w:rsidRPr="00846A52">
        <w:rPr>
          <w:iCs/>
          <w:sz w:val="20"/>
          <w:szCs w:val="20"/>
          <w:u w:val="single"/>
        </w:rPr>
        <w:t> </w:t>
      </w:r>
      <w:r w:rsidRPr="00846A52">
        <w:rPr>
          <w:b/>
          <w:bCs/>
          <w:iCs/>
          <w:sz w:val="20"/>
          <w:szCs w:val="20"/>
          <w:u w:val="single"/>
        </w:rPr>
        <w:t>partir de la primera página de la póliza</w:t>
      </w:r>
      <w:r w:rsidRPr="00846A52">
        <w:rPr>
          <w:iCs/>
          <w:sz w:val="20"/>
          <w:szCs w:val="20"/>
        </w:rPr>
        <w:t xml:space="preserve">. Estas deben figurar en caracteres destacados o resaltados, según los mismos lineamientos atrás señalados y, en términos claros y concisos que proporcionen al tomador la información precisa sobre el </w:t>
      </w:r>
      <w:r w:rsidRPr="00846A52">
        <w:rPr>
          <w:iCs/>
          <w:sz w:val="20"/>
          <w:szCs w:val="20"/>
        </w:rPr>
        <w:lastRenderedPageBreak/>
        <w:t>verdadero alcance de la cobertura contratada. No se pueden consignar en las páginas interiores o en cláusulas posteriores exclusiones adicionales en forma distinta a la prevista en este numeral. (Negrilla fuera de texto).</w:t>
      </w:r>
    </w:p>
    <w:p w14:paraId="4D0D6B92" w14:textId="77777777" w:rsidR="00294430" w:rsidRPr="00846A52" w:rsidRDefault="00294430" w:rsidP="00846A52">
      <w:pPr>
        <w:spacing w:after="0" w:line="312" w:lineRule="auto"/>
        <w:rPr>
          <w:lang w:val="es-ES_tradnl"/>
        </w:rPr>
      </w:pPr>
    </w:p>
    <w:p w14:paraId="16E4A62B" w14:textId="72A3C5D6" w:rsidR="00294430" w:rsidRPr="00846A52" w:rsidRDefault="00294430" w:rsidP="00846A52">
      <w:pPr>
        <w:spacing w:after="0" w:line="312" w:lineRule="auto"/>
      </w:pPr>
      <w:r w:rsidRPr="00846A52">
        <w:t>En ese sentido, 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w:t>
      </w:r>
      <w:r w:rsidR="0036650F">
        <w:t xml:space="preserve"> una</w:t>
      </w:r>
      <w:r w:rsidRPr="00846A52">
        <w:t xml:space="preserve">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5CC78933" w14:textId="77777777" w:rsidR="00294430" w:rsidRPr="00846A52" w:rsidRDefault="00294430" w:rsidP="00846A52">
      <w:pPr>
        <w:spacing w:after="0" w:line="312" w:lineRule="auto"/>
      </w:pPr>
    </w:p>
    <w:p w14:paraId="6DE7519A" w14:textId="77777777" w:rsidR="00294430" w:rsidRPr="00846A52" w:rsidRDefault="00294430" w:rsidP="00846A52">
      <w:pPr>
        <w:spacing w:after="0" w:line="240" w:lineRule="auto"/>
        <w:ind w:left="850" w:right="850"/>
        <w:rPr>
          <w:iCs/>
          <w:sz w:val="20"/>
          <w:szCs w:val="20"/>
        </w:rPr>
      </w:pPr>
      <w:r w:rsidRPr="00846A52">
        <w:rPr>
          <w:iCs/>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846A52">
        <w:rPr>
          <w:b/>
          <w:bCs/>
          <w:iCs/>
          <w:sz w:val="20"/>
          <w:szCs w:val="20"/>
        </w:rPr>
        <w:t>, </w:t>
      </w:r>
      <w:r w:rsidRPr="00846A52">
        <w:rPr>
          <w:iCs/>
          <w:sz w:val="20"/>
          <w:szCs w:val="20"/>
        </w:rPr>
        <w:t>pueden quedar, tanto los primeros como las segundas, </w:t>
      </w:r>
      <w:r w:rsidRPr="00846A52">
        <w:rPr>
          <w:iCs/>
          <w:sz w:val="20"/>
          <w:szCs w:val="20"/>
          <w:u w:val="single"/>
        </w:rPr>
        <w:t>consignados en forma continua a partir de la primera página de la póliza, como lo precisa la instrucción de este Supervisor</w:t>
      </w:r>
      <w:r w:rsidRPr="00846A52">
        <w:rPr>
          <w:iCs/>
          <w:sz w:val="20"/>
          <w:szCs w:val="20"/>
        </w:rPr>
        <w:t>.</w:t>
      </w:r>
    </w:p>
    <w:p w14:paraId="5E32663F" w14:textId="77777777" w:rsidR="00294430" w:rsidRPr="00846A52" w:rsidRDefault="00294430" w:rsidP="00846A52">
      <w:pPr>
        <w:spacing w:after="0" w:line="312" w:lineRule="auto"/>
      </w:pPr>
    </w:p>
    <w:p w14:paraId="4E896EE7" w14:textId="77777777" w:rsidR="00294430" w:rsidRPr="00846A52" w:rsidRDefault="00294430" w:rsidP="00846A52">
      <w:pPr>
        <w:spacing w:after="0" w:line="312" w:lineRule="auto"/>
      </w:pPr>
      <w:r w:rsidRPr="00846A52">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097082F7" w14:textId="77777777" w:rsidR="00294430" w:rsidRPr="00846A52" w:rsidRDefault="00294430" w:rsidP="00846A52">
      <w:pPr>
        <w:spacing w:after="0" w:line="312" w:lineRule="auto"/>
      </w:pPr>
    </w:p>
    <w:p w14:paraId="3C5CF88D" w14:textId="77777777" w:rsidR="00294430" w:rsidRPr="00846A52" w:rsidRDefault="00294430" w:rsidP="00846A52">
      <w:pPr>
        <w:spacing w:after="0" w:line="312" w:lineRule="auto"/>
      </w:pPr>
      <w:r w:rsidRPr="00846A52">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55B80340" w14:textId="77777777" w:rsidR="00294430" w:rsidRPr="00846A52" w:rsidRDefault="00294430" w:rsidP="00846A52">
      <w:pPr>
        <w:spacing w:after="0" w:line="312" w:lineRule="auto"/>
        <w:ind w:left="426"/>
      </w:pPr>
    </w:p>
    <w:p w14:paraId="0F6199C6" w14:textId="77777777" w:rsidR="00294430" w:rsidRPr="00846A52" w:rsidRDefault="00294430" w:rsidP="00846A52">
      <w:pPr>
        <w:spacing w:after="0" w:line="240" w:lineRule="auto"/>
        <w:ind w:left="850" w:right="850"/>
        <w:rPr>
          <w:iCs/>
          <w:sz w:val="20"/>
          <w:szCs w:val="20"/>
        </w:rPr>
      </w:pPr>
      <w:r w:rsidRPr="00846A52">
        <w:rPr>
          <w:iCs/>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2E550D82" w14:textId="77777777" w:rsidR="00294430" w:rsidRPr="00846A52" w:rsidRDefault="00294430" w:rsidP="00846A52">
      <w:pPr>
        <w:spacing w:after="0" w:line="312" w:lineRule="auto"/>
      </w:pPr>
    </w:p>
    <w:p w14:paraId="0FF40022" w14:textId="77777777" w:rsidR="00294430" w:rsidRPr="00846A52" w:rsidRDefault="00294430" w:rsidP="00846A52">
      <w:pPr>
        <w:spacing w:after="0" w:line="312" w:lineRule="auto"/>
      </w:pPr>
      <w:r w:rsidRPr="00846A52">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1EB5CBE8" w14:textId="77777777" w:rsidR="00294430" w:rsidRPr="00846A52" w:rsidRDefault="00294430" w:rsidP="00846A52">
      <w:pPr>
        <w:spacing w:after="0" w:line="312" w:lineRule="auto"/>
        <w:rPr>
          <w:lang w:val="es-ES_tradnl"/>
        </w:rPr>
      </w:pPr>
    </w:p>
    <w:p w14:paraId="3F5C358F" w14:textId="3BC0BA3C" w:rsidR="00294430" w:rsidRPr="00846A52" w:rsidRDefault="00294430" w:rsidP="00846A52">
      <w:pPr>
        <w:spacing w:after="0" w:line="312" w:lineRule="auto"/>
        <w:rPr>
          <w:lang w:val="es-ES_tradnl"/>
        </w:rPr>
      </w:pPr>
      <w:r w:rsidRPr="00846A52">
        <w:rPr>
          <w:lang w:val="es-ES_tradnl"/>
        </w:rPr>
        <w:t xml:space="preserve">En conclusión, bajo la anterior premisa, en caso de configurarse alguna de las exclusiones que constan en las condiciones generales y particulares de </w:t>
      </w:r>
      <w:r w:rsidRPr="00846A52">
        <w:t xml:space="preserve">la </w:t>
      </w:r>
      <w:r w:rsidR="0069729D" w:rsidRPr="000D3A0C">
        <w:rPr>
          <w:b/>
          <w:bCs/>
        </w:rPr>
        <w:t>Póliza de Seguro de Modular Comercial No. 1000074</w:t>
      </w:r>
      <w:r w:rsidR="0069729D" w:rsidRPr="00846A52">
        <w:rPr>
          <w:b/>
          <w:bCs/>
        </w:rPr>
        <w:t xml:space="preserve"> </w:t>
      </w:r>
      <w:r w:rsidR="0069729D" w:rsidRPr="00846A52">
        <w:t>cuya vigencia corrió desde el 29 de febrero de 2024 al 16 de octubre de 2024 con prórroga hasta el 15 de noviembre de 2024</w:t>
      </w:r>
      <w:r w:rsidR="0036650F">
        <w:t>,</w:t>
      </w:r>
      <w:r w:rsidR="0069729D" w:rsidRPr="00846A52">
        <w:t xml:space="preserve"> </w:t>
      </w:r>
      <w:r w:rsidRPr="00846A52">
        <w:rPr>
          <w:lang w:val="es-ES_tradnl"/>
        </w:rPr>
        <w:t>éstas deberán ser aplicadas y deberán dársele los efectos señalados por la jurisprudencia. En consecuencia, no podrá existir</w:t>
      </w:r>
      <w:r w:rsidR="0036650F">
        <w:rPr>
          <w:lang w:val="es-ES_tradnl"/>
        </w:rPr>
        <w:t xml:space="preserve"> responsabilidad en cabeza del a</w:t>
      </w:r>
      <w:r w:rsidRPr="00846A52">
        <w:rPr>
          <w:lang w:val="es-ES_tradnl"/>
        </w:rPr>
        <w:t>segurador</w:t>
      </w:r>
      <w:r w:rsidRPr="00846A52">
        <w:t xml:space="preserve"> como quiera que se convino libre y expresamente que tal riesgo no estaba asegurado</w:t>
      </w:r>
      <w:r w:rsidRPr="00846A52">
        <w:rPr>
          <w:lang w:val="es-ES_tradnl"/>
        </w:rPr>
        <w:t>.</w:t>
      </w:r>
    </w:p>
    <w:p w14:paraId="30CC7DD1" w14:textId="77777777" w:rsidR="0074718C" w:rsidRPr="00846A52" w:rsidRDefault="0074718C" w:rsidP="00846A52">
      <w:pPr>
        <w:spacing w:after="0" w:line="312" w:lineRule="auto"/>
        <w:rPr>
          <w:rFonts w:eastAsia="Calibri"/>
          <w:lang w:val="es-ES"/>
        </w:rPr>
      </w:pPr>
    </w:p>
    <w:p w14:paraId="30037F7D" w14:textId="09A05176" w:rsidR="0074718C" w:rsidRPr="00846A52" w:rsidRDefault="0074718C" w:rsidP="00846A52">
      <w:pPr>
        <w:pStyle w:val="4GChar"/>
        <w:numPr>
          <w:ilvl w:val="0"/>
          <w:numId w:val="24"/>
        </w:numPr>
        <w:spacing w:line="312" w:lineRule="auto"/>
        <w:contextualSpacing/>
        <w:rPr>
          <w:rFonts w:ascii="Arial" w:hAnsi="Arial" w:cs="Arial"/>
          <w:b/>
          <w:bCs/>
          <w:u w:val="single"/>
          <w:vertAlign w:val="baseline"/>
        </w:rPr>
      </w:pPr>
      <w:r w:rsidRPr="00846A52">
        <w:rPr>
          <w:rFonts w:ascii="Arial" w:hAnsi="Arial" w:cs="Arial"/>
          <w:b/>
          <w:bCs/>
          <w:u w:val="single"/>
          <w:vertAlign w:val="baseline"/>
        </w:rPr>
        <w:lastRenderedPageBreak/>
        <w:t xml:space="preserve">COASEGURO E INEXISTENCIA DE SOLIDARIDAD EN EL MARCO DEL COASEGURO CONTENIDO EN </w:t>
      </w:r>
      <w:r w:rsidR="0069729D" w:rsidRPr="00846A52">
        <w:rPr>
          <w:rFonts w:ascii="Arial" w:hAnsi="Arial" w:cs="Arial"/>
          <w:b/>
          <w:u w:val="single"/>
          <w:vertAlign w:val="baseline"/>
        </w:rPr>
        <w:t xml:space="preserve">LA </w:t>
      </w:r>
      <w:r w:rsidR="0069729D" w:rsidRPr="00846A52">
        <w:rPr>
          <w:rFonts w:ascii="Arial" w:hAnsi="Arial" w:cs="Arial"/>
          <w:b/>
          <w:bCs/>
          <w:u w:val="single"/>
          <w:vertAlign w:val="baseline"/>
        </w:rPr>
        <w:t>PÓLIZA DE SEGURO DE MODULAR COMERCIAL No. 1000074</w:t>
      </w:r>
      <w:r w:rsidRPr="00846A52">
        <w:rPr>
          <w:rFonts w:ascii="Arial" w:hAnsi="Arial" w:cs="Arial"/>
          <w:b/>
          <w:bCs/>
          <w:u w:val="single"/>
          <w:vertAlign w:val="baseline"/>
        </w:rPr>
        <w:t>.</w:t>
      </w:r>
    </w:p>
    <w:p w14:paraId="113E999B" w14:textId="77777777" w:rsidR="0074718C" w:rsidRPr="00846A52" w:rsidRDefault="0074718C" w:rsidP="00846A52">
      <w:pPr>
        <w:pStyle w:val="4GChar"/>
        <w:spacing w:line="312" w:lineRule="auto"/>
        <w:rPr>
          <w:rFonts w:ascii="Arial" w:hAnsi="Arial" w:cs="Arial"/>
          <w:vertAlign w:val="baseline"/>
        </w:rPr>
      </w:pPr>
    </w:p>
    <w:p w14:paraId="299795D1" w14:textId="74E2B3D8" w:rsidR="0074718C" w:rsidRPr="00846A52" w:rsidRDefault="0074718C" w:rsidP="00846A52">
      <w:pPr>
        <w:spacing w:after="0" w:line="312" w:lineRule="auto"/>
        <w:rPr>
          <w:b/>
          <w:bCs/>
        </w:rPr>
      </w:pPr>
      <w:r w:rsidRPr="00846A52">
        <w:t xml:space="preserve">La póliza utilizada como fundamento para vincular a mi representada como tercero </w:t>
      </w:r>
      <w:r w:rsidR="0036650F">
        <w:t xml:space="preserve">civilmente </w:t>
      </w:r>
      <w:r w:rsidRPr="00846A52">
        <w:t xml:space="preserve"> responsable, revela que la misma fue tomada por </w:t>
      </w:r>
      <w:r w:rsidR="008C2062" w:rsidRPr="0036650F">
        <w:rPr>
          <w:bCs/>
        </w:rPr>
        <w:t>el</w:t>
      </w:r>
      <w:r w:rsidR="008C2062" w:rsidRPr="00846A52">
        <w:rPr>
          <w:b/>
          <w:bCs/>
        </w:rPr>
        <w:t xml:space="preserve"> DISTRITO ESPECIAL DE SANTIAGO DE CALI </w:t>
      </w:r>
      <w:r w:rsidRPr="00846A52">
        <w:t>bajo la figura de coaseguro, distribuyendo el riesgo entre</w:t>
      </w:r>
      <w:r w:rsidR="0036650F">
        <w:t xml:space="preserve"> las compañías</w:t>
      </w:r>
      <w:r w:rsidRPr="00846A52">
        <w:t xml:space="preserve"> así:</w:t>
      </w:r>
    </w:p>
    <w:p w14:paraId="375B49D8" w14:textId="77777777" w:rsidR="0074718C" w:rsidRPr="00846A52" w:rsidRDefault="0074718C" w:rsidP="00846A52">
      <w:pPr>
        <w:spacing w:after="0" w:line="312" w:lineRule="auto"/>
      </w:pPr>
    </w:p>
    <w:p w14:paraId="442CB1EB" w14:textId="62E5BACE" w:rsidR="0074718C" w:rsidRPr="00846A52" w:rsidRDefault="0074718C" w:rsidP="00846A52">
      <w:pPr>
        <w:spacing w:after="0" w:line="312" w:lineRule="auto"/>
        <w:jc w:val="center"/>
      </w:pPr>
      <w:r w:rsidRPr="00846A52">
        <w:rPr>
          <w:noProof/>
        </w:rPr>
        <mc:AlternateContent>
          <mc:Choice Requires="wps">
            <w:drawing>
              <wp:anchor distT="0" distB="0" distL="114300" distR="114300" simplePos="0" relativeHeight="251668480" behindDoc="0" locked="0" layoutInCell="1" allowOverlap="1" wp14:anchorId="6B515D2A" wp14:editId="6E71CEAC">
                <wp:simplePos x="0" y="0"/>
                <wp:positionH relativeFrom="column">
                  <wp:posOffset>829310</wp:posOffset>
                </wp:positionH>
                <wp:positionV relativeFrom="paragraph">
                  <wp:posOffset>2600960</wp:posOffset>
                </wp:positionV>
                <wp:extent cx="4238625" cy="171450"/>
                <wp:effectExtent l="19050" t="19050" r="28575" b="19050"/>
                <wp:wrapNone/>
                <wp:docPr id="2121832656" name="Rectángulo 2121832656"/>
                <wp:cNvGraphicFramePr/>
                <a:graphic xmlns:a="http://schemas.openxmlformats.org/drawingml/2006/main">
                  <a:graphicData uri="http://schemas.microsoft.com/office/word/2010/wordprocessingShape">
                    <wps:wsp>
                      <wps:cNvSpPr/>
                      <wps:spPr>
                        <a:xfrm>
                          <a:off x="0" y="0"/>
                          <a:ext cx="4238625" cy="1714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ED246" id="Rectángulo 2121832656" o:spid="_x0000_s1026" style="position:absolute;margin-left:65.3pt;margin-top:204.8pt;width:333.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" filled="f" strokecolor="#c00000" strokeweight="2.25pt"/>
            </w:pict>
          </mc:Fallback>
        </mc:AlternateContent>
      </w:r>
      <w:r w:rsidR="00CF0FB8" w:rsidRPr="00846A52">
        <w:rPr>
          <w:noProof/>
        </w:rPr>
        <w:t xml:space="preserve"> </w:t>
      </w:r>
      <w:r w:rsidR="00CF0FB8" w:rsidRPr="00846A52">
        <w:rPr>
          <w:noProof/>
        </w:rPr>
        <w:drawing>
          <wp:inline distT="0" distB="0" distL="0" distR="0" wp14:anchorId="4CD9313A" wp14:editId="434255E3">
            <wp:extent cx="4486901" cy="3419952"/>
            <wp:effectExtent l="0" t="0" r="9525" b="9525"/>
            <wp:docPr id="927206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06384" name=""/>
                    <pic:cNvPicPr/>
                  </pic:nvPicPr>
                  <pic:blipFill>
                    <a:blip r:embed="rId17"/>
                    <a:stretch>
                      <a:fillRect/>
                    </a:stretch>
                  </pic:blipFill>
                  <pic:spPr>
                    <a:xfrm>
                      <a:off x="0" y="0"/>
                      <a:ext cx="4486901" cy="3419952"/>
                    </a:xfrm>
                    <a:prstGeom prst="rect">
                      <a:avLst/>
                    </a:prstGeom>
                  </pic:spPr>
                </pic:pic>
              </a:graphicData>
            </a:graphic>
          </wp:inline>
        </w:drawing>
      </w:r>
    </w:p>
    <w:p w14:paraId="01B26508" w14:textId="77777777" w:rsidR="0074718C" w:rsidRPr="00846A52" w:rsidRDefault="0074718C" w:rsidP="00846A52">
      <w:pPr>
        <w:spacing w:after="0" w:line="312" w:lineRule="auto"/>
      </w:pPr>
    </w:p>
    <w:p w14:paraId="33DAA385" w14:textId="1814F3A4" w:rsidR="0074718C" w:rsidRPr="00846A52" w:rsidRDefault="0074718C" w:rsidP="00846A52">
      <w:pPr>
        <w:tabs>
          <w:tab w:val="center" w:pos="4013"/>
        </w:tabs>
        <w:spacing w:after="0" w:line="312" w:lineRule="auto"/>
        <w:ind w:left="0" w:right="-7" w:firstLine="0"/>
        <w:rPr>
          <w:b/>
          <w:color w:val="auto"/>
        </w:rPr>
      </w:pPr>
      <w:r w:rsidRPr="00846A52">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00FB6ECB" w:rsidRPr="00846A52">
        <w:rPr>
          <w:b/>
          <w:color w:val="auto"/>
        </w:rPr>
        <w:t xml:space="preserve">LA PREVISORA S.A. COMPAÑÍA DE SEGUROS </w:t>
      </w:r>
      <w:r w:rsidRPr="00846A52">
        <w:t xml:space="preserve">únicamente podrá responder hasta el </w:t>
      </w:r>
      <w:r w:rsidR="00FB6ECB" w:rsidRPr="00846A52">
        <w:rPr>
          <w:b/>
          <w:bCs/>
          <w:u w:val="single"/>
        </w:rPr>
        <w:t>12.0</w:t>
      </w:r>
      <w:r w:rsidRPr="00846A52">
        <w:rPr>
          <w:b/>
          <w:bCs/>
          <w:u w:val="single"/>
        </w:rPr>
        <w:t>0%.</w:t>
      </w:r>
    </w:p>
    <w:p w14:paraId="65C00753" w14:textId="77777777" w:rsidR="0074718C" w:rsidRPr="00846A52" w:rsidRDefault="0074718C" w:rsidP="00846A52">
      <w:pPr>
        <w:pStyle w:val="4GChar"/>
        <w:spacing w:line="312" w:lineRule="auto"/>
        <w:rPr>
          <w:rFonts w:ascii="Arial" w:hAnsi="Arial" w:cs="Arial"/>
          <w:vertAlign w:val="baseline"/>
        </w:rPr>
      </w:pPr>
    </w:p>
    <w:p w14:paraId="12E5DC1D" w14:textId="0F5642DB" w:rsidR="0074718C" w:rsidRPr="00846A52" w:rsidRDefault="0074718C" w:rsidP="00846A52">
      <w:pPr>
        <w:pStyle w:val="4GChar"/>
        <w:spacing w:line="312" w:lineRule="auto"/>
        <w:rPr>
          <w:rFonts w:ascii="Arial" w:hAnsi="Arial" w:cs="Arial"/>
          <w:vertAlign w:val="baseline"/>
        </w:rPr>
      </w:pPr>
      <w:r w:rsidRPr="00846A52">
        <w:rPr>
          <w:rFonts w:ascii="Arial" w:hAnsi="Arial" w:cs="Arial"/>
          <w:vertAlign w:val="baseline"/>
        </w:rPr>
        <w:t>El artículo 1092 del Código de Comercio,</w:t>
      </w:r>
      <w:r w:rsidR="0036650F">
        <w:rPr>
          <w:rFonts w:ascii="Arial" w:hAnsi="Arial" w:cs="Arial"/>
          <w:vertAlign w:val="baseline"/>
        </w:rPr>
        <w:t xml:space="preserve"> al respecto, </w:t>
      </w:r>
      <w:r w:rsidRPr="00846A52">
        <w:rPr>
          <w:rFonts w:ascii="Arial" w:hAnsi="Arial" w:cs="Arial"/>
          <w:vertAlign w:val="baseline"/>
        </w:rPr>
        <w:t xml:space="preserve">estipula lo siguiente: </w:t>
      </w:r>
    </w:p>
    <w:p w14:paraId="1739F9AA" w14:textId="77777777" w:rsidR="0074718C" w:rsidRPr="00846A52" w:rsidRDefault="0074718C" w:rsidP="00846A52">
      <w:pPr>
        <w:pStyle w:val="4GChar"/>
        <w:spacing w:line="312" w:lineRule="auto"/>
        <w:rPr>
          <w:rFonts w:ascii="Arial" w:hAnsi="Arial" w:cs="Arial"/>
          <w:vertAlign w:val="baseline"/>
        </w:rPr>
      </w:pPr>
    </w:p>
    <w:p w14:paraId="262B99EB" w14:textId="77777777" w:rsidR="0074718C" w:rsidRPr="00846A52" w:rsidRDefault="0074718C" w:rsidP="00846A52">
      <w:pPr>
        <w:pStyle w:val="4GChar"/>
        <w:ind w:left="851" w:right="1127"/>
        <w:contextualSpacing/>
        <w:rPr>
          <w:rFonts w:ascii="Arial" w:hAnsi="Arial" w:cs="Arial"/>
          <w:sz w:val="20"/>
          <w:szCs w:val="20"/>
          <w:vertAlign w:val="baseline"/>
        </w:rPr>
      </w:pPr>
      <w:r w:rsidRPr="00846A52">
        <w:rPr>
          <w:rFonts w:ascii="Arial" w:hAnsi="Arial" w:cs="Arial"/>
          <w:sz w:val="20"/>
          <w:szCs w:val="20"/>
          <w:vertAlign w:val="baseline"/>
        </w:rPr>
        <w:t xml:space="preserve">En el caso de pluralidad o de coexistencia de seguros, </w:t>
      </w:r>
      <w:r w:rsidRPr="00846A52">
        <w:rPr>
          <w:rFonts w:ascii="Arial" w:hAnsi="Arial" w:cs="Arial"/>
          <w:b/>
          <w:bCs/>
          <w:sz w:val="20"/>
          <w:szCs w:val="20"/>
          <w:u w:val="single"/>
          <w:vertAlign w:val="baseline"/>
        </w:rPr>
        <w:t>los aseguradores deberán soportar la indemnización debida al asegurado en proporción a la cuantía de sus respectivos contratos</w:t>
      </w:r>
      <w:r w:rsidRPr="00846A52">
        <w:rPr>
          <w:rFonts w:ascii="Arial" w:hAnsi="Arial" w:cs="Arial"/>
          <w:sz w:val="20"/>
          <w:szCs w:val="20"/>
          <w:vertAlign w:val="baseline"/>
        </w:rPr>
        <w:t xml:space="preserve">, siempre que el asegurado haya actuado de buena fe. La mala fe en la contratación de éstos produce nulidad. (Subrayado y negrilla fuera de texto). </w:t>
      </w:r>
    </w:p>
    <w:p w14:paraId="71BC97D2" w14:textId="77777777" w:rsidR="0074718C" w:rsidRPr="00846A52" w:rsidRDefault="0074718C" w:rsidP="00846A52">
      <w:pPr>
        <w:pStyle w:val="4GChar"/>
        <w:spacing w:line="312" w:lineRule="auto"/>
        <w:rPr>
          <w:rFonts w:ascii="Arial" w:hAnsi="Arial" w:cs="Arial"/>
          <w:vertAlign w:val="baseline"/>
        </w:rPr>
      </w:pPr>
    </w:p>
    <w:p w14:paraId="6B19501E" w14:textId="5348DB75" w:rsidR="0074718C" w:rsidRPr="00846A52" w:rsidRDefault="0074718C" w:rsidP="00846A52">
      <w:pPr>
        <w:pStyle w:val="4GChar"/>
        <w:spacing w:line="312" w:lineRule="auto"/>
        <w:rPr>
          <w:rFonts w:ascii="Arial" w:hAnsi="Arial" w:cs="Arial"/>
          <w:vertAlign w:val="baseline"/>
        </w:rPr>
      </w:pPr>
      <w:r w:rsidRPr="00846A52">
        <w:rPr>
          <w:rFonts w:ascii="Arial" w:hAnsi="Arial" w:cs="Arial"/>
          <w:vertAlign w:val="baseline"/>
        </w:rPr>
        <w:t>Lo consignado en la norma en cita se aplica al coaseguro, por estipulación expresa del artículo 1095 del e</w:t>
      </w:r>
      <w:r w:rsidR="0036650F">
        <w:rPr>
          <w:rFonts w:ascii="Arial" w:hAnsi="Arial" w:cs="Arial"/>
          <w:vertAlign w:val="baseline"/>
        </w:rPr>
        <w:t xml:space="preserve">statuto mercantil, el cual </w:t>
      </w:r>
      <w:r w:rsidRPr="00846A52">
        <w:rPr>
          <w:rFonts w:ascii="Arial" w:hAnsi="Arial" w:cs="Arial"/>
          <w:vertAlign w:val="baseline"/>
        </w:rPr>
        <w:t xml:space="preserve">establece: </w:t>
      </w:r>
    </w:p>
    <w:p w14:paraId="4523806A" w14:textId="77777777" w:rsidR="0074718C" w:rsidRPr="00846A52" w:rsidRDefault="0074718C" w:rsidP="00846A52">
      <w:pPr>
        <w:pStyle w:val="4GChar"/>
        <w:spacing w:line="312" w:lineRule="auto"/>
        <w:rPr>
          <w:rFonts w:ascii="Arial" w:hAnsi="Arial" w:cs="Arial"/>
          <w:vertAlign w:val="baseline"/>
        </w:rPr>
      </w:pPr>
    </w:p>
    <w:p w14:paraId="7E024389" w14:textId="77777777" w:rsidR="0074718C" w:rsidRPr="00846A52" w:rsidRDefault="0074718C" w:rsidP="00846A52">
      <w:pPr>
        <w:pStyle w:val="4GChar"/>
        <w:ind w:left="851" w:right="1127"/>
        <w:contextualSpacing/>
        <w:rPr>
          <w:rFonts w:ascii="Arial" w:hAnsi="Arial" w:cs="Arial"/>
          <w:sz w:val="20"/>
          <w:szCs w:val="20"/>
          <w:vertAlign w:val="baseline"/>
        </w:rPr>
      </w:pPr>
      <w:r w:rsidRPr="00846A52">
        <w:rPr>
          <w:rFonts w:ascii="Arial" w:hAnsi="Arial" w:cs="Arial"/>
          <w:sz w:val="20"/>
          <w:szCs w:val="20"/>
          <w:vertAlign w:val="baseline"/>
        </w:rPr>
        <w:t xml:space="preserve">Las normas que anteceden se aplicarán igualmente </w:t>
      </w:r>
      <w:r w:rsidRPr="00846A52">
        <w:rPr>
          <w:rFonts w:ascii="Arial" w:hAnsi="Arial" w:cs="Arial"/>
          <w:b/>
          <w:bCs/>
          <w:sz w:val="20"/>
          <w:szCs w:val="20"/>
          <w:u w:val="single"/>
          <w:vertAlign w:val="baseline"/>
        </w:rPr>
        <w:t>al coaseguro, en virtud del cual dos o más aseguradores, a petición del asegurado o con su aquiescencia previa, acuerdan distribuirse entre ellos determinado seguro.</w:t>
      </w:r>
      <w:r w:rsidRPr="00846A52">
        <w:rPr>
          <w:rFonts w:ascii="Arial" w:hAnsi="Arial" w:cs="Arial"/>
          <w:sz w:val="20"/>
          <w:szCs w:val="20"/>
          <w:vertAlign w:val="baseline"/>
        </w:rPr>
        <w:t xml:space="preserve"> (Subrayado y negrilla fuera de texto). </w:t>
      </w:r>
    </w:p>
    <w:p w14:paraId="37E5E797" w14:textId="77777777" w:rsidR="0074718C" w:rsidRPr="00846A52" w:rsidRDefault="0074718C" w:rsidP="00846A52">
      <w:pPr>
        <w:pStyle w:val="4GChar"/>
        <w:spacing w:line="312" w:lineRule="auto"/>
        <w:rPr>
          <w:rFonts w:ascii="Arial" w:hAnsi="Arial" w:cs="Arial"/>
          <w:vertAlign w:val="baseline"/>
        </w:rPr>
      </w:pPr>
    </w:p>
    <w:p w14:paraId="09F25969" w14:textId="10B08B77" w:rsidR="0074718C" w:rsidRPr="00846A52" w:rsidRDefault="0074718C" w:rsidP="00846A52">
      <w:pPr>
        <w:pStyle w:val="4GChar"/>
        <w:spacing w:line="312" w:lineRule="auto"/>
        <w:rPr>
          <w:rFonts w:ascii="Arial" w:hAnsi="Arial" w:cs="Arial"/>
          <w:vertAlign w:val="baseline"/>
        </w:rPr>
      </w:pPr>
      <w:r w:rsidRPr="00846A52">
        <w:rPr>
          <w:rFonts w:ascii="Arial" w:hAnsi="Arial" w:cs="Arial"/>
          <w:vertAlign w:val="baseline"/>
        </w:rPr>
        <w:t>Dada la figura del coaseguro y de conformidad con lo anterior, la responsabilidad de cada una de las coaseguradoras está limitada al porcentaje antes indicado, ya que no</w:t>
      </w:r>
      <w:r w:rsidR="0036650F">
        <w:rPr>
          <w:rFonts w:ascii="Arial" w:hAnsi="Arial" w:cs="Arial"/>
          <w:vertAlign w:val="baseline"/>
        </w:rPr>
        <w:t xml:space="preserve"> existe solidaridad entre </w:t>
      </w:r>
      <w:r w:rsidR="0036650F">
        <w:rPr>
          <w:rFonts w:ascii="Arial" w:hAnsi="Arial" w:cs="Arial"/>
          <w:vertAlign w:val="baseline"/>
        </w:rPr>
        <w:lastRenderedPageBreak/>
        <w:t>ellas, e</w:t>
      </w:r>
      <w:r w:rsidRPr="00846A52">
        <w:rPr>
          <w:rFonts w:ascii="Arial" w:hAnsi="Arial" w:cs="Arial"/>
          <w:vertAlign w:val="baseline"/>
        </w:rPr>
        <w:t>n concordancia con lo señalado en Sentencia del Consejo de Estado del 30 de marzo de 2022 que reza:</w:t>
      </w:r>
    </w:p>
    <w:p w14:paraId="315CC48C" w14:textId="77777777" w:rsidR="0074718C" w:rsidRPr="00846A52" w:rsidRDefault="0074718C" w:rsidP="00846A52">
      <w:pPr>
        <w:pStyle w:val="4GChar"/>
        <w:spacing w:line="312" w:lineRule="auto"/>
        <w:rPr>
          <w:rFonts w:ascii="Arial" w:hAnsi="Arial" w:cs="Arial"/>
          <w:vertAlign w:val="baseline"/>
        </w:rPr>
      </w:pPr>
    </w:p>
    <w:p w14:paraId="4EECF990" w14:textId="77777777" w:rsidR="0074718C" w:rsidRPr="00846A52" w:rsidRDefault="0074718C" w:rsidP="00846A52">
      <w:pPr>
        <w:pStyle w:val="4GChar"/>
        <w:ind w:left="851" w:right="1127"/>
        <w:rPr>
          <w:rFonts w:ascii="Arial" w:hAnsi="Arial" w:cs="Arial"/>
          <w:sz w:val="20"/>
          <w:szCs w:val="20"/>
          <w:vertAlign w:val="baseline"/>
        </w:rPr>
      </w:pPr>
      <w:r w:rsidRPr="00846A52">
        <w:rPr>
          <w:rFonts w:ascii="Arial" w:hAnsi="Arial" w:cs="Arial"/>
          <w:sz w:val="20"/>
          <w:szCs w:val="20"/>
          <w:vertAlign w:val="baseline"/>
        </w:rPr>
        <w:t xml:space="preserve">“(…) los distintos aseguradores deben responder con sujeción a la participación que asumieron al momento de la celebración del contrato sin que exista solidaridad de conformidad con el artículo 1092 del Código de Comercio (…)” </w:t>
      </w:r>
    </w:p>
    <w:p w14:paraId="742EE6D2" w14:textId="77777777" w:rsidR="0074718C" w:rsidRPr="00846A52" w:rsidRDefault="0074718C" w:rsidP="00846A52">
      <w:pPr>
        <w:pStyle w:val="4GChar"/>
        <w:spacing w:line="312" w:lineRule="auto"/>
        <w:rPr>
          <w:rFonts w:ascii="Arial" w:hAnsi="Arial" w:cs="Arial"/>
          <w:vertAlign w:val="baseline"/>
        </w:rPr>
      </w:pPr>
    </w:p>
    <w:p w14:paraId="4659FA81" w14:textId="6754325A" w:rsidR="0074718C" w:rsidRPr="00846A52" w:rsidRDefault="0074718C" w:rsidP="00846A52">
      <w:pPr>
        <w:pStyle w:val="4GChar"/>
        <w:spacing w:line="312" w:lineRule="auto"/>
        <w:rPr>
          <w:rFonts w:ascii="Arial" w:hAnsi="Arial" w:cs="Arial"/>
          <w:vertAlign w:val="baseline"/>
        </w:rPr>
      </w:pPr>
      <w:r w:rsidRPr="00846A52">
        <w:rPr>
          <w:rFonts w:ascii="Arial" w:hAnsi="Arial" w:cs="Arial"/>
          <w:vertAlign w:val="baseline"/>
        </w:rPr>
        <w:t>En conclusión, existiendo coaseguro, de acuerdo con el cual cada aseguradora asumió el porcentaje arriba señalado, se destaca que ni siquiera en el impro</w:t>
      </w:r>
      <w:r w:rsidR="005441F6">
        <w:rPr>
          <w:rFonts w:ascii="Arial" w:hAnsi="Arial" w:cs="Arial"/>
          <w:vertAlign w:val="baseline"/>
        </w:rPr>
        <w:t>bable caso de que fuera viable un fallo con responsabilidad fiscal en contra del servidor público asegurado</w:t>
      </w:r>
      <w:r w:rsidRPr="00846A52">
        <w:rPr>
          <w:rFonts w:ascii="Arial" w:hAnsi="Arial" w:cs="Arial"/>
          <w:vertAlign w:val="baseline"/>
        </w:rPr>
        <w:t>, podría condenarse a mi representada por lo que le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04EBF637" w14:textId="77777777" w:rsidR="0074718C" w:rsidRPr="00846A52" w:rsidRDefault="0074718C" w:rsidP="00846A52">
      <w:pPr>
        <w:spacing w:after="0" w:line="312" w:lineRule="auto"/>
        <w:rPr>
          <w:rFonts w:eastAsia="Calibri"/>
          <w:lang w:val="es-ES"/>
        </w:rPr>
      </w:pPr>
    </w:p>
    <w:p w14:paraId="12709945" w14:textId="77777777" w:rsidR="0019083A" w:rsidRPr="00846A52" w:rsidRDefault="0019083A" w:rsidP="004D63FB">
      <w:pPr>
        <w:spacing w:after="0" w:line="312" w:lineRule="auto"/>
        <w:ind w:left="0" w:firstLine="0"/>
        <w:rPr>
          <w:b/>
          <w:bCs/>
        </w:rPr>
      </w:pPr>
    </w:p>
    <w:p w14:paraId="640F825D" w14:textId="72ACFAD9" w:rsidR="008E1BDD" w:rsidRPr="00846A52" w:rsidRDefault="008E1BDD" w:rsidP="00846A52">
      <w:pPr>
        <w:pStyle w:val="Prrafodelista"/>
        <w:numPr>
          <w:ilvl w:val="0"/>
          <w:numId w:val="24"/>
        </w:numPr>
        <w:spacing w:after="0" w:line="312" w:lineRule="auto"/>
        <w:ind w:left="284" w:hanging="284"/>
        <w:jc w:val="both"/>
        <w:rPr>
          <w:rFonts w:ascii="Arial" w:eastAsia="Times New Roman" w:hAnsi="Arial" w:cs="Arial"/>
          <w:b/>
          <w:bCs/>
          <w:u w:val="single"/>
          <w:shd w:val="clear" w:color="auto" w:fill="FFFFFF"/>
        </w:rPr>
      </w:pPr>
      <w:r w:rsidRPr="00846A52">
        <w:rPr>
          <w:rFonts w:ascii="Arial" w:eastAsia="Times New Roman" w:hAnsi="Arial" w:cs="Arial"/>
          <w:b/>
          <w:bCs/>
          <w:u w:val="single"/>
          <w:shd w:val="clear" w:color="auto" w:fill="FFFFFF"/>
        </w:rPr>
        <w:t>EN CU</w:t>
      </w:r>
      <w:r w:rsidR="00FB3940" w:rsidRPr="00846A52">
        <w:rPr>
          <w:rFonts w:ascii="Arial" w:eastAsia="Times New Roman" w:hAnsi="Arial" w:cs="Arial"/>
          <w:b/>
          <w:bCs/>
          <w:u w:val="single"/>
          <w:shd w:val="clear" w:color="auto" w:fill="FFFFFF"/>
        </w:rPr>
        <w:t xml:space="preserve">ALQUIER CASO, DE NINGUNA FORMA SE PODRÁ EXCEDER EL LÍMITE DEL VALOR ASEGURADO CONCERTADO EN </w:t>
      </w:r>
      <w:r w:rsidR="00FB3940" w:rsidRPr="00846A52">
        <w:rPr>
          <w:rFonts w:ascii="Arial" w:hAnsi="Arial" w:cs="Arial"/>
          <w:b/>
          <w:u w:val="single"/>
        </w:rPr>
        <w:t xml:space="preserve">LA </w:t>
      </w:r>
      <w:r w:rsidR="00FB3940" w:rsidRPr="00846A52">
        <w:rPr>
          <w:rFonts w:ascii="Arial" w:hAnsi="Arial" w:cs="Arial"/>
          <w:b/>
          <w:bCs/>
          <w:u w:val="single"/>
        </w:rPr>
        <w:t>PÓLIZA DE SEGURO DE MODULAR COMERCIAL No. 1000074</w:t>
      </w:r>
      <w:r w:rsidR="00FB3940" w:rsidRPr="00846A52">
        <w:rPr>
          <w:rFonts w:ascii="Arial" w:eastAsia="Times New Roman" w:hAnsi="Arial" w:cs="Arial"/>
          <w:b/>
          <w:bCs/>
          <w:u w:val="single"/>
          <w:shd w:val="clear" w:color="auto" w:fill="FFFFFF"/>
        </w:rPr>
        <w:t xml:space="preserve">. </w:t>
      </w:r>
    </w:p>
    <w:p w14:paraId="42090D24" w14:textId="77777777" w:rsidR="008E1BDD" w:rsidRPr="00846A52" w:rsidRDefault="008E1BDD" w:rsidP="00846A52">
      <w:pPr>
        <w:spacing w:after="0" w:line="312" w:lineRule="auto"/>
        <w:rPr>
          <w:bCs/>
          <w:iCs/>
          <w:u w:val="single"/>
        </w:rPr>
      </w:pPr>
    </w:p>
    <w:p w14:paraId="7049F25F" w14:textId="74B8AD45" w:rsidR="008E1BDD" w:rsidRPr="00846A52" w:rsidRDefault="008E1BDD" w:rsidP="00846A52">
      <w:pPr>
        <w:tabs>
          <w:tab w:val="center" w:pos="4013"/>
        </w:tabs>
        <w:spacing w:after="0" w:line="312" w:lineRule="auto"/>
        <w:ind w:left="0" w:right="-7" w:firstLine="0"/>
      </w:pPr>
      <w:r w:rsidRPr="00846A52">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00F76302" w:rsidRPr="00846A52">
        <w:rPr>
          <w:b/>
          <w:bCs/>
        </w:rPr>
        <w:t>MIL</w:t>
      </w:r>
      <w:r w:rsidR="00970DA1" w:rsidRPr="00846A52">
        <w:rPr>
          <w:b/>
          <w:bCs/>
        </w:rPr>
        <w:t xml:space="preserve"> MILLONES DE PESOS </w:t>
      </w:r>
      <w:r w:rsidRPr="00846A52">
        <w:rPr>
          <w:b/>
          <w:bCs/>
        </w:rPr>
        <w:t>($</w:t>
      </w:r>
      <w:r w:rsidR="00F76302" w:rsidRPr="00846A52">
        <w:rPr>
          <w:b/>
          <w:bCs/>
        </w:rPr>
        <w:t>1.000</w:t>
      </w:r>
      <w:r w:rsidR="0011317B" w:rsidRPr="00846A52">
        <w:rPr>
          <w:b/>
          <w:bCs/>
        </w:rPr>
        <w:t>.0</w:t>
      </w:r>
      <w:r w:rsidRPr="00846A52">
        <w:rPr>
          <w:b/>
          <w:bCs/>
        </w:rPr>
        <w:t>00.000/MCTE)</w:t>
      </w:r>
      <w:r w:rsidRPr="00846A52">
        <w:t xml:space="preserve"> </w:t>
      </w:r>
      <w:r w:rsidR="003556C6" w:rsidRPr="00846A52">
        <w:t xml:space="preserve">de los cuales </w:t>
      </w:r>
      <w:r w:rsidR="00FB2101" w:rsidRPr="00846A52">
        <w:rPr>
          <w:b/>
          <w:color w:val="auto"/>
        </w:rPr>
        <w:t xml:space="preserve">LA PREVISORA S.A. COMPAÑÍA DE SEGUROS </w:t>
      </w:r>
      <w:r w:rsidR="00FB2101" w:rsidRPr="00846A52">
        <w:rPr>
          <w:bCs/>
          <w:color w:val="auto"/>
        </w:rPr>
        <w:t>únicamente responderá por</w:t>
      </w:r>
      <w:r w:rsidR="00FB2101" w:rsidRPr="00846A52">
        <w:rPr>
          <w:b/>
          <w:color w:val="auto"/>
        </w:rPr>
        <w:t xml:space="preserve"> CIENTO VEINTE MILLONES ($120.000.000) </w:t>
      </w:r>
      <w:r w:rsidR="00FB2101" w:rsidRPr="00846A52">
        <w:rPr>
          <w:bCs/>
          <w:color w:val="auto"/>
        </w:rPr>
        <w:t>correspondientes al</w:t>
      </w:r>
      <w:r w:rsidR="00FB2101" w:rsidRPr="00846A52">
        <w:rPr>
          <w:b/>
          <w:color w:val="auto"/>
        </w:rPr>
        <w:t xml:space="preserve"> </w:t>
      </w:r>
      <w:r w:rsidR="00FB2101" w:rsidRPr="00846A52">
        <w:rPr>
          <w:b/>
          <w:color w:val="auto"/>
          <w:u w:val="single"/>
        </w:rPr>
        <w:t>12</w:t>
      </w:r>
      <w:r w:rsidR="00F871C1" w:rsidRPr="00846A52">
        <w:rPr>
          <w:b/>
          <w:color w:val="auto"/>
          <w:u w:val="single"/>
        </w:rPr>
        <w:t>.00</w:t>
      </w:r>
      <w:r w:rsidR="00FB2101" w:rsidRPr="00846A52">
        <w:rPr>
          <w:b/>
          <w:color w:val="auto"/>
          <w:u w:val="single"/>
        </w:rPr>
        <w:t>%</w:t>
      </w:r>
      <w:r w:rsidR="00FB2101" w:rsidRPr="00846A52">
        <w:rPr>
          <w:b/>
          <w:color w:val="auto"/>
        </w:rPr>
        <w:t xml:space="preserve"> </w:t>
      </w:r>
      <w:r w:rsidR="00FB2101" w:rsidRPr="00846A52">
        <w:rPr>
          <w:bCs/>
          <w:color w:val="auto"/>
        </w:rPr>
        <w:t>del coaseguro aceptado y</w:t>
      </w:r>
      <w:r w:rsidR="00FB2101" w:rsidRPr="00846A52">
        <w:rPr>
          <w:b/>
          <w:color w:val="auto"/>
        </w:rPr>
        <w:t xml:space="preserve"> </w:t>
      </w:r>
      <w:r w:rsidRPr="00846A52">
        <w:t xml:space="preserve">los cuales se encuentran sujetos a la disponibilidad de la suma asegurada. La ocurrencia de varios siniestros durante la vigencia de la póliza va agotando la suma asegurada, por lo que es indispensable que se tenga en cuenta la misma en el remoto evento de </w:t>
      </w:r>
      <w:r w:rsidR="000E19DB" w:rsidRPr="00846A52">
        <w:t>declararse la responsabilidad fiscal y, consecuentemente, la del tercero civilmente responsable.</w:t>
      </w:r>
    </w:p>
    <w:p w14:paraId="5FE40D9D" w14:textId="77777777" w:rsidR="008E1BDD" w:rsidRPr="00846A52" w:rsidRDefault="008E1BDD" w:rsidP="00846A52">
      <w:pPr>
        <w:autoSpaceDE w:val="0"/>
        <w:autoSpaceDN w:val="0"/>
        <w:adjustRightInd w:val="0"/>
        <w:spacing w:after="0" w:line="312" w:lineRule="auto"/>
      </w:pPr>
    </w:p>
    <w:p w14:paraId="4AEB177A" w14:textId="0A572CEE" w:rsidR="008E1BDD" w:rsidRPr="00846A52" w:rsidRDefault="008E1BDD" w:rsidP="00846A52">
      <w:pPr>
        <w:spacing w:after="0" w:line="312" w:lineRule="auto"/>
      </w:pPr>
      <w:r w:rsidRPr="00846A52">
        <w:t xml:space="preserve">Toda vez que, sin ánimo de que implique el reconocimiento de responsabilidad en contra de mi representada, </w:t>
      </w:r>
      <w:r w:rsidR="0016508A" w:rsidRPr="00846A52">
        <w:t xml:space="preserve">la </w:t>
      </w:r>
      <w:r w:rsidR="0016508A" w:rsidRPr="000D3A0C">
        <w:rPr>
          <w:b/>
          <w:bCs/>
        </w:rPr>
        <w:t>Póliza de Seguro de Modular Comercial No. 1000074</w:t>
      </w:r>
      <w:r w:rsidRPr="00846A52">
        <w:t xml:space="preserve">, ofrece las siguientes coberturas: </w:t>
      </w:r>
    </w:p>
    <w:p w14:paraId="3CEFB642" w14:textId="77777777" w:rsidR="004B27C5" w:rsidRPr="00846A52" w:rsidRDefault="004B27C5" w:rsidP="00846A52">
      <w:pPr>
        <w:spacing w:after="0" w:line="312" w:lineRule="auto"/>
      </w:pPr>
    </w:p>
    <w:p w14:paraId="6C16C95B" w14:textId="036F53B9" w:rsidR="004B27C5" w:rsidRPr="00846A52" w:rsidRDefault="004B27C5" w:rsidP="00846A52">
      <w:pPr>
        <w:spacing w:after="0" w:line="312" w:lineRule="auto"/>
      </w:pPr>
      <w:r w:rsidRPr="00846A52">
        <w:rPr>
          <w:noProof/>
        </w:rPr>
        <mc:AlternateContent>
          <mc:Choice Requires="wps">
            <w:drawing>
              <wp:anchor distT="0" distB="0" distL="114300" distR="114300" simplePos="0" relativeHeight="251664384" behindDoc="0" locked="0" layoutInCell="1" allowOverlap="1" wp14:anchorId="2EC27EF9" wp14:editId="3733BE02">
                <wp:simplePos x="0" y="0"/>
                <wp:positionH relativeFrom="column">
                  <wp:posOffset>76835</wp:posOffset>
                </wp:positionH>
                <wp:positionV relativeFrom="paragraph">
                  <wp:posOffset>528955</wp:posOffset>
                </wp:positionV>
                <wp:extent cx="6040120" cy="193040"/>
                <wp:effectExtent l="19050" t="19050" r="17780" b="16510"/>
                <wp:wrapNone/>
                <wp:docPr id="1611891173" name="Rectángulo 5"/>
                <wp:cNvGraphicFramePr/>
                <a:graphic xmlns:a="http://schemas.openxmlformats.org/drawingml/2006/main">
                  <a:graphicData uri="http://schemas.microsoft.com/office/word/2010/wordprocessingShape">
                    <wps:wsp>
                      <wps:cNvSpPr/>
                      <wps:spPr>
                        <a:xfrm>
                          <a:off x="0" y="0"/>
                          <a:ext cx="6040120" cy="19304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4074" id="Rectángulo 5" o:spid="_x0000_s1026" style="position:absolute;margin-left:6.05pt;margin-top:41.65pt;width:475.6pt;height: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" filled="f" strokecolor="#c00000" strokeweight="2.25pt"/>
            </w:pict>
          </mc:Fallback>
        </mc:AlternateContent>
      </w:r>
      <w:r w:rsidRPr="00846A52">
        <w:rPr>
          <w:noProof/>
        </w:rPr>
        <w:drawing>
          <wp:inline distT="0" distB="0" distL="0" distR="0" wp14:anchorId="62B3EE35" wp14:editId="0B827188">
            <wp:extent cx="6116320" cy="726440"/>
            <wp:effectExtent l="0" t="0" r="0" b="0"/>
            <wp:docPr id="900253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3468" name=""/>
                    <pic:cNvPicPr/>
                  </pic:nvPicPr>
                  <pic:blipFill>
                    <a:blip r:embed="rId18"/>
                    <a:stretch>
                      <a:fillRect/>
                    </a:stretch>
                  </pic:blipFill>
                  <pic:spPr>
                    <a:xfrm>
                      <a:off x="0" y="0"/>
                      <a:ext cx="6116320" cy="726440"/>
                    </a:xfrm>
                    <a:prstGeom prst="rect">
                      <a:avLst/>
                    </a:prstGeom>
                  </pic:spPr>
                </pic:pic>
              </a:graphicData>
            </a:graphic>
          </wp:inline>
        </w:drawing>
      </w:r>
    </w:p>
    <w:p w14:paraId="3861F049" w14:textId="77777777" w:rsidR="0011317B" w:rsidRPr="00846A52" w:rsidRDefault="0011317B" w:rsidP="00846A52">
      <w:pPr>
        <w:spacing w:after="0" w:line="312" w:lineRule="auto"/>
      </w:pPr>
    </w:p>
    <w:p w14:paraId="497B0C60" w14:textId="13FC3DD1" w:rsidR="008E1BDD" w:rsidRPr="00846A52" w:rsidRDefault="008E1BDD" w:rsidP="00846A52">
      <w:pPr>
        <w:pStyle w:val="Textoindependiente"/>
        <w:spacing w:after="0" w:line="312" w:lineRule="auto"/>
        <w:rPr>
          <w:sz w:val="22"/>
          <w:szCs w:val="22"/>
        </w:rPr>
      </w:pPr>
      <w:r w:rsidRPr="00846A52">
        <w:rPr>
          <w:sz w:val="22"/>
          <w:szCs w:val="22"/>
        </w:rPr>
        <w:t>Conforme a lo señalado</w:t>
      </w:r>
      <w:r w:rsidR="005A51C5" w:rsidRPr="00846A52">
        <w:rPr>
          <w:sz w:val="22"/>
          <w:szCs w:val="22"/>
        </w:rPr>
        <w:t xml:space="preserve"> anteriormente, en este caso </w:t>
      </w:r>
      <w:r w:rsidRPr="00846A52">
        <w:rPr>
          <w:sz w:val="22"/>
          <w:szCs w:val="22"/>
        </w:rPr>
        <w:t xml:space="preserve">particular, operaría la suma asegurada equivalente a </w:t>
      </w:r>
      <w:r w:rsidR="004B27C5" w:rsidRPr="00846A52">
        <w:rPr>
          <w:b/>
          <w:bCs/>
          <w:sz w:val="22"/>
          <w:szCs w:val="22"/>
        </w:rPr>
        <w:t>MIL MILLONES DE PESOS ($1.000.000.000/MCTE)</w:t>
      </w:r>
      <w:r w:rsidR="004B27C5" w:rsidRPr="00846A52">
        <w:rPr>
          <w:sz w:val="22"/>
          <w:szCs w:val="22"/>
        </w:rPr>
        <w:t xml:space="preserve"> de los cuales </w:t>
      </w:r>
      <w:r w:rsidR="004B27C5" w:rsidRPr="00846A52">
        <w:rPr>
          <w:b/>
          <w:color w:val="auto"/>
          <w:sz w:val="22"/>
          <w:szCs w:val="22"/>
        </w:rPr>
        <w:t xml:space="preserve">LA PREVISORA S.A. COMPAÑÍA DE SEGUROS </w:t>
      </w:r>
      <w:r w:rsidR="004B27C5" w:rsidRPr="00846A52">
        <w:rPr>
          <w:bCs/>
          <w:color w:val="auto"/>
          <w:sz w:val="22"/>
          <w:szCs w:val="22"/>
        </w:rPr>
        <w:t>únicamente responderá por</w:t>
      </w:r>
      <w:r w:rsidR="004B27C5" w:rsidRPr="00846A52">
        <w:rPr>
          <w:b/>
          <w:color w:val="auto"/>
          <w:sz w:val="22"/>
          <w:szCs w:val="22"/>
        </w:rPr>
        <w:t xml:space="preserve"> </w:t>
      </w:r>
      <w:r w:rsidR="004B27C5" w:rsidRPr="00846A52">
        <w:rPr>
          <w:b/>
          <w:color w:val="auto"/>
          <w:sz w:val="22"/>
          <w:szCs w:val="22"/>
          <w:u w:val="single"/>
        </w:rPr>
        <w:t xml:space="preserve">CIENTO VEINTE MILLONES ($120.000.000) </w:t>
      </w:r>
      <w:r w:rsidR="004B27C5" w:rsidRPr="00846A52">
        <w:rPr>
          <w:bCs/>
          <w:color w:val="auto"/>
          <w:sz w:val="22"/>
          <w:szCs w:val="22"/>
        </w:rPr>
        <w:t>correspondientes al</w:t>
      </w:r>
      <w:r w:rsidR="004B27C5" w:rsidRPr="00846A52">
        <w:rPr>
          <w:b/>
          <w:color w:val="auto"/>
          <w:sz w:val="22"/>
          <w:szCs w:val="22"/>
        </w:rPr>
        <w:t xml:space="preserve"> </w:t>
      </w:r>
      <w:r w:rsidR="004B27C5" w:rsidRPr="00846A52">
        <w:rPr>
          <w:b/>
          <w:color w:val="auto"/>
          <w:sz w:val="22"/>
          <w:szCs w:val="22"/>
          <w:u w:val="single"/>
        </w:rPr>
        <w:t>12</w:t>
      </w:r>
      <w:r w:rsidR="00F871C1" w:rsidRPr="00846A52">
        <w:rPr>
          <w:b/>
          <w:color w:val="auto"/>
          <w:sz w:val="22"/>
          <w:szCs w:val="22"/>
          <w:u w:val="single"/>
        </w:rPr>
        <w:t>.00</w:t>
      </w:r>
      <w:r w:rsidR="004B27C5" w:rsidRPr="00846A52">
        <w:rPr>
          <w:b/>
          <w:color w:val="auto"/>
          <w:sz w:val="22"/>
          <w:szCs w:val="22"/>
          <w:u w:val="single"/>
        </w:rPr>
        <w:t>%</w:t>
      </w:r>
      <w:r w:rsidR="004B27C5" w:rsidRPr="00846A52">
        <w:rPr>
          <w:b/>
          <w:color w:val="auto"/>
          <w:sz w:val="22"/>
          <w:szCs w:val="22"/>
        </w:rPr>
        <w:t xml:space="preserve"> </w:t>
      </w:r>
      <w:r w:rsidR="004B27C5" w:rsidRPr="00846A52">
        <w:rPr>
          <w:bCs/>
          <w:color w:val="auto"/>
          <w:sz w:val="22"/>
          <w:szCs w:val="22"/>
        </w:rPr>
        <w:t>del coaseguro aceptado.</w:t>
      </w:r>
      <w:r w:rsidRPr="00846A52">
        <w:rPr>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10968A2E" w14:textId="77777777" w:rsidR="008E1BDD" w:rsidRPr="00846A52" w:rsidRDefault="008E1BDD" w:rsidP="00846A52">
      <w:pPr>
        <w:autoSpaceDE w:val="0"/>
        <w:autoSpaceDN w:val="0"/>
        <w:adjustRightInd w:val="0"/>
        <w:spacing w:after="0" w:line="312" w:lineRule="auto"/>
      </w:pPr>
    </w:p>
    <w:p w14:paraId="7A3FCF3D" w14:textId="77777777" w:rsidR="008E1BDD" w:rsidRPr="00846A52" w:rsidRDefault="008E1BDD" w:rsidP="00846A52">
      <w:pPr>
        <w:autoSpaceDE w:val="0"/>
        <w:autoSpaceDN w:val="0"/>
        <w:adjustRightInd w:val="0"/>
        <w:spacing w:after="0" w:line="312" w:lineRule="auto"/>
      </w:pPr>
      <w:r w:rsidRPr="00846A52">
        <w:lastRenderedPageBreak/>
        <w:t xml:space="preserve">De acuerdo a lo preceptuado en el artículo 1079 del Código de Comercio, el asegurador estará obligado a responder únicamente hasta la </w:t>
      </w:r>
      <w:r w:rsidRPr="00846A52">
        <w:rPr>
          <w:b/>
          <w:bCs/>
          <w:u w:val="single"/>
        </w:rPr>
        <w:t>concurrencia de la suma asegurada</w:t>
      </w:r>
      <w:r w:rsidRPr="00846A52">
        <w:t xml:space="preserve">,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7CFE50C4" w14:textId="77777777" w:rsidR="008E1BDD" w:rsidRPr="00846A52" w:rsidRDefault="008E1BDD" w:rsidP="00846A52">
      <w:pPr>
        <w:pStyle w:val="Textoindependiente"/>
        <w:spacing w:after="0" w:line="312" w:lineRule="auto"/>
        <w:rPr>
          <w:sz w:val="22"/>
          <w:szCs w:val="22"/>
        </w:rPr>
      </w:pPr>
    </w:p>
    <w:p w14:paraId="436D67EA" w14:textId="35901A30" w:rsidR="008E1BDD" w:rsidRPr="00846A52" w:rsidRDefault="008E1BDD" w:rsidP="00846A52">
      <w:pPr>
        <w:spacing w:after="0" w:line="312" w:lineRule="auto"/>
        <w:rPr>
          <w:rFonts w:eastAsia="Calibri"/>
          <w:lang w:val="es-ES"/>
        </w:rPr>
      </w:pPr>
      <w:r w:rsidRPr="00846A52">
        <w:rPr>
          <w:rFonts w:eastAsia="Calibri"/>
          <w:lang w:val="es-ES"/>
        </w:rPr>
        <w:t xml:space="preserve">Por todo lo anterior, comedidamente le solicito al </w:t>
      </w:r>
      <w:r w:rsidR="00123EB9">
        <w:rPr>
          <w:rFonts w:eastAsia="Calibri"/>
          <w:lang w:val="es-ES"/>
        </w:rPr>
        <w:t>órgano de control fiscal</w:t>
      </w:r>
      <w:r w:rsidRPr="00846A52">
        <w:rPr>
          <w:rFonts w:eastAsia="Calibri"/>
          <w:lang w:val="es-ES"/>
        </w:rPr>
        <w:t xml:space="preserve"> tomar en consideración que, sin perjuicio que en el caso bajo análisis no se ha realizado</w:t>
      </w:r>
      <w:r w:rsidR="00123EB9">
        <w:rPr>
          <w:rFonts w:eastAsia="Calibri"/>
          <w:lang w:val="es-ES"/>
        </w:rPr>
        <w:t xml:space="preserve"> el riesgo asegurado, y que el contrato de s</w:t>
      </w:r>
      <w:r w:rsidRPr="00846A52">
        <w:rPr>
          <w:rFonts w:eastAsia="Calibri"/>
          <w:lang w:val="es-ES"/>
        </w:rPr>
        <w:t xml:space="preserve">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1A4708E0" w14:textId="77777777" w:rsidR="0074718C" w:rsidRPr="00846A52" w:rsidRDefault="0074718C" w:rsidP="00846A52">
      <w:pPr>
        <w:spacing w:after="0" w:line="312" w:lineRule="auto"/>
        <w:rPr>
          <w:rFonts w:eastAsia="Calibri"/>
          <w:lang w:val="es-ES"/>
        </w:rPr>
      </w:pPr>
    </w:p>
    <w:p w14:paraId="0C344C60" w14:textId="77777777" w:rsidR="00641943" w:rsidRPr="00846A52" w:rsidRDefault="00641943" w:rsidP="00846A52">
      <w:pPr>
        <w:pStyle w:val="Prrafodelista"/>
        <w:numPr>
          <w:ilvl w:val="0"/>
          <w:numId w:val="24"/>
        </w:numPr>
        <w:spacing w:after="0" w:line="312" w:lineRule="auto"/>
        <w:jc w:val="both"/>
        <w:rPr>
          <w:rFonts w:ascii="Arial" w:hAnsi="Arial" w:cs="Arial"/>
          <w:b/>
          <w:bCs/>
          <w:u w:val="single"/>
        </w:rPr>
      </w:pPr>
      <w:r w:rsidRPr="00846A52">
        <w:rPr>
          <w:rFonts w:ascii="Arial" w:hAnsi="Arial" w:cs="Arial"/>
          <w:b/>
          <w:bCs/>
          <w:u w:val="single"/>
        </w:rPr>
        <w:t xml:space="preserve">DE ACREDITARSE UNA CONDUCTA DOLOSA O GRAVEMENTE CULPOSA EN CABEZA DEL </w:t>
      </w:r>
      <w:r w:rsidRPr="00846A52">
        <w:rPr>
          <w:rFonts w:ascii="Arial" w:hAnsi="Arial" w:cs="Arial"/>
          <w:b/>
          <w:bCs/>
          <w:u w:val="single"/>
          <w:lang w:val="es-ES"/>
        </w:rPr>
        <w:t>PRESUNTO RESPONSABLE</w:t>
      </w:r>
      <w:r w:rsidRPr="00846A52">
        <w:rPr>
          <w:rFonts w:ascii="Arial" w:hAnsi="Arial" w:cs="Arial"/>
          <w:b/>
          <w:bCs/>
          <w:u w:val="single"/>
        </w:rPr>
        <w:t xml:space="preserve">, EN TODO CASO, EL DOLO COMPORTA UN RIESGO INASEGURABLE. </w:t>
      </w:r>
    </w:p>
    <w:p w14:paraId="4D62B306" w14:textId="77777777" w:rsidR="00641943" w:rsidRPr="00846A52" w:rsidRDefault="00641943" w:rsidP="00846A52">
      <w:pPr>
        <w:spacing w:after="0" w:line="312" w:lineRule="auto"/>
        <w:rPr>
          <w:b/>
          <w:i/>
        </w:rPr>
      </w:pPr>
    </w:p>
    <w:p w14:paraId="5E7AD734" w14:textId="413951C7" w:rsidR="00641943" w:rsidRPr="00846A52" w:rsidRDefault="00641943" w:rsidP="00846A52">
      <w:pPr>
        <w:spacing w:after="0" w:line="312" w:lineRule="auto"/>
      </w:pPr>
      <w:r w:rsidRPr="00846A52">
        <w:t xml:space="preserve">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w:t>
      </w:r>
      <w:r w:rsidR="00123EB9">
        <w:t>órgano de control fiscal</w:t>
      </w:r>
      <w:r w:rsidRPr="00846A52">
        <w:t xml:space="preserve"> que, aun en el improbable evento en el que se encuentre acreditada una conducta dolosa o gravemente culposa en cabeza </w:t>
      </w:r>
      <w:r w:rsidR="00623C0D" w:rsidRPr="00846A52">
        <w:t>de los presunto</w:t>
      </w:r>
      <w:r w:rsidR="00123EB9">
        <w:t>s</w:t>
      </w:r>
      <w:r w:rsidR="00623C0D" w:rsidRPr="00846A52">
        <w:t xml:space="preserve"> respons</w:t>
      </w:r>
      <w:r w:rsidR="00123EB9">
        <w:t>ables sobre los cuales se pretende imputar</w:t>
      </w:r>
      <w:r w:rsidR="00623C0D" w:rsidRPr="00846A52">
        <w:t xml:space="preserve"> responsabilidad,</w:t>
      </w:r>
      <w:r w:rsidR="00123EB9">
        <w:t xml:space="preserve"> la compañía a</w:t>
      </w:r>
      <w:r w:rsidRPr="00846A52">
        <w:t>seguradora no está llamada a responder patrimonialmente.</w:t>
      </w:r>
    </w:p>
    <w:p w14:paraId="299EC08E" w14:textId="77777777" w:rsidR="00641943" w:rsidRPr="00846A52" w:rsidRDefault="00641943" w:rsidP="00846A52">
      <w:pPr>
        <w:spacing w:after="0" w:line="312" w:lineRule="auto"/>
      </w:pPr>
    </w:p>
    <w:p w14:paraId="1B79847C" w14:textId="77777777" w:rsidR="00641943" w:rsidRPr="00846A52" w:rsidRDefault="00641943" w:rsidP="00846A52">
      <w:pPr>
        <w:spacing w:after="0" w:line="312" w:lineRule="auto"/>
      </w:pPr>
      <w:r w:rsidRPr="00846A52">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1FDC546D" w14:textId="77777777" w:rsidR="00641943" w:rsidRPr="00846A52" w:rsidRDefault="00641943" w:rsidP="00846A52">
      <w:pPr>
        <w:spacing w:after="0" w:line="312" w:lineRule="auto"/>
      </w:pPr>
    </w:p>
    <w:p w14:paraId="629FA918" w14:textId="77777777" w:rsidR="00641943" w:rsidRPr="00846A52" w:rsidRDefault="00641943" w:rsidP="00846A52">
      <w:pPr>
        <w:pStyle w:val="NormalWeb"/>
        <w:spacing w:before="0" w:beforeAutospacing="0" w:after="0" w:afterAutospacing="0"/>
        <w:ind w:left="851" w:right="1127"/>
        <w:jc w:val="both"/>
        <w:rPr>
          <w:rFonts w:ascii="Arial" w:eastAsiaTheme="minorHAnsi" w:hAnsi="Arial" w:cs="Arial"/>
          <w:sz w:val="22"/>
          <w:szCs w:val="22"/>
          <w:lang w:val="es-CO" w:eastAsia="en-US"/>
        </w:rPr>
      </w:pPr>
      <w:r w:rsidRPr="00846A52">
        <w:rPr>
          <w:rFonts w:ascii="Arial" w:eastAsiaTheme="minorHAnsi" w:hAnsi="Arial" w:cs="Arial"/>
          <w:i/>
          <w:sz w:val="20"/>
          <w:szCs w:val="20"/>
          <w:lang w:val="es-CO" w:eastAsia="en-US"/>
        </w:rPr>
        <w:t>“</w:t>
      </w:r>
      <w:r w:rsidRPr="00846A52">
        <w:rPr>
          <w:rFonts w:ascii="Arial" w:eastAsiaTheme="minorHAnsi" w:hAnsi="Arial" w:cs="Arial"/>
          <w:iCs/>
          <w:sz w:val="20"/>
          <w:szCs w:val="20"/>
          <w:lang w:val="es-CO" w:eastAsia="en-US"/>
        </w:rPr>
        <w:t>ARTÍCULO 1055. &lt;RIESGOS INASEGURABLES&gt;. </w:t>
      </w:r>
      <w:r w:rsidRPr="00846A52">
        <w:rPr>
          <w:rFonts w:ascii="Arial" w:eastAsiaTheme="minorHAnsi" w:hAnsi="Arial" w:cs="Arial"/>
          <w:b/>
          <w:iCs/>
          <w:sz w:val="20"/>
          <w:szCs w:val="20"/>
          <w:u w:val="single"/>
          <w:lang w:val="es-CO" w:eastAsia="en-US"/>
        </w:rPr>
        <w:t>El dolo, la culpa grave</w:t>
      </w:r>
      <w:r w:rsidRPr="00846A52">
        <w:rPr>
          <w:rFonts w:ascii="Arial" w:eastAsiaTheme="minorHAnsi" w:hAnsi="Arial" w:cs="Arial"/>
          <w:iCs/>
          <w:sz w:val="20"/>
          <w:szCs w:val="20"/>
          <w:lang w:val="es-CO" w:eastAsia="en-US"/>
        </w:rPr>
        <w:t xml:space="preserve"> y los actos meramente potestativos del tomador, asegurado o beneficiario </w:t>
      </w:r>
      <w:r w:rsidRPr="00846A52">
        <w:rPr>
          <w:rFonts w:ascii="Arial" w:eastAsiaTheme="minorHAnsi" w:hAnsi="Arial" w:cs="Arial"/>
          <w:b/>
          <w:iCs/>
          <w:sz w:val="20"/>
          <w:szCs w:val="20"/>
          <w:u w:val="single"/>
          <w:lang w:val="es-CO" w:eastAsia="en-US"/>
        </w:rPr>
        <w:t>son inasegurables</w:t>
      </w:r>
      <w:r w:rsidRPr="00846A52">
        <w:rPr>
          <w:rFonts w:ascii="Arial" w:eastAsiaTheme="minorHAnsi" w:hAnsi="Arial" w:cs="Arial"/>
          <w:iCs/>
          <w:sz w:val="20"/>
          <w:szCs w:val="20"/>
          <w:lang w:val="es-CO" w:eastAsia="en-US"/>
        </w:rPr>
        <w:t xml:space="preserve">. </w:t>
      </w:r>
      <w:r w:rsidRPr="00846A52">
        <w:rPr>
          <w:rFonts w:ascii="Arial" w:eastAsiaTheme="minorHAnsi" w:hAnsi="Arial" w:cs="Arial"/>
          <w:b/>
          <w:iCs/>
          <w:sz w:val="20"/>
          <w:szCs w:val="20"/>
          <w:u w:val="single"/>
          <w:lang w:val="es-CO" w:eastAsia="en-US"/>
        </w:rPr>
        <w:t>Cualquier estipulación en contrario no producirá efecto alguno</w:t>
      </w:r>
      <w:r w:rsidRPr="00846A52">
        <w:rPr>
          <w:rFonts w:ascii="Arial" w:eastAsiaTheme="minorHAnsi" w:hAnsi="Arial" w:cs="Arial"/>
          <w:iCs/>
          <w:sz w:val="20"/>
          <w:szCs w:val="20"/>
          <w:lang w:val="es-CO" w:eastAsia="en-US"/>
        </w:rPr>
        <w:t>, tampoco lo producirá la que tenga por objeto amparar al asegurado contra las sanciones de carácter penal o policivo.” (Subrayado y negrilla fuera del texto original)</w:t>
      </w:r>
    </w:p>
    <w:p w14:paraId="2226F335" w14:textId="77777777" w:rsidR="00641943" w:rsidRPr="00846A52" w:rsidRDefault="00641943" w:rsidP="00846A52">
      <w:pPr>
        <w:spacing w:after="0" w:line="312" w:lineRule="auto"/>
        <w:rPr>
          <w:lang w:val="es-ES"/>
        </w:rPr>
      </w:pPr>
    </w:p>
    <w:p w14:paraId="4B4D0AE6" w14:textId="61C69182" w:rsidR="00641943" w:rsidRPr="00846A52" w:rsidRDefault="00641943" w:rsidP="00846A52">
      <w:pPr>
        <w:spacing w:after="0" w:line="312" w:lineRule="auto"/>
      </w:pPr>
      <w:r w:rsidRPr="00846A52">
        <w:t>Por esta razón, en el evento en el que se considere que la actuación del</w:t>
      </w:r>
      <w:r w:rsidRPr="00846A52">
        <w:rPr>
          <w:lang w:val="es-ES"/>
        </w:rPr>
        <w:t xml:space="preserve"> presunto responsable</w:t>
      </w:r>
      <w:r w:rsidRPr="00846A52">
        <w:t xml:space="preserve"> sí se enmarca dentro del dolo o la culpa grave, es claro que no </w:t>
      </w:r>
      <w:r w:rsidR="004B2CB5">
        <w:t>se podrá ordenar hacer efectiva</w:t>
      </w:r>
      <w:r w:rsidR="00623C0D" w:rsidRPr="00846A52">
        <w:t xml:space="preserve"> la </w:t>
      </w:r>
      <w:r w:rsidR="001049E9" w:rsidRPr="000D3A0C">
        <w:rPr>
          <w:b/>
          <w:bCs/>
        </w:rPr>
        <w:t>Póliza de Seguro de Modular Comercial No. 1000074</w:t>
      </w:r>
      <w:r w:rsidR="001049E9" w:rsidRPr="00846A52">
        <w:rPr>
          <w:b/>
          <w:bCs/>
        </w:rPr>
        <w:t xml:space="preserve"> </w:t>
      </w:r>
      <w:r w:rsidRPr="00846A52">
        <w:t>por cuanto dichos riesgos no son asegurables. En consecuencia, aun ante esta remota circ</w:t>
      </w:r>
      <w:r w:rsidR="004B2CB5">
        <w:t>unstancia, el operador fiscal</w:t>
      </w:r>
      <w:r w:rsidRPr="00846A52">
        <w:t xml:space="preserve"> no tiene una alternativa diferente que desvincular a </w:t>
      </w:r>
      <w:bookmarkStart w:id="8" w:name="_Hlk161404275"/>
      <w:r w:rsidR="00A8106B" w:rsidRPr="00846A52">
        <w:rPr>
          <w:b/>
          <w:bCs/>
        </w:rPr>
        <w:t>LA PREVISORA S.A. COMPAÑÍA DE SEGUROS</w:t>
      </w:r>
      <w:bookmarkEnd w:id="8"/>
      <w:r w:rsidR="00A8106B" w:rsidRPr="00846A52">
        <w:rPr>
          <w:b/>
          <w:bCs/>
        </w:rPr>
        <w:t xml:space="preserve"> </w:t>
      </w:r>
      <w:r w:rsidRPr="00846A52">
        <w:t xml:space="preserve">del proceso de responsabilidad fiscal identificado con el expediente No. </w:t>
      </w:r>
      <w:r w:rsidR="001F72CF" w:rsidRPr="00846A52">
        <w:rPr>
          <w:b/>
          <w:color w:val="auto"/>
        </w:rPr>
        <w:t>1900.27.06.24.1696</w:t>
      </w:r>
      <w:r w:rsidRPr="00846A52">
        <w:t xml:space="preserve">, por cuanto, es claro que el dolo y la culpa grave representan hechos no cubiertos ni amparados. </w:t>
      </w:r>
    </w:p>
    <w:p w14:paraId="367306FC" w14:textId="77777777" w:rsidR="00363622" w:rsidRPr="00846A52" w:rsidRDefault="00363622" w:rsidP="00846A52">
      <w:pPr>
        <w:spacing w:after="0" w:line="312" w:lineRule="auto"/>
      </w:pPr>
    </w:p>
    <w:p w14:paraId="7E732B7C" w14:textId="77777777" w:rsidR="00546F23" w:rsidRPr="00846A52" w:rsidRDefault="00546F23" w:rsidP="00846A52">
      <w:pPr>
        <w:pStyle w:val="Prrafodelista"/>
        <w:numPr>
          <w:ilvl w:val="0"/>
          <w:numId w:val="24"/>
        </w:numPr>
        <w:spacing w:after="0" w:line="312" w:lineRule="auto"/>
        <w:ind w:left="284" w:hanging="284"/>
        <w:jc w:val="both"/>
        <w:rPr>
          <w:rFonts w:ascii="Arial" w:hAnsi="Arial" w:cs="Arial"/>
          <w:u w:val="single"/>
        </w:rPr>
      </w:pPr>
      <w:bookmarkStart w:id="9" w:name="_Hlk153290145"/>
      <w:r w:rsidRPr="00846A52">
        <w:rPr>
          <w:rFonts w:ascii="Arial" w:hAnsi="Arial" w:cs="Arial"/>
          <w:b/>
          <w:u w:val="single"/>
        </w:rPr>
        <w:t xml:space="preserve">DISPONIBILIDAD DEL VALOR ASEGURADO </w:t>
      </w:r>
    </w:p>
    <w:p w14:paraId="23583334" w14:textId="77777777" w:rsidR="00546F23" w:rsidRPr="00846A52" w:rsidRDefault="00546F23" w:rsidP="00846A52">
      <w:pPr>
        <w:spacing w:after="0" w:line="312" w:lineRule="auto"/>
      </w:pPr>
      <w:r w:rsidRPr="00846A52">
        <w:rPr>
          <w:b/>
        </w:rPr>
        <w:t xml:space="preserve"> </w:t>
      </w:r>
    </w:p>
    <w:p w14:paraId="09B10ED0" w14:textId="19C91F11" w:rsidR="00546F23" w:rsidRPr="00846A52" w:rsidRDefault="00546F23" w:rsidP="00846A52">
      <w:pPr>
        <w:spacing w:after="0" w:line="312" w:lineRule="auto"/>
      </w:pPr>
      <w:r w:rsidRPr="00846A52">
        <w:t xml:space="preserve">Sin que con el planteamiento de esta excepción se esté aceptando responsabilidad alguna por parte de mi representada, es pertinente manifestar que, conforme a lo dispuesto en el artículo 1111 del </w:t>
      </w:r>
      <w:r w:rsidRPr="00846A52">
        <w:lastRenderedPageBreak/>
        <w:t>Código de Comercio, el valor asegurado de una póliza se reducirá conforme a los siniestros presentados y a los pagos realizados por la aseguradora, por tanto, a medida que se presenten más reclamaciones por personas con igual o mayor derecho y respecto a los mismo</w:t>
      </w:r>
      <w:r w:rsidR="004B2CB5">
        <w:t>s</w:t>
      </w:r>
      <w:r w:rsidRPr="00846A52">
        <w:t xml:space="preserve"> hechos, dicho valor se disminuirá en esos importes, siendo que, si para la fecha de la sentencia y ante una condena, se ha agotado totalmente el valor asegurado, no habrá lugar a obligación indemnizatoria por parte de mi prohijada.  </w:t>
      </w:r>
    </w:p>
    <w:p w14:paraId="18E824E6" w14:textId="77777777" w:rsidR="0049464B" w:rsidRPr="00846A52" w:rsidRDefault="0049464B" w:rsidP="00846A52">
      <w:pPr>
        <w:spacing w:after="0" w:line="312" w:lineRule="auto"/>
      </w:pPr>
    </w:p>
    <w:p w14:paraId="14F3BC81" w14:textId="520911FA" w:rsidR="0049464B" w:rsidRPr="00846A52" w:rsidRDefault="0049464B" w:rsidP="00846A52">
      <w:pPr>
        <w:pStyle w:val="Prrafodelista"/>
        <w:numPr>
          <w:ilvl w:val="0"/>
          <w:numId w:val="24"/>
        </w:numPr>
        <w:spacing w:after="0" w:line="312" w:lineRule="auto"/>
        <w:rPr>
          <w:rFonts w:ascii="Arial" w:hAnsi="Arial" w:cs="Arial"/>
          <w:b/>
          <w:bCs/>
          <w:u w:val="single"/>
        </w:rPr>
      </w:pPr>
      <w:r w:rsidRPr="00846A52">
        <w:rPr>
          <w:rFonts w:ascii="Arial" w:hAnsi="Arial" w:cs="Arial"/>
          <w:b/>
          <w:bCs/>
          <w:u w:val="single"/>
        </w:rPr>
        <w:t>SUBROGACIÓN</w:t>
      </w:r>
    </w:p>
    <w:p w14:paraId="446659AC" w14:textId="77777777" w:rsidR="00D03019" w:rsidRPr="00846A52" w:rsidRDefault="00D03019" w:rsidP="00846A52">
      <w:pPr>
        <w:spacing w:after="0" w:line="312" w:lineRule="auto"/>
      </w:pPr>
    </w:p>
    <w:p w14:paraId="300EE34E" w14:textId="53B985CC" w:rsidR="0049464B" w:rsidRDefault="0049464B" w:rsidP="00846A52">
      <w:pPr>
        <w:spacing w:after="0" w:line="312" w:lineRule="auto"/>
      </w:pPr>
      <w:r w:rsidRPr="00846A52">
        <w:t xml:space="preserve">Sin perjuicio de lo expuesto, debe tenerse en cuenta que en el evento que </w:t>
      </w:r>
      <w:r w:rsidR="00D03019" w:rsidRPr="00846A52">
        <w:rPr>
          <w:b/>
          <w:bCs/>
        </w:rPr>
        <w:t xml:space="preserve">LA PREVISORA S.A. COMPAÑÍA DE SEGUROS </w:t>
      </w:r>
      <w:r w:rsidRPr="00846A52">
        <w:t xml:space="preserve">realice algún pago en virtud de un amparo de la póliza, la compañía tiene derecho a subrogar hasta la concurrencia de la suma indemnizada, en todos los derechos y acciones del asegurado contra las personas responsables del siniestro. Lo anterior, en virtud </w:t>
      </w:r>
      <w:proofErr w:type="gramStart"/>
      <w:r w:rsidRPr="00846A52">
        <w:t>del mismo</w:t>
      </w:r>
      <w:proofErr w:type="gramEnd"/>
      <w:r w:rsidRPr="00846A52">
        <w:t xml:space="preserve"> condicionado de la póliza y en concordancia con el artículo 1096 del </w:t>
      </w:r>
      <w:proofErr w:type="spellStart"/>
      <w:r w:rsidRPr="00846A52">
        <w:t>C.Co</w:t>
      </w:r>
      <w:proofErr w:type="spellEnd"/>
      <w:r w:rsidR="004B2CB5">
        <w:t>.</w:t>
      </w:r>
    </w:p>
    <w:p w14:paraId="7662CEC6" w14:textId="77777777" w:rsidR="00531D28" w:rsidRPr="00846A52" w:rsidRDefault="00531D28" w:rsidP="00846A52">
      <w:pPr>
        <w:spacing w:after="0" w:line="312" w:lineRule="auto"/>
      </w:pPr>
    </w:p>
    <w:bookmarkEnd w:id="9"/>
    <w:p w14:paraId="574450EB" w14:textId="77777777" w:rsidR="008E1BDD" w:rsidRPr="00846A52" w:rsidRDefault="008E1BDD" w:rsidP="00846A52">
      <w:pPr>
        <w:spacing w:after="0" w:line="312" w:lineRule="auto"/>
        <w:ind w:left="19" w:right="3"/>
        <w:rPr>
          <w:rFonts w:eastAsia="Calibri"/>
          <w:lang w:val="es-ES"/>
        </w:rPr>
      </w:pPr>
    </w:p>
    <w:bookmarkEnd w:id="7"/>
    <w:p w14:paraId="54E9F1A2" w14:textId="074BCD2A" w:rsidR="004B5F45" w:rsidRPr="00846A52" w:rsidRDefault="00623C0D" w:rsidP="00846A52">
      <w:pPr>
        <w:spacing w:after="0" w:line="312" w:lineRule="auto"/>
        <w:ind w:left="0"/>
        <w:jc w:val="center"/>
        <w:rPr>
          <w:b/>
          <w:bCs/>
          <w:iCs/>
          <w:u w:val="single"/>
        </w:rPr>
      </w:pPr>
      <w:r w:rsidRPr="00846A52">
        <w:rPr>
          <w:b/>
          <w:bCs/>
          <w:iCs/>
          <w:u w:val="single"/>
        </w:rPr>
        <w:t>CAPÍTULO IV. PETICIONES</w:t>
      </w:r>
    </w:p>
    <w:p w14:paraId="2DE7AD78" w14:textId="77777777" w:rsidR="004B5F45" w:rsidRDefault="004B5F45" w:rsidP="00846A52">
      <w:pPr>
        <w:pStyle w:val="Prrafodelista"/>
        <w:spacing w:after="0" w:line="312" w:lineRule="auto"/>
        <w:ind w:left="1800"/>
        <w:jc w:val="both"/>
        <w:rPr>
          <w:rFonts w:ascii="Arial" w:hAnsi="Arial" w:cs="Arial"/>
          <w:b/>
          <w:bCs/>
          <w:iCs/>
          <w:u w:val="single"/>
        </w:rPr>
      </w:pPr>
    </w:p>
    <w:p w14:paraId="1CEB7360" w14:textId="77777777" w:rsidR="00531D28" w:rsidRPr="00846A52" w:rsidRDefault="00531D28" w:rsidP="00846A52">
      <w:pPr>
        <w:pStyle w:val="Prrafodelista"/>
        <w:spacing w:after="0" w:line="312" w:lineRule="auto"/>
        <w:ind w:left="1800"/>
        <w:jc w:val="both"/>
        <w:rPr>
          <w:rFonts w:ascii="Arial" w:hAnsi="Arial" w:cs="Arial"/>
          <w:b/>
          <w:bCs/>
          <w:iCs/>
          <w:u w:val="single"/>
        </w:rPr>
      </w:pPr>
    </w:p>
    <w:p w14:paraId="2BF6915D" w14:textId="0F4ECCE9" w:rsidR="004B5F45" w:rsidRPr="00846A52" w:rsidRDefault="00DC4A1B" w:rsidP="00846A52">
      <w:pPr>
        <w:spacing w:after="0" w:line="312" w:lineRule="auto"/>
        <w:rPr>
          <w:b/>
          <w:bCs/>
        </w:rPr>
      </w:pPr>
      <w:r w:rsidRPr="00846A52">
        <w:rPr>
          <w:b/>
          <w:bCs/>
        </w:rPr>
        <w:t>PRIMERO:</w:t>
      </w:r>
      <w:r w:rsidRPr="00846A52">
        <w:t xml:space="preserve"> </w:t>
      </w:r>
      <w:r w:rsidR="004B5F45" w:rsidRPr="00846A52">
        <w:t xml:space="preserve">Comedidamente, solicito se </w:t>
      </w:r>
      <w:r w:rsidR="004B5F45" w:rsidRPr="00846A52">
        <w:rPr>
          <w:b/>
          <w:bCs/>
          <w:u w:val="single"/>
        </w:rPr>
        <w:t>DESESTIME</w:t>
      </w:r>
      <w:r w:rsidR="004B5F45" w:rsidRPr="00846A52">
        <w:t xml:space="preserve"> la declaratoria de responsabilidad fiscal en contra del</w:t>
      </w:r>
      <w:r w:rsidR="007A4818" w:rsidRPr="00846A52">
        <w:t xml:space="preserve"> señor</w:t>
      </w:r>
      <w:r w:rsidR="007A4818" w:rsidRPr="00846A52">
        <w:rPr>
          <w:b/>
          <w:bCs/>
        </w:rPr>
        <w:t xml:space="preserve"> </w:t>
      </w:r>
      <w:r w:rsidR="001656DA" w:rsidRPr="00846A52">
        <w:rPr>
          <w:b/>
          <w:bCs/>
        </w:rPr>
        <w:t>CARLOS ALBERTO DIAGO ÁLZATE</w:t>
      </w:r>
      <w:r w:rsidR="001656DA" w:rsidRPr="00846A52">
        <w:t xml:space="preserve"> </w:t>
      </w:r>
      <w:r w:rsidR="004B5F45" w:rsidRPr="00846A52">
        <w:rPr>
          <w:lang w:val="es-ES"/>
        </w:rPr>
        <w:t xml:space="preserve">y consecuentemente se </w:t>
      </w:r>
      <w:r w:rsidR="004B5F45" w:rsidRPr="00846A52">
        <w:rPr>
          <w:b/>
          <w:bCs/>
          <w:u w:val="single"/>
          <w:lang w:val="es-ES"/>
        </w:rPr>
        <w:t>ORDENE EL ARCHIVO</w:t>
      </w:r>
      <w:r w:rsidR="004B5F45" w:rsidRPr="00846A52">
        <w:rPr>
          <w:lang w:val="es-ES"/>
        </w:rPr>
        <w:t xml:space="preserve"> del proceso identificado con el número </w:t>
      </w:r>
      <w:r w:rsidR="00870637" w:rsidRPr="00846A52">
        <w:rPr>
          <w:b/>
          <w:color w:val="auto"/>
        </w:rPr>
        <w:t xml:space="preserve">1900.27.06.24.1696 </w:t>
      </w:r>
      <w:r w:rsidR="004B5F45" w:rsidRPr="00846A52">
        <w:rPr>
          <w:lang w:val="es-ES"/>
        </w:rPr>
        <w:t>que cursa actualmente en</w:t>
      </w:r>
      <w:r w:rsidR="00C0107E" w:rsidRPr="00846A52">
        <w:rPr>
          <w:lang w:val="es-ES"/>
        </w:rPr>
        <w:t xml:space="preserve"> la</w:t>
      </w:r>
      <w:r w:rsidR="004B5F45" w:rsidRPr="00846A52">
        <w:rPr>
          <w:lang w:val="es-ES"/>
        </w:rPr>
        <w:t xml:space="preserve"> </w:t>
      </w:r>
      <w:r w:rsidR="004B5F45" w:rsidRPr="00846A52">
        <w:rPr>
          <w:b/>
          <w:bCs/>
        </w:rPr>
        <w:t xml:space="preserve">CONTRALORÍA GENERAL </w:t>
      </w:r>
      <w:r w:rsidR="007A4818" w:rsidRPr="00846A52">
        <w:rPr>
          <w:b/>
          <w:bCs/>
        </w:rPr>
        <w:t xml:space="preserve">DE </w:t>
      </w:r>
      <w:r w:rsidR="00E41A63" w:rsidRPr="00846A52">
        <w:rPr>
          <w:b/>
          <w:bCs/>
        </w:rPr>
        <w:t>SANTIAGO DE CALI</w:t>
      </w:r>
      <w:r w:rsidR="004B5F45" w:rsidRPr="00846A52">
        <w:rPr>
          <w:lang w:val="es-ES"/>
        </w:rPr>
        <w:t xml:space="preserve"> por cuanto de los elementos probatorios que obran</w:t>
      </w:r>
      <w:r w:rsidR="00C0107E" w:rsidRPr="00846A52">
        <w:rPr>
          <w:lang w:val="es-ES"/>
        </w:rPr>
        <w:t xml:space="preserve"> en el plenario, no se acredita</w:t>
      </w:r>
      <w:r w:rsidR="004B5F45" w:rsidRPr="00846A52">
        <w:rPr>
          <w:lang w:val="es-ES"/>
        </w:rPr>
        <w:t xml:space="preserve"> de ninguna manera los elementos constitutivos de la responsabilidad fiscal, esto es, no se demuestra un patrón de conducta doloso o </w:t>
      </w:r>
      <w:r w:rsidR="00C0107E" w:rsidRPr="00846A52">
        <w:rPr>
          <w:lang w:val="es-ES"/>
        </w:rPr>
        <w:t>gravemente culposo en cabeza de los</w:t>
      </w:r>
      <w:r w:rsidR="004B5F45" w:rsidRPr="00846A52">
        <w:rPr>
          <w:lang w:val="es-ES"/>
        </w:rPr>
        <w:t xml:space="preserve"> presunto</w:t>
      </w:r>
      <w:r w:rsidR="00C0107E" w:rsidRPr="00846A52">
        <w:rPr>
          <w:lang w:val="es-ES"/>
        </w:rPr>
        <w:t>s</w:t>
      </w:r>
      <w:r w:rsidR="004B5F45" w:rsidRPr="00846A52">
        <w:rPr>
          <w:lang w:val="es-ES"/>
        </w:rPr>
        <w:t xml:space="preserve"> responsable</w:t>
      </w:r>
      <w:r w:rsidR="004B2CB5">
        <w:rPr>
          <w:lang w:val="es-ES"/>
        </w:rPr>
        <w:t>s</w:t>
      </w:r>
      <w:r w:rsidR="004B5F45" w:rsidRPr="00846A52">
        <w:rPr>
          <w:lang w:val="es-ES"/>
        </w:rPr>
        <w:t xml:space="preserve">, ni un daño causado al patrimonio de la administración pública. </w:t>
      </w:r>
    </w:p>
    <w:p w14:paraId="2D335C2D" w14:textId="77777777" w:rsidR="004B5F45" w:rsidRPr="00846A52" w:rsidRDefault="004B5F45" w:rsidP="00846A52">
      <w:pPr>
        <w:pStyle w:val="Sinespaciado"/>
        <w:spacing w:line="312" w:lineRule="auto"/>
        <w:ind w:left="284"/>
        <w:jc w:val="both"/>
        <w:rPr>
          <w:rFonts w:ascii="Arial" w:hAnsi="Arial" w:cs="Arial"/>
        </w:rPr>
      </w:pPr>
    </w:p>
    <w:p w14:paraId="6418CD18" w14:textId="6E44EE99" w:rsidR="004B5F45" w:rsidRPr="00846A52" w:rsidRDefault="00DC4A1B" w:rsidP="00846A52">
      <w:pPr>
        <w:spacing w:after="0" w:line="312" w:lineRule="auto"/>
        <w:rPr>
          <w:b/>
          <w:bCs/>
        </w:rPr>
      </w:pPr>
      <w:r w:rsidRPr="00846A52">
        <w:rPr>
          <w:b/>
          <w:bCs/>
        </w:rPr>
        <w:t>SEGUNDO:</w:t>
      </w:r>
      <w:r w:rsidRPr="00846A52">
        <w:t xml:space="preserve"> </w:t>
      </w:r>
      <w:r w:rsidR="00823149" w:rsidRPr="00846A52">
        <w:t xml:space="preserve">Comedidamente, solicito se </w:t>
      </w:r>
      <w:r w:rsidR="00823149" w:rsidRPr="00846A52">
        <w:rPr>
          <w:b/>
          <w:bCs/>
          <w:u w:val="single"/>
        </w:rPr>
        <w:t>ORDENE LA</w:t>
      </w:r>
      <w:r w:rsidR="00823149" w:rsidRPr="00846A52">
        <w:rPr>
          <w:u w:val="single"/>
        </w:rPr>
        <w:t xml:space="preserve"> </w:t>
      </w:r>
      <w:r w:rsidR="00823149" w:rsidRPr="00846A52">
        <w:rPr>
          <w:b/>
          <w:bCs/>
          <w:u w:val="single"/>
        </w:rPr>
        <w:t>DESVINCULACIÓN</w:t>
      </w:r>
      <w:r w:rsidR="00823149" w:rsidRPr="00846A52">
        <w:t xml:space="preserve"> </w:t>
      </w:r>
      <w:r w:rsidR="00823149" w:rsidRPr="00846A52">
        <w:rPr>
          <w:b/>
          <w:bCs/>
        </w:rPr>
        <w:t xml:space="preserve">de </w:t>
      </w:r>
      <w:r w:rsidR="00261421" w:rsidRPr="00846A52">
        <w:rPr>
          <w:b/>
          <w:bCs/>
        </w:rPr>
        <w:t xml:space="preserve">LA PREVISORA S.A. COMPAÑÍA DE SEGUROS </w:t>
      </w:r>
      <w:r w:rsidR="00823149" w:rsidRPr="00846A52">
        <w:t xml:space="preserve">como tercero garante, ya que </w:t>
      </w:r>
      <w:r w:rsidR="00823149" w:rsidRPr="00846A52">
        <w:rPr>
          <w:color w:val="000000" w:themeColor="text1"/>
          <w:lang w:val="es-ES"/>
        </w:rPr>
        <w:t>existen una diversidad de argumentos fácticos y jurídicos que demuestran, efectivamente, que</w:t>
      </w:r>
      <w:r w:rsidR="002E42BE" w:rsidRPr="00846A52">
        <w:rPr>
          <w:color w:val="000000" w:themeColor="text1"/>
          <w:lang w:val="es-ES"/>
        </w:rPr>
        <w:t xml:space="preserve"> no se realizó el riesgo asegurado concertado en</w:t>
      </w:r>
      <w:r w:rsidR="00823149" w:rsidRPr="00846A52">
        <w:rPr>
          <w:color w:val="000000" w:themeColor="text1"/>
          <w:lang w:val="es-ES"/>
        </w:rPr>
        <w:t xml:space="preserve"> </w:t>
      </w:r>
      <w:r w:rsidR="00823149" w:rsidRPr="00846A52">
        <w:t xml:space="preserve">la </w:t>
      </w:r>
      <w:r w:rsidR="002E42BE" w:rsidRPr="000D3A0C">
        <w:rPr>
          <w:b/>
          <w:bCs/>
        </w:rPr>
        <w:t>Póliza de Seguro de Modular Comercial No. 1000074</w:t>
      </w:r>
      <w:r w:rsidR="002E42BE" w:rsidRPr="00846A52">
        <w:rPr>
          <w:b/>
          <w:bCs/>
        </w:rPr>
        <w:t>.</w:t>
      </w:r>
    </w:p>
    <w:p w14:paraId="78590BCC" w14:textId="77777777" w:rsidR="00DC4A1B" w:rsidRPr="00846A52" w:rsidRDefault="00DC4A1B" w:rsidP="00846A52">
      <w:pPr>
        <w:spacing w:after="0" w:line="312" w:lineRule="auto"/>
        <w:rPr>
          <w:b/>
          <w:bCs/>
        </w:rPr>
      </w:pPr>
    </w:p>
    <w:p w14:paraId="1F986444" w14:textId="051C7F8A" w:rsidR="0019083A" w:rsidRPr="00846A52" w:rsidRDefault="00DC4A1B" w:rsidP="00846A52">
      <w:pPr>
        <w:spacing w:after="0" w:line="312" w:lineRule="auto"/>
      </w:pPr>
      <w:r w:rsidRPr="00846A52">
        <w:rPr>
          <w:b/>
          <w:bCs/>
        </w:rPr>
        <w:t xml:space="preserve">TERCERO: </w:t>
      </w:r>
      <w:r w:rsidR="002E42BE" w:rsidRPr="00846A52">
        <w:t>En el remoto evento que se declare</w:t>
      </w:r>
      <w:r w:rsidR="004B2CB5">
        <w:t xml:space="preserve"> como responsable fiscal</w:t>
      </w:r>
      <w:r w:rsidR="002E42BE" w:rsidRPr="00846A52">
        <w:t xml:space="preserve"> a </w:t>
      </w:r>
      <w:r w:rsidR="009E4326" w:rsidRPr="00846A52">
        <w:t xml:space="preserve">la empresa </w:t>
      </w:r>
      <w:r w:rsidR="009E4326" w:rsidRPr="00846A52">
        <w:rPr>
          <w:b/>
          <w:bCs/>
        </w:rPr>
        <w:t>EQUIVER S.A.S</w:t>
      </w:r>
      <w:r w:rsidR="009E4326" w:rsidRPr="00846A52">
        <w:t xml:space="preserve"> deberá tenerse </w:t>
      </w:r>
      <w:r w:rsidR="00605ECA" w:rsidRPr="00846A52">
        <w:t>en cuenta</w:t>
      </w:r>
      <w:r w:rsidR="009E4326" w:rsidRPr="00846A52">
        <w:t xml:space="preserve"> que</w:t>
      </w:r>
      <w:r w:rsidR="00605ECA" w:rsidRPr="00846A52">
        <w:t xml:space="preserve"> </w:t>
      </w:r>
      <w:r w:rsidR="00605ECA" w:rsidRPr="00846A52">
        <w:rPr>
          <w:b/>
          <w:bCs/>
          <w:u w:val="single"/>
        </w:rPr>
        <w:t>NO se podrá afectar</w:t>
      </w:r>
      <w:r w:rsidR="009E4326" w:rsidRPr="00846A52">
        <w:t xml:space="preserve"> </w:t>
      </w:r>
      <w:r w:rsidR="00605ECA" w:rsidRPr="00846A52">
        <w:t xml:space="preserve">la </w:t>
      </w:r>
      <w:r w:rsidR="00605ECA" w:rsidRPr="000D3A0C">
        <w:t>Póliza de Seguro de Modular Comercial No. 1000074</w:t>
      </w:r>
      <w:r w:rsidR="00605ECA" w:rsidRPr="00846A52">
        <w:t xml:space="preserve"> toda vez que no figu</w:t>
      </w:r>
      <w:r w:rsidR="004B2CB5">
        <w:t>ra como parte de los trabajadores</w:t>
      </w:r>
      <w:r w:rsidR="00605ECA" w:rsidRPr="00846A52">
        <w:t xml:space="preserve">, empleados o servidores públicos amparados en este contrato de seguro. </w:t>
      </w:r>
    </w:p>
    <w:p w14:paraId="38FE3196" w14:textId="77777777" w:rsidR="002E42BE" w:rsidRPr="00846A52" w:rsidRDefault="002E42BE" w:rsidP="00846A52">
      <w:pPr>
        <w:spacing w:after="0" w:line="312" w:lineRule="auto"/>
        <w:rPr>
          <w:b/>
          <w:bCs/>
        </w:rPr>
      </w:pPr>
    </w:p>
    <w:p w14:paraId="2D8792CB" w14:textId="48D236C4" w:rsidR="002E42BE" w:rsidRPr="00846A52" w:rsidRDefault="00605ECA" w:rsidP="00846A52">
      <w:pPr>
        <w:spacing w:after="0" w:line="312" w:lineRule="auto"/>
      </w:pPr>
      <w:r w:rsidRPr="00846A52">
        <w:rPr>
          <w:b/>
          <w:bCs/>
        </w:rPr>
        <w:t>CUARTO:</w:t>
      </w:r>
      <w:r w:rsidR="00993464" w:rsidRPr="00846A52">
        <w:rPr>
          <w:b/>
          <w:bCs/>
        </w:rPr>
        <w:t xml:space="preserve"> </w:t>
      </w:r>
      <w:r w:rsidR="00993464" w:rsidRPr="00846A52">
        <w:t xml:space="preserve">Deberá tenerse </w:t>
      </w:r>
      <w:r w:rsidR="009E0678" w:rsidRPr="00846A52">
        <w:t>en cuenta</w:t>
      </w:r>
      <w:r w:rsidR="00993464" w:rsidRPr="00846A52">
        <w:t xml:space="preserve"> que</w:t>
      </w:r>
      <w:r w:rsidR="004B2CB5">
        <w:t xml:space="preserve"> el</w:t>
      </w:r>
      <w:r w:rsidR="00993464" w:rsidRPr="00846A52">
        <w:t xml:space="preserve"> límite máximo de la compañía </w:t>
      </w:r>
      <w:r w:rsidR="00DB2A50" w:rsidRPr="00846A52">
        <w:t xml:space="preserve">es del 12.00% del valor del detrimento </w:t>
      </w:r>
      <w:r w:rsidR="009E0678" w:rsidRPr="00846A52">
        <w:t>patrimonial, e</w:t>
      </w:r>
      <w:r w:rsidR="00DB2A50" w:rsidRPr="00846A52">
        <w:t>s decir</w:t>
      </w:r>
      <w:r w:rsidR="004B2CB5">
        <w:t>,</w:t>
      </w:r>
      <w:r w:rsidR="00DB2A50" w:rsidRPr="00846A52">
        <w:t xml:space="preserve"> que única y exclusivamente</w:t>
      </w:r>
      <w:r w:rsidR="004B2CB5">
        <w:t>, ante una remota condena como tercero civilmente responsable,</w:t>
      </w:r>
      <w:r w:rsidR="00DB2A50" w:rsidRPr="00846A52">
        <w:t xml:space="preserve"> podrá </w:t>
      </w:r>
      <w:r w:rsidR="009E0678" w:rsidRPr="00846A52">
        <w:t>responder</w:t>
      </w:r>
      <w:r w:rsidR="00DB2A50" w:rsidRPr="00846A52">
        <w:t xml:space="preserve"> por la suma de </w:t>
      </w:r>
      <w:r w:rsidR="00221BC1" w:rsidRPr="00846A52">
        <w:rPr>
          <w:b/>
          <w:bCs/>
        </w:rPr>
        <w:t xml:space="preserve">CIENTO </w:t>
      </w:r>
      <w:r w:rsidR="009E0678" w:rsidRPr="00846A52">
        <w:rPr>
          <w:b/>
          <w:bCs/>
        </w:rPr>
        <w:t>DIECIOCHO MIL QUINIENTOS ONCE PESOS ($118.511MCTE).</w:t>
      </w:r>
    </w:p>
    <w:p w14:paraId="2A5ABEE8" w14:textId="77777777" w:rsidR="002E42BE" w:rsidRDefault="002E42BE" w:rsidP="00846A52">
      <w:pPr>
        <w:spacing w:after="0" w:line="312" w:lineRule="auto"/>
        <w:rPr>
          <w:b/>
          <w:bCs/>
        </w:rPr>
      </w:pPr>
    </w:p>
    <w:p w14:paraId="4E97DBC3" w14:textId="77777777" w:rsidR="00531D28" w:rsidRDefault="00531D28" w:rsidP="00846A52">
      <w:pPr>
        <w:spacing w:after="0" w:line="312" w:lineRule="auto"/>
        <w:rPr>
          <w:b/>
          <w:bCs/>
        </w:rPr>
      </w:pPr>
    </w:p>
    <w:p w14:paraId="72B43776" w14:textId="77777777" w:rsidR="00531D28" w:rsidRPr="00846A52" w:rsidRDefault="00531D28" w:rsidP="00846A52">
      <w:pPr>
        <w:spacing w:after="0" w:line="312" w:lineRule="auto"/>
        <w:rPr>
          <w:b/>
          <w:bCs/>
        </w:rPr>
      </w:pPr>
    </w:p>
    <w:p w14:paraId="4893E1E5" w14:textId="77777777" w:rsidR="0019083A" w:rsidRPr="00846A52" w:rsidRDefault="0019083A" w:rsidP="004B2CB5">
      <w:pPr>
        <w:spacing w:after="0" w:line="312" w:lineRule="auto"/>
        <w:ind w:left="0" w:firstLine="0"/>
      </w:pPr>
    </w:p>
    <w:p w14:paraId="6026D6AC" w14:textId="5A052E7C" w:rsidR="004B5F45" w:rsidRPr="00846A52" w:rsidRDefault="00E96234" w:rsidP="00846A52">
      <w:pPr>
        <w:spacing w:after="0" w:line="312" w:lineRule="auto"/>
        <w:ind w:left="0"/>
        <w:jc w:val="center"/>
        <w:rPr>
          <w:b/>
          <w:bCs/>
          <w:iCs/>
          <w:u w:val="single"/>
        </w:rPr>
      </w:pPr>
      <w:r w:rsidRPr="00846A52">
        <w:rPr>
          <w:b/>
          <w:iCs/>
          <w:u w:val="single"/>
        </w:rPr>
        <w:lastRenderedPageBreak/>
        <w:t>CAPÍTULO V. MEDIOS DE PRUEBA</w:t>
      </w:r>
    </w:p>
    <w:p w14:paraId="4D06806A" w14:textId="77777777" w:rsidR="004B5F45" w:rsidRPr="00846A52" w:rsidRDefault="004B5F45" w:rsidP="00846A52">
      <w:pPr>
        <w:spacing w:after="0" w:line="312" w:lineRule="auto"/>
        <w:rPr>
          <w:b/>
          <w:bCs/>
          <w:iCs/>
        </w:rPr>
      </w:pPr>
    </w:p>
    <w:p w14:paraId="0D794CFC" w14:textId="77777777" w:rsidR="004B5F45" w:rsidRPr="00846A52" w:rsidRDefault="004B5F45" w:rsidP="00846A52">
      <w:pPr>
        <w:spacing w:after="0" w:line="312" w:lineRule="auto"/>
        <w:rPr>
          <w:b/>
          <w:iCs/>
        </w:rPr>
      </w:pPr>
      <w:r w:rsidRPr="00846A52">
        <w:rPr>
          <w:iCs/>
        </w:rPr>
        <w:t xml:space="preserve">Solicito respetuosamente se decreten como pruebas las siguientes: </w:t>
      </w:r>
    </w:p>
    <w:p w14:paraId="018B174C" w14:textId="77777777" w:rsidR="004B5F45" w:rsidRPr="00846A52" w:rsidRDefault="004B5F45" w:rsidP="00846A52">
      <w:pPr>
        <w:spacing w:after="0" w:line="312" w:lineRule="auto"/>
        <w:rPr>
          <w:b/>
          <w:bCs/>
          <w:iCs/>
        </w:rPr>
      </w:pPr>
    </w:p>
    <w:p w14:paraId="5009777B" w14:textId="77777777" w:rsidR="004B5F45" w:rsidRPr="00846A52" w:rsidRDefault="004B5F45" w:rsidP="00846A52">
      <w:pPr>
        <w:pStyle w:val="Prrafodelista"/>
        <w:numPr>
          <w:ilvl w:val="0"/>
          <w:numId w:val="27"/>
        </w:numPr>
        <w:spacing w:after="0" w:line="312" w:lineRule="auto"/>
        <w:ind w:left="567" w:hanging="283"/>
        <w:rPr>
          <w:rFonts w:ascii="Arial" w:hAnsi="Arial" w:cs="Arial"/>
          <w:b/>
          <w:bCs/>
          <w:iCs/>
          <w:u w:val="single"/>
        </w:rPr>
      </w:pPr>
      <w:r w:rsidRPr="00846A52">
        <w:rPr>
          <w:rFonts w:ascii="Arial" w:hAnsi="Arial" w:cs="Arial"/>
          <w:b/>
          <w:iCs/>
          <w:u w:val="single"/>
        </w:rPr>
        <w:t>DOCUMENTALES</w:t>
      </w:r>
    </w:p>
    <w:p w14:paraId="16397E5B" w14:textId="77777777" w:rsidR="004B5F45" w:rsidRPr="00846A52" w:rsidRDefault="004B5F45" w:rsidP="00846A52">
      <w:pPr>
        <w:pStyle w:val="Textoindependiente"/>
        <w:spacing w:after="0" w:line="312" w:lineRule="auto"/>
        <w:rPr>
          <w:iCs/>
        </w:rPr>
      </w:pPr>
    </w:p>
    <w:p w14:paraId="29A4E4FB" w14:textId="6763AB8E" w:rsidR="0089662B" w:rsidRPr="00846A52" w:rsidRDefault="004B5F45" w:rsidP="00846A52">
      <w:pPr>
        <w:spacing w:after="0" w:line="312" w:lineRule="auto"/>
      </w:pPr>
      <w:r w:rsidRPr="00846A52">
        <w:t>Copia de</w:t>
      </w:r>
      <w:r w:rsidR="005A7680" w:rsidRPr="00846A52">
        <w:rPr>
          <w:b/>
          <w:bCs/>
        </w:rPr>
        <w:t xml:space="preserve"> </w:t>
      </w:r>
      <w:r w:rsidR="005A7680" w:rsidRPr="00846A52">
        <w:t xml:space="preserve">la </w:t>
      </w:r>
      <w:r w:rsidR="00BE0BD2" w:rsidRPr="000D3A0C">
        <w:rPr>
          <w:b/>
          <w:bCs/>
        </w:rPr>
        <w:t>Póliza de Seguro de Modular Comercial No. 1000074</w:t>
      </w:r>
      <w:r w:rsidR="00BE0BD2" w:rsidRPr="00846A52">
        <w:rPr>
          <w:b/>
          <w:bCs/>
        </w:rPr>
        <w:t xml:space="preserve"> </w:t>
      </w:r>
      <w:r w:rsidR="00BE0BD2" w:rsidRPr="00846A52">
        <w:t>cuya vigencia corrió desde el 29 de febrero de 2024 al 16 de octubre de 2024 con prórroga hasta el 15 de noviembre de 2024</w:t>
      </w:r>
      <w:r w:rsidR="004B2CB5">
        <w:t>, con su condicionado particular y general</w:t>
      </w:r>
    </w:p>
    <w:p w14:paraId="09323BFC" w14:textId="77777777" w:rsidR="00C0107E" w:rsidRPr="00846A52" w:rsidRDefault="00C0107E" w:rsidP="00846A52">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4771F25C" w14:textId="2DAB4056" w:rsidR="004B5F45" w:rsidRPr="00846A52" w:rsidRDefault="00E96234" w:rsidP="00846A52">
      <w:pPr>
        <w:spacing w:after="0" w:line="312" w:lineRule="auto"/>
        <w:ind w:left="0"/>
        <w:jc w:val="center"/>
        <w:rPr>
          <w:b/>
          <w:bCs/>
          <w:u w:val="single"/>
        </w:rPr>
      </w:pPr>
      <w:r w:rsidRPr="00846A52">
        <w:rPr>
          <w:b/>
          <w:u w:val="single"/>
        </w:rPr>
        <w:t xml:space="preserve">CAPÍTULO VI. </w:t>
      </w:r>
      <w:r w:rsidR="004B5F45" w:rsidRPr="00846A52">
        <w:rPr>
          <w:b/>
          <w:u w:val="single"/>
        </w:rPr>
        <w:t>NOTIFICACIONES</w:t>
      </w:r>
    </w:p>
    <w:p w14:paraId="796B8D55" w14:textId="77777777" w:rsidR="004B5F45" w:rsidRPr="00846A52" w:rsidRDefault="004B5F45" w:rsidP="00846A52">
      <w:pPr>
        <w:pStyle w:val="Prrafodelista"/>
        <w:spacing w:after="0" w:line="312" w:lineRule="auto"/>
        <w:ind w:left="1080"/>
        <w:jc w:val="both"/>
        <w:rPr>
          <w:rFonts w:ascii="Arial" w:hAnsi="Arial" w:cs="Arial"/>
          <w:b/>
          <w:bCs/>
          <w:u w:val="single"/>
        </w:rPr>
      </w:pPr>
    </w:p>
    <w:p w14:paraId="2E19F4E2" w14:textId="347E3045" w:rsidR="004B5F45" w:rsidRPr="00846A52" w:rsidRDefault="00C0107E" w:rsidP="00846A52">
      <w:pPr>
        <w:spacing w:after="0" w:line="312" w:lineRule="auto"/>
        <w:rPr>
          <w:lang w:val="en-US"/>
        </w:rPr>
      </w:pPr>
      <w:r w:rsidRPr="00846A52">
        <w:t>Mi procurada y e</w:t>
      </w:r>
      <w:r w:rsidR="004B5F45" w:rsidRPr="00846A52">
        <w:t xml:space="preserve">l suscrito, en la Avenida 6A Bis No. 35N-100, Centro Empresarial Chipichape, Oficina 212 de la ciudad de Cali. </w:t>
      </w:r>
      <w:r w:rsidR="004B5F45" w:rsidRPr="00846A52">
        <w:rPr>
          <w:lang w:val="en-US"/>
        </w:rPr>
        <w:t xml:space="preserve">Email: </w:t>
      </w:r>
      <w:hyperlink r:id="rId19" w:history="1">
        <w:r w:rsidR="004B5F45" w:rsidRPr="00846A52">
          <w:rPr>
            <w:rStyle w:val="Hipervnculo"/>
            <w:lang w:val="en-US"/>
          </w:rPr>
          <w:t>notificaciones@gha.com.co</w:t>
        </w:r>
      </w:hyperlink>
    </w:p>
    <w:p w14:paraId="34D45772" w14:textId="77777777" w:rsidR="004B5F45" w:rsidRPr="00846A52" w:rsidRDefault="004B5F45" w:rsidP="00846A52">
      <w:pPr>
        <w:spacing w:after="0" w:line="312" w:lineRule="auto"/>
      </w:pPr>
    </w:p>
    <w:p w14:paraId="7B97AF4F" w14:textId="77777777" w:rsidR="00C0107E" w:rsidRPr="00846A52" w:rsidRDefault="004B5F45" w:rsidP="00846A52">
      <w:pPr>
        <w:spacing w:after="0" w:line="312" w:lineRule="auto"/>
        <w:contextualSpacing/>
      </w:pPr>
      <w:r w:rsidRPr="00846A52">
        <w:t xml:space="preserve">Del Señor Contralor, </w:t>
      </w:r>
    </w:p>
    <w:p w14:paraId="376A7584" w14:textId="77777777" w:rsidR="00C0107E" w:rsidRPr="00846A52" w:rsidRDefault="00C0107E" w:rsidP="00846A52">
      <w:pPr>
        <w:spacing w:after="0" w:line="312" w:lineRule="auto"/>
        <w:contextualSpacing/>
      </w:pPr>
    </w:p>
    <w:p w14:paraId="339EDB50" w14:textId="6067A275" w:rsidR="004B5F45" w:rsidRPr="00846A52" w:rsidRDefault="004B5F45" w:rsidP="00F9352F">
      <w:pPr>
        <w:spacing w:after="0" w:line="312" w:lineRule="auto"/>
        <w:contextualSpacing/>
        <w:rPr>
          <w:rFonts w:eastAsia="Times New Roman"/>
          <w:bCs/>
        </w:rPr>
      </w:pPr>
      <w:r w:rsidRPr="00846A52">
        <w:t>Atentamente,</w:t>
      </w:r>
    </w:p>
    <w:p w14:paraId="705060BB" w14:textId="7702ADCE" w:rsidR="004B5F45" w:rsidRPr="00846A52" w:rsidRDefault="00F9352F" w:rsidP="00846A52">
      <w:pPr>
        <w:spacing w:after="0" w:line="312" w:lineRule="auto"/>
        <w:ind w:right="-113"/>
        <w:rPr>
          <w:rFonts w:eastAsia="Times New Roman"/>
          <w:bCs/>
        </w:rPr>
      </w:pPr>
      <w:r w:rsidRPr="00846A52">
        <w:rPr>
          <w:noProof/>
        </w:rPr>
        <w:drawing>
          <wp:anchor distT="0" distB="0" distL="114300" distR="114300" simplePos="0" relativeHeight="251663360" behindDoc="1" locked="0" layoutInCell="1" allowOverlap="1" wp14:anchorId="5584B884" wp14:editId="50F18D09">
            <wp:simplePos x="0" y="0"/>
            <wp:positionH relativeFrom="margin">
              <wp:posOffset>0</wp:posOffset>
            </wp:positionH>
            <wp:positionV relativeFrom="paragraph">
              <wp:posOffset>132080</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69BC983" w14:textId="77777777" w:rsidR="004B5F45" w:rsidRPr="00846A52" w:rsidRDefault="004B5F45" w:rsidP="00846A52">
      <w:pPr>
        <w:spacing w:after="0" w:line="312" w:lineRule="auto"/>
        <w:ind w:right="-113"/>
        <w:rPr>
          <w:rFonts w:eastAsia="Times New Roman"/>
          <w:bCs/>
        </w:rPr>
      </w:pPr>
    </w:p>
    <w:p w14:paraId="318E8FDE" w14:textId="77777777" w:rsidR="004B5F45" w:rsidRPr="00846A52" w:rsidRDefault="004B5F45" w:rsidP="00846A52">
      <w:pPr>
        <w:spacing w:after="0" w:line="312" w:lineRule="auto"/>
        <w:ind w:right="-113"/>
        <w:rPr>
          <w:rFonts w:eastAsia="Times New Roman"/>
          <w:bCs/>
        </w:rPr>
      </w:pPr>
    </w:p>
    <w:p w14:paraId="4531F2FE" w14:textId="77777777" w:rsidR="004B5F45" w:rsidRPr="00846A52" w:rsidRDefault="004B5F45" w:rsidP="00846A52">
      <w:pPr>
        <w:spacing w:after="0" w:line="312" w:lineRule="auto"/>
        <w:ind w:right="-113"/>
        <w:rPr>
          <w:rFonts w:eastAsia="Times New Roman"/>
        </w:rPr>
      </w:pPr>
      <w:r w:rsidRPr="00846A52">
        <w:rPr>
          <w:b/>
        </w:rPr>
        <w:t>GUSTAVO ALBERTO HERRERA ÁVILA</w:t>
      </w:r>
      <w:r w:rsidRPr="00846A52">
        <w:rPr>
          <w:rFonts w:eastAsia="Times New Roman"/>
        </w:rPr>
        <w:t xml:space="preserve"> </w:t>
      </w:r>
    </w:p>
    <w:p w14:paraId="2843CEB8" w14:textId="77777777" w:rsidR="004B5F45" w:rsidRPr="00846A52" w:rsidRDefault="004B5F45" w:rsidP="00846A52">
      <w:pPr>
        <w:spacing w:after="0" w:line="312" w:lineRule="auto"/>
        <w:ind w:right="-113"/>
        <w:rPr>
          <w:rFonts w:eastAsia="Times New Roman"/>
          <w:b/>
        </w:rPr>
      </w:pPr>
      <w:r w:rsidRPr="00846A52">
        <w:rPr>
          <w:rFonts w:eastAsia="Times New Roman"/>
        </w:rPr>
        <w:t xml:space="preserve">C.C. No </w:t>
      </w:r>
      <w:r w:rsidRPr="00846A52">
        <w:t xml:space="preserve">19.395.114 expedida </w:t>
      </w:r>
      <w:r w:rsidRPr="00846A52">
        <w:rPr>
          <w:lang w:val="es-ES_tradnl"/>
        </w:rPr>
        <w:t xml:space="preserve">de Bogotá. </w:t>
      </w:r>
    </w:p>
    <w:p w14:paraId="050F6502" w14:textId="2811541C" w:rsidR="002B1CCA" w:rsidRPr="00846A52" w:rsidRDefault="004B5F45" w:rsidP="00846A52">
      <w:pPr>
        <w:spacing w:after="0" w:line="312" w:lineRule="auto"/>
        <w:ind w:right="-113"/>
        <w:rPr>
          <w:rFonts w:eastAsia="Times New Roman"/>
        </w:rPr>
      </w:pPr>
      <w:r w:rsidRPr="00846A52">
        <w:rPr>
          <w:rFonts w:eastAsia="Times New Roman"/>
        </w:rPr>
        <w:t xml:space="preserve">T.P. No. </w:t>
      </w:r>
      <w:r w:rsidRPr="00846A52">
        <w:t xml:space="preserve">39.116 </w:t>
      </w:r>
      <w:r w:rsidRPr="00846A52">
        <w:rPr>
          <w:rFonts w:eastAsia="Times New Roman"/>
        </w:rPr>
        <w:t xml:space="preserve">del C.S. de la J.  </w:t>
      </w:r>
    </w:p>
    <w:p w14:paraId="3AA2B70C" w14:textId="77777777" w:rsidR="002B1CCA" w:rsidRPr="00846A52" w:rsidRDefault="002B1CCA" w:rsidP="00846A52">
      <w:pPr>
        <w:spacing w:after="0" w:line="312" w:lineRule="auto"/>
        <w:rPr>
          <w:rFonts w:eastAsia="Times New Roman"/>
        </w:rPr>
      </w:pPr>
    </w:p>
    <w:p w14:paraId="0F551F7A" w14:textId="77777777" w:rsidR="002B1CCA" w:rsidRPr="00846A52" w:rsidRDefault="002B1CCA" w:rsidP="00846A52">
      <w:pPr>
        <w:spacing w:after="0" w:line="312" w:lineRule="auto"/>
        <w:rPr>
          <w:rFonts w:eastAsia="Times New Roman"/>
        </w:rPr>
      </w:pPr>
    </w:p>
    <w:p w14:paraId="04F443D0" w14:textId="77777777" w:rsidR="00F65649" w:rsidRPr="00846A52" w:rsidRDefault="00F65649" w:rsidP="00846A52">
      <w:pPr>
        <w:spacing w:after="0" w:line="312" w:lineRule="auto"/>
        <w:ind w:right="-7"/>
      </w:pPr>
    </w:p>
    <w:sectPr w:rsidR="00F65649" w:rsidRPr="00846A52" w:rsidSect="0019083A">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E2582" w14:textId="77777777" w:rsidR="002E0A4E" w:rsidRDefault="002E0A4E" w:rsidP="0025591F">
      <w:r>
        <w:separator/>
      </w:r>
    </w:p>
  </w:endnote>
  <w:endnote w:type="continuationSeparator" w:id="0">
    <w:p w14:paraId="7EE84BD8" w14:textId="77777777" w:rsidR="002E0A4E" w:rsidRDefault="002E0A4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3C10" w14:textId="1892C25C" w:rsidR="004D63FB" w:rsidRDefault="004D63FB" w:rsidP="004A356B">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CCDD27F" wp14:editId="1846F9C7">
              <wp:simplePos x="0" y="0"/>
              <wp:positionH relativeFrom="margin">
                <wp:posOffset>1826260</wp:posOffset>
              </wp:positionH>
              <wp:positionV relativeFrom="page">
                <wp:posOffset>11288395</wp:posOffset>
              </wp:positionV>
              <wp:extent cx="2727325" cy="733425"/>
              <wp:effectExtent l="0" t="0" r="0" b="0"/>
              <wp:wrapNone/>
              <wp:docPr id="634042983" name="Rectángulo 634042983"/>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4CA" w14:textId="52123F9C" w:rsidR="004D63FB" w:rsidRPr="00BB5537" w:rsidRDefault="004D63FB" w:rsidP="00C2111F">
                          <w:pPr>
                            <w:spacing w:before="10"/>
                            <w:jc w:val="right"/>
                            <w:rPr>
                              <w:rFonts w:ascii="Raleway" w:hAnsi="Raleway"/>
                              <w:color w:val="11213B"/>
                              <w:w w:val="105"/>
                              <w:sz w:val="14"/>
                              <w:szCs w:val="14"/>
                              <w:lang w:val="it-IT"/>
                            </w:rPr>
                          </w:pPr>
                          <w:r w:rsidRPr="00BB5537">
                            <w:rPr>
                              <w:rFonts w:ascii="Raleway" w:hAnsi="Raleway"/>
                              <w:color w:val="11213B"/>
                              <w:w w:val="105"/>
                              <w:sz w:val="14"/>
                              <w:szCs w:val="14"/>
                              <w:lang w:val="it-IT"/>
                            </w:rPr>
                            <w:t>Cali - Av 6A Bis #35N-100, Of. 212, Cali, Valle del Cauca, Centro Empresarial Chipichape</w:t>
                          </w:r>
                          <w:r w:rsidRPr="00BB5537">
                            <w:rPr>
                              <w:rFonts w:ascii="Raleway" w:hAnsi="Raleway"/>
                              <w:color w:val="11213B"/>
                              <w:w w:val="105"/>
                              <w:sz w:val="14"/>
                              <w:szCs w:val="14"/>
                              <w:lang w:val="it-IT"/>
                            </w:rPr>
                            <w:br/>
                            <w:t xml:space="preserve">+57 315 577 6200 </w:t>
                          </w:r>
                        </w:p>
                        <w:p w14:paraId="669562C5" w14:textId="434522C6" w:rsidR="004D63FB" w:rsidRPr="004A356B" w:rsidRDefault="004D63FB"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27F" id="Rectángulo 634042983" o:spid="_x0000_s1026" style="position:absolute;left:0;text-align:left;margin-left:143.8pt;margin-top:888.85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" filled="f" stroked="f" strokeweight="1pt">
              <v:textbox>
                <w:txbxContent>
                  <w:p w14:paraId="2D6714CA" w14:textId="52123F9C" w:rsidR="004D63FB" w:rsidRPr="00BB5537" w:rsidRDefault="004D63FB" w:rsidP="00C2111F">
                    <w:pPr>
                      <w:spacing w:before="10"/>
                      <w:jc w:val="right"/>
                      <w:rPr>
                        <w:rFonts w:ascii="Raleway" w:hAnsi="Raleway"/>
                        <w:color w:val="11213B"/>
                        <w:w w:val="105"/>
                        <w:sz w:val="14"/>
                        <w:szCs w:val="14"/>
                        <w:lang w:val="it-IT"/>
                      </w:rPr>
                    </w:pPr>
                    <w:r w:rsidRPr="00BB5537">
                      <w:rPr>
                        <w:rFonts w:ascii="Raleway" w:hAnsi="Raleway"/>
                        <w:color w:val="11213B"/>
                        <w:w w:val="105"/>
                        <w:sz w:val="14"/>
                        <w:szCs w:val="14"/>
                        <w:lang w:val="it-IT"/>
                      </w:rPr>
                      <w:t>Cali - Av 6A Bis #35N-100, Of. 212, Cali, Valle del Cauca, Centro Empresarial Chipichape</w:t>
                    </w:r>
                    <w:r w:rsidRPr="00BB5537">
                      <w:rPr>
                        <w:rFonts w:ascii="Raleway" w:hAnsi="Raleway"/>
                        <w:color w:val="11213B"/>
                        <w:w w:val="105"/>
                        <w:sz w:val="14"/>
                        <w:szCs w:val="14"/>
                        <w:lang w:val="it-IT"/>
                      </w:rPr>
                      <w:br/>
                      <w:t xml:space="preserve">+57 315 577 6200 </w:t>
                    </w:r>
                  </w:p>
                  <w:p w14:paraId="669562C5" w14:textId="434522C6" w:rsidR="004D63FB" w:rsidRPr="004A356B" w:rsidRDefault="004D63FB"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507E5352" wp14:editId="43C05FFE">
          <wp:simplePos x="0" y="0"/>
          <wp:positionH relativeFrom="column">
            <wp:posOffset>4491990</wp:posOffset>
          </wp:positionH>
          <wp:positionV relativeFrom="margin">
            <wp:posOffset>9899650</wp:posOffset>
          </wp:positionV>
          <wp:extent cx="1466850" cy="905510"/>
          <wp:effectExtent l="0" t="0" r="0" b="8890"/>
          <wp:wrapNone/>
          <wp:docPr id="2019824808" name="Imagen 20198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8240" behindDoc="1" locked="0" layoutInCell="1" allowOverlap="1" wp14:anchorId="7D230283" wp14:editId="028F56ED">
          <wp:simplePos x="0" y="0"/>
          <wp:positionH relativeFrom="page">
            <wp:align>left</wp:align>
          </wp:positionH>
          <wp:positionV relativeFrom="page">
            <wp:align>bottom</wp:align>
          </wp:positionV>
          <wp:extent cx="7767778" cy="1868509"/>
          <wp:effectExtent l="0" t="0" r="5080" b="0"/>
          <wp:wrapNone/>
          <wp:docPr id="1754050336" name="Imagen 175405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2067B" w14:textId="04DBA970" w:rsidR="004D63FB" w:rsidRDefault="004D63FB" w:rsidP="00416F84">
    <w:pPr>
      <w:ind w:left="7080" w:firstLine="708"/>
      <w:rPr>
        <w:color w:val="222A35" w:themeColor="text2" w:themeShade="80"/>
      </w:rPr>
    </w:pPr>
  </w:p>
  <w:p w14:paraId="5C9F8043" w14:textId="32CD2852" w:rsidR="004D63FB" w:rsidRDefault="004D63FB" w:rsidP="00416F84">
    <w:pPr>
      <w:ind w:left="7080" w:firstLine="708"/>
      <w:rPr>
        <w:color w:val="222A35" w:themeColor="text2" w:themeShade="80"/>
      </w:rPr>
    </w:pPr>
  </w:p>
  <w:p w14:paraId="6E087389" w14:textId="1039F558" w:rsidR="004D63FB" w:rsidRDefault="004D63FB" w:rsidP="00FD42EC">
    <w:pPr>
      <w:tabs>
        <w:tab w:val="left" w:pos="6195"/>
      </w:tabs>
      <w:rPr>
        <w:color w:val="222A35" w:themeColor="text2" w:themeShade="80"/>
      </w:rPr>
    </w:pPr>
    <w:r>
      <w:rPr>
        <w:color w:val="222A35" w:themeColor="text2" w:themeShade="80"/>
      </w:rPr>
      <w:tab/>
    </w:r>
    <w:r>
      <w:rPr>
        <w:color w:val="222A35" w:themeColor="text2" w:themeShade="80"/>
      </w:rPr>
      <w:tab/>
    </w:r>
  </w:p>
  <w:p w14:paraId="55454FDF" w14:textId="211F3664" w:rsidR="004D63FB" w:rsidRPr="00194DAC" w:rsidRDefault="004D63FB"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634A1EDB" wp14:editId="36C611E9">
              <wp:simplePos x="0" y="0"/>
              <wp:positionH relativeFrom="page">
                <wp:posOffset>66040</wp:posOffset>
              </wp:positionH>
              <wp:positionV relativeFrom="bottomMargin">
                <wp:posOffset>1089025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9C0B" w14:textId="3A2BCF31" w:rsidR="004D63FB" w:rsidRPr="00837FFB" w:rsidRDefault="004D63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1EDB" id="Rectángulo 5" o:spid="_x0000_s1027" style="position:absolute;left:0;text-align:left;margin-left:5.2pt;margin-top:85.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" filled="f" stroked="f" strokeweight="1pt">
              <v:textbox>
                <w:txbxContent>
                  <w:p w14:paraId="3C4F9C0B" w14:textId="3A2BCF31" w:rsidR="004D63FB" w:rsidRPr="00837FFB" w:rsidRDefault="004D63F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KLGM</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B2CB5">
      <w:rPr>
        <w:rFonts w:ascii="Raleway" w:hAnsi="Raleway"/>
        <w:b/>
        <w:bCs/>
        <w:noProof/>
        <w:color w:val="222A35" w:themeColor="text2" w:themeShade="80"/>
        <w:sz w:val="16"/>
        <w:szCs w:val="16"/>
      </w:rPr>
      <w:t>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B2CB5">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p>
  <w:p w14:paraId="5F15F6A6" w14:textId="460A01B0" w:rsidR="004D63FB" w:rsidRDefault="004D63FB" w:rsidP="00FD42EC">
    <w:pPr>
      <w:pStyle w:val="Piedepgina"/>
      <w:tabs>
        <w:tab w:val="clear" w:pos="4419"/>
        <w:tab w:val="clear" w:pos="8838"/>
        <w:tab w:val="left" w:pos="6090"/>
      </w:tabs>
    </w:pPr>
    <w:r>
      <w:tab/>
    </w:r>
  </w:p>
  <w:p w14:paraId="1A61A9E4" w14:textId="77777777" w:rsidR="004D63FB" w:rsidRDefault="004D63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44F76" w14:textId="77777777" w:rsidR="002E0A4E" w:rsidRDefault="002E0A4E" w:rsidP="0025591F">
      <w:r>
        <w:separator/>
      </w:r>
    </w:p>
  </w:footnote>
  <w:footnote w:type="continuationSeparator" w:id="0">
    <w:p w14:paraId="68B92328" w14:textId="77777777" w:rsidR="002E0A4E" w:rsidRDefault="002E0A4E" w:rsidP="0025591F">
      <w:r>
        <w:continuationSeparator/>
      </w:r>
    </w:p>
  </w:footnote>
  <w:footnote w:id="1">
    <w:p w14:paraId="2A321F04" w14:textId="77777777" w:rsidR="004D63FB" w:rsidRPr="00575343" w:rsidRDefault="004D63FB" w:rsidP="00B00C3F">
      <w:pPr>
        <w:pStyle w:val="Textonotapie"/>
        <w:rPr>
          <w:lang w:val="es-ES"/>
        </w:rPr>
      </w:pPr>
      <w:r>
        <w:rPr>
          <w:rStyle w:val="Refdenotaalpie"/>
        </w:rPr>
        <w:footnoteRef/>
      </w:r>
      <w:r>
        <w:t xml:space="preserve"> </w:t>
      </w:r>
      <w:r>
        <w:rPr>
          <w:lang w:val="es-ES"/>
        </w:rPr>
        <w:t>Sentencia del Consejo de Estado. Sala de Consulta y Servicio Civil. Mp. Edgar Gonzáles López. Radicado: 11001-03-06-2020-00001-00 (2442). 28 de mayo de 2020.</w:t>
      </w:r>
    </w:p>
  </w:footnote>
  <w:footnote w:id="2">
    <w:p w14:paraId="5FDC96F8" w14:textId="77777777" w:rsidR="004D63FB" w:rsidRPr="009B69EA" w:rsidRDefault="004D63FB" w:rsidP="00B00C3F">
      <w:pPr>
        <w:pStyle w:val="Textonotapie"/>
        <w:rPr>
          <w:rFonts w:ascii="Arial" w:hAnsi="Arial" w:cs="Arial"/>
          <w:sz w:val="16"/>
          <w:szCs w:val="16"/>
        </w:rPr>
      </w:pPr>
      <w:r w:rsidRPr="009B69EA">
        <w:rPr>
          <w:rStyle w:val="Refdenotaalpie"/>
          <w:szCs w:val="16"/>
        </w:rPr>
        <w:footnoteRef/>
      </w:r>
      <w:r w:rsidRPr="009B69EA">
        <w:rPr>
          <w:rFonts w:ascii="Arial" w:hAnsi="Arial" w:cs="Arial"/>
          <w:sz w:val="16"/>
          <w:szCs w:val="16"/>
        </w:rPr>
        <w:t xml:space="preserve"> Ibidem. </w:t>
      </w:r>
    </w:p>
  </w:footnote>
  <w:footnote w:id="3">
    <w:p w14:paraId="2C98A2FA" w14:textId="77777777" w:rsidR="004D63FB" w:rsidRPr="001C0190" w:rsidRDefault="004D63FB" w:rsidP="00B00C3F">
      <w:pPr>
        <w:pStyle w:val="Textonotapie"/>
        <w:rPr>
          <w:rFonts w:ascii="Arial" w:hAnsi="Arial" w:cs="Arial"/>
          <w:sz w:val="16"/>
          <w:szCs w:val="16"/>
        </w:rPr>
      </w:pPr>
      <w:r w:rsidRPr="001C0190">
        <w:rPr>
          <w:rStyle w:val="Refdenotaalpie"/>
          <w:szCs w:val="16"/>
        </w:rPr>
        <w:footnoteRef/>
      </w:r>
      <w:r w:rsidRPr="001C0190">
        <w:rPr>
          <w:rFonts w:ascii="Arial" w:hAnsi="Arial" w:cs="Arial"/>
          <w:sz w:val="16"/>
          <w:szCs w:val="16"/>
        </w:rPr>
        <w:t xml:space="preserve"> Consejo de Estado, Sala de Consulta y Servicio Civil. Providencia del 15 de noviembre de 2007. Radicado 11001-03-06-000-2007-00077-00(1852)</w:t>
      </w:r>
      <w:r>
        <w:rPr>
          <w:rFonts w:ascii="Arial" w:hAnsi="Arial" w:cs="Arial"/>
          <w:sz w:val="16"/>
          <w:szCs w:val="16"/>
        </w:rPr>
        <w:t>.</w:t>
      </w:r>
      <w:r w:rsidRPr="001C0190">
        <w:rPr>
          <w:rFonts w:ascii="Arial" w:hAnsi="Arial" w:cs="Arial"/>
          <w:sz w:val="16"/>
          <w:szCs w:val="16"/>
        </w:rPr>
        <w:t xml:space="preserve"> C</w:t>
      </w:r>
      <w:r>
        <w:rPr>
          <w:rFonts w:ascii="Arial" w:hAnsi="Arial" w:cs="Arial"/>
          <w:sz w:val="16"/>
          <w:szCs w:val="16"/>
        </w:rPr>
        <w:t>.</w:t>
      </w:r>
      <w:r w:rsidRPr="001C0190">
        <w:rPr>
          <w:rFonts w:ascii="Arial" w:hAnsi="Arial" w:cs="Arial"/>
          <w:sz w:val="16"/>
          <w:szCs w:val="16"/>
        </w:rPr>
        <w:t>P</w:t>
      </w:r>
      <w:r>
        <w:rPr>
          <w:rFonts w:ascii="Arial" w:hAnsi="Arial" w:cs="Arial"/>
          <w:sz w:val="16"/>
          <w:szCs w:val="16"/>
        </w:rPr>
        <w:t>.</w:t>
      </w:r>
      <w:r w:rsidRPr="001C0190">
        <w:rPr>
          <w:rFonts w:ascii="Arial" w:hAnsi="Arial" w:cs="Arial"/>
          <w:sz w:val="16"/>
          <w:szCs w:val="16"/>
        </w:rPr>
        <w:t xml:space="preserve"> Gustavo Aponte Santos. </w:t>
      </w:r>
    </w:p>
  </w:footnote>
  <w:footnote w:id="4">
    <w:p w14:paraId="76B12676" w14:textId="77777777" w:rsidR="004D63FB" w:rsidRPr="00EC0EE6" w:rsidRDefault="004D63FB" w:rsidP="00B00C3F">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Constitucional, C-619-2002, MP. Rodrigo Escobar Gil y Jaime Córdoba Triviño. </w:t>
      </w:r>
    </w:p>
  </w:footnote>
  <w:footnote w:id="5">
    <w:p w14:paraId="051D6E50" w14:textId="77777777" w:rsidR="004D63FB" w:rsidRPr="00EC0EE6" w:rsidRDefault="004D63FB" w:rsidP="00B00C3F">
      <w:pPr>
        <w:pStyle w:val="Textonotapie"/>
        <w:rPr>
          <w:rFonts w:ascii="Arial" w:hAnsi="Arial" w:cs="Arial"/>
          <w:sz w:val="16"/>
          <w:szCs w:val="16"/>
        </w:rPr>
      </w:pPr>
      <w:r w:rsidRPr="00EC0EE6">
        <w:rPr>
          <w:rStyle w:val="Refdenotaalpie"/>
          <w:szCs w:val="16"/>
        </w:rPr>
        <w:footnoteRef/>
      </w:r>
      <w:r w:rsidRPr="00EC0EE6">
        <w:rPr>
          <w:rFonts w:ascii="Arial" w:hAnsi="Arial" w:cs="Arial"/>
          <w:sz w:val="16"/>
          <w:szCs w:val="16"/>
        </w:rPr>
        <w:t xml:space="preserve"> Corte Suprema de Justicia, Sala de Casación Civil, sentencia del 31 de julio de 2014. Mp. Ruth Marina Diaz Rueda. Exp. 11001-3103-015-2008-00102-01</w:t>
      </w:r>
    </w:p>
  </w:footnote>
  <w:footnote w:id="6">
    <w:p w14:paraId="551DA6D6" w14:textId="77777777" w:rsidR="004D63FB" w:rsidRPr="0038651C" w:rsidRDefault="004D63FB" w:rsidP="00B00C3F">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Mp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7">
    <w:p w14:paraId="6A0026F1" w14:textId="77777777" w:rsidR="004D63FB" w:rsidRDefault="004D63FB" w:rsidP="00294430">
      <w:pPr>
        <w:pStyle w:val="Textonotapie"/>
        <w:rPr>
          <w:rFonts w:ascii="Times New Roman" w:hAnsi="Times New Roman" w:cs="Times New Roman"/>
        </w:rPr>
      </w:pPr>
      <w:r>
        <w:rPr>
          <w:rStyle w:val="Refdenotaalpie"/>
        </w:rPr>
        <w:footnoteRef/>
      </w:r>
      <w: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B189" w14:textId="77777777" w:rsidR="004D63FB" w:rsidRDefault="004D63FB">
    <w:pPr>
      <w:pStyle w:val="Encabezado"/>
    </w:pPr>
    <w:r>
      <w:rPr>
        <w:noProof/>
        <w:color w:val="222A35" w:themeColor="text2" w:themeShade="80"/>
      </w:rPr>
      <w:drawing>
        <wp:anchor distT="0" distB="0" distL="114300" distR="114300" simplePos="0" relativeHeight="251659264" behindDoc="1" locked="0" layoutInCell="1" allowOverlap="1" wp14:anchorId="27265F9E" wp14:editId="062EE7C6">
          <wp:simplePos x="0" y="0"/>
          <wp:positionH relativeFrom="column">
            <wp:posOffset>-242732</wp:posOffset>
          </wp:positionH>
          <wp:positionV relativeFrom="page">
            <wp:posOffset>456565</wp:posOffset>
          </wp:positionV>
          <wp:extent cx="2635250" cy="796925"/>
          <wp:effectExtent l="0" t="0" r="0" b="0"/>
          <wp:wrapNone/>
          <wp:docPr id="609664231" name="Imagen 60966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DBE2B17" w14:textId="77777777" w:rsidR="004D63FB" w:rsidRDefault="004D63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079"/>
    <w:multiLevelType w:val="hybridMultilevel"/>
    <w:tmpl w:val="91D071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C7DC0"/>
    <w:multiLevelType w:val="hybridMultilevel"/>
    <w:tmpl w:val="C526D5C6"/>
    <w:lvl w:ilvl="0" w:tplc="8C9E172C">
      <w:start w:val="1"/>
      <w:numFmt w:val="upperLetter"/>
      <w:lvlText w:val="%1."/>
      <w:lvlJc w:val="left"/>
      <w:pPr>
        <w:ind w:left="4613" w:hanging="360"/>
      </w:pPr>
      <w:rPr>
        <w:rFonts w:hint="default"/>
        <w:b/>
      </w:rPr>
    </w:lvl>
    <w:lvl w:ilvl="1" w:tplc="240A0019" w:tentative="1">
      <w:start w:val="1"/>
      <w:numFmt w:val="lowerLetter"/>
      <w:lvlText w:val="%2."/>
      <w:lvlJc w:val="left"/>
      <w:pPr>
        <w:ind w:left="5333" w:hanging="360"/>
      </w:pPr>
    </w:lvl>
    <w:lvl w:ilvl="2" w:tplc="240A001B" w:tentative="1">
      <w:start w:val="1"/>
      <w:numFmt w:val="lowerRoman"/>
      <w:lvlText w:val="%3."/>
      <w:lvlJc w:val="right"/>
      <w:pPr>
        <w:ind w:left="6053" w:hanging="180"/>
      </w:pPr>
    </w:lvl>
    <w:lvl w:ilvl="3" w:tplc="240A000F" w:tentative="1">
      <w:start w:val="1"/>
      <w:numFmt w:val="decimal"/>
      <w:lvlText w:val="%4."/>
      <w:lvlJc w:val="left"/>
      <w:pPr>
        <w:ind w:left="6773" w:hanging="360"/>
      </w:pPr>
    </w:lvl>
    <w:lvl w:ilvl="4" w:tplc="240A0019" w:tentative="1">
      <w:start w:val="1"/>
      <w:numFmt w:val="lowerLetter"/>
      <w:lvlText w:val="%5."/>
      <w:lvlJc w:val="left"/>
      <w:pPr>
        <w:ind w:left="7493" w:hanging="360"/>
      </w:pPr>
    </w:lvl>
    <w:lvl w:ilvl="5" w:tplc="240A001B" w:tentative="1">
      <w:start w:val="1"/>
      <w:numFmt w:val="lowerRoman"/>
      <w:lvlText w:val="%6."/>
      <w:lvlJc w:val="right"/>
      <w:pPr>
        <w:ind w:left="8213" w:hanging="180"/>
      </w:pPr>
    </w:lvl>
    <w:lvl w:ilvl="6" w:tplc="240A000F" w:tentative="1">
      <w:start w:val="1"/>
      <w:numFmt w:val="decimal"/>
      <w:lvlText w:val="%7."/>
      <w:lvlJc w:val="left"/>
      <w:pPr>
        <w:ind w:left="8933" w:hanging="360"/>
      </w:pPr>
    </w:lvl>
    <w:lvl w:ilvl="7" w:tplc="240A0019" w:tentative="1">
      <w:start w:val="1"/>
      <w:numFmt w:val="lowerLetter"/>
      <w:lvlText w:val="%8."/>
      <w:lvlJc w:val="left"/>
      <w:pPr>
        <w:ind w:left="9653" w:hanging="360"/>
      </w:pPr>
    </w:lvl>
    <w:lvl w:ilvl="8" w:tplc="240A001B" w:tentative="1">
      <w:start w:val="1"/>
      <w:numFmt w:val="lowerRoman"/>
      <w:lvlText w:val="%9."/>
      <w:lvlJc w:val="right"/>
      <w:pPr>
        <w:ind w:left="10373" w:hanging="180"/>
      </w:pPr>
    </w:lvl>
  </w:abstractNum>
  <w:abstractNum w:abstractNumId="2" w15:restartNumberingAfterBreak="0">
    <w:nsid w:val="08A8533C"/>
    <w:multiLevelType w:val="multilevel"/>
    <w:tmpl w:val="15967E9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FB008CC"/>
    <w:multiLevelType w:val="hybridMultilevel"/>
    <w:tmpl w:val="9E3860B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F606F"/>
    <w:multiLevelType w:val="hybridMultilevel"/>
    <w:tmpl w:val="93DCE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007F64"/>
    <w:multiLevelType w:val="hybridMultilevel"/>
    <w:tmpl w:val="FB5CB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B53474"/>
    <w:multiLevelType w:val="hybridMultilevel"/>
    <w:tmpl w:val="8F9A7466"/>
    <w:lvl w:ilvl="0" w:tplc="F7620E8C">
      <w:start w:val="1"/>
      <w:numFmt w:val="upperLetter"/>
      <w:lvlText w:val="%1."/>
      <w:lvlJc w:val="left"/>
      <w:pPr>
        <w:ind w:left="360" w:hanging="360"/>
      </w:pPr>
      <w:rPr>
        <w:rFonts w:ascii="Arial" w:hAnsi="Arial"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BC2C9A"/>
    <w:multiLevelType w:val="hybridMultilevel"/>
    <w:tmpl w:val="88D82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05DC7"/>
    <w:multiLevelType w:val="hybridMultilevel"/>
    <w:tmpl w:val="B55E4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A609CF"/>
    <w:multiLevelType w:val="hybridMultilevel"/>
    <w:tmpl w:val="71843338"/>
    <w:lvl w:ilvl="0" w:tplc="51B4EDD4">
      <w:start w:val="1"/>
      <w:numFmt w:val="upperLetter"/>
      <w:lvlText w:val="%1."/>
      <w:lvlJc w:val="left"/>
      <w:pPr>
        <w:ind w:left="450" w:hanging="45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6B870E0"/>
    <w:multiLevelType w:val="hybridMultilevel"/>
    <w:tmpl w:val="3D80E460"/>
    <w:lvl w:ilvl="0" w:tplc="C2467F2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2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49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AA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0B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40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DA7E46"/>
    <w:multiLevelType w:val="hybridMultilevel"/>
    <w:tmpl w:val="38EC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3176CF"/>
    <w:multiLevelType w:val="hybridMultilevel"/>
    <w:tmpl w:val="CB88C06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900100"/>
    <w:multiLevelType w:val="hybridMultilevel"/>
    <w:tmpl w:val="1F401D40"/>
    <w:lvl w:ilvl="0" w:tplc="81C4B0A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6E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C5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EF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4C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A5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81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0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CE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6472A7A"/>
    <w:multiLevelType w:val="hybridMultilevel"/>
    <w:tmpl w:val="DEFE76D0"/>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770485"/>
    <w:multiLevelType w:val="hybridMultilevel"/>
    <w:tmpl w:val="EAC42A34"/>
    <w:lvl w:ilvl="0" w:tplc="FFFFFFFF">
      <w:start w:val="1"/>
      <w:numFmt w:val="upperLetter"/>
      <w:lvlText w:val="%1."/>
      <w:lvlJc w:val="left"/>
      <w:pPr>
        <w:ind w:left="720" w:hanging="360"/>
      </w:pPr>
      <w:rPr>
        <w:rFonts w:eastAsia="Calibri" w:hint="default"/>
        <w:b/>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C5B6068"/>
    <w:multiLevelType w:val="hybridMultilevel"/>
    <w:tmpl w:val="72AEE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993BBE"/>
    <w:multiLevelType w:val="hybridMultilevel"/>
    <w:tmpl w:val="8F4E064C"/>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22A0423"/>
    <w:multiLevelType w:val="hybridMultilevel"/>
    <w:tmpl w:val="881E72FA"/>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7AB2CC3"/>
    <w:multiLevelType w:val="hybridMultilevel"/>
    <w:tmpl w:val="0B0AC14E"/>
    <w:lvl w:ilvl="0" w:tplc="95E2925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CA76861"/>
    <w:multiLevelType w:val="hybridMultilevel"/>
    <w:tmpl w:val="4C4C84FC"/>
    <w:lvl w:ilvl="0" w:tplc="31B08B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AE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0B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21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D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E8F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8E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692A05"/>
    <w:multiLevelType w:val="hybridMultilevel"/>
    <w:tmpl w:val="5FE07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66864292">
    <w:abstractNumId w:val="6"/>
  </w:num>
  <w:num w:numId="2" w16cid:durableId="1683891650">
    <w:abstractNumId w:val="2"/>
  </w:num>
  <w:num w:numId="3" w16cid:durableId="646397167">
    <w:abstractNumId w:val="28"/>
  </w:num>
  <w:num w:numId="4" w16cid:durableId="1878276998">
    <w:abstractNumId w:val="18"/>
  </w:num>
  <w:num w:numId="5" w16cid:durableId="901716066">
    <w:abstractNumId w:val="14"/>
  </w:num>
  <w:num w:numId="6" w16cid:durableId="334891081">
    <w:abstractNumId w:val="22"/>
  </w:num>
  <w:num w:numId="7" w16cid:durableId="181863679">
    <w:abstractNumId w:val="5"/>
  </w:num>
  <w:num w:numId="8" w16cid:durableId="777484312">
    <w:abstractNumId w:val="13"/>
  </w:num>
  <w:num w:numId="9" w16cid:durableId="1363628303">
    <w:abstractNumId w:val="12"/>
  </w:num>
  <w:num w:numId="10" w16cid:durableId="1651053876">
    <w:abstractNumId w:val="17"/>
  </w:num>
  <w:num w:numId="11" w16cid:durableId="1715302966">
    <w:abstractNumId w:val="1"/>
  </w:num>
  <w:num w:numId="12" w16cid:durableId="984973299">
    <w:abstractNumId w:val="7"/>
  </w:num>
  <w:num w:numId="13" w16cid:durableId="731318733">
    <w:abstractNumId w:val="23"/>
  </w:num>
  <w:num w:numId="14" w16cid:durableId="567763270">
    <w:abstractNumId w:val="15"/>
  </w:num>
  <w:num w:numId="15" w16cid:durableId="2022314242">
    <w:abstractNumId w:val="24"/>
  </w:num>
  <w:num w:numId="16" w16cid:durableId="1855654068">
    <w:abstractNumId w:val="16"/>
  </w:num>
  <w:num w:numId="17" w16cid:durableId="602610606">
    <w:abstractNumId w:val="3"/>
  </w:num>
  <w:num w:numId="18" w16cid:durableId="378633035">
    <w:abstractNumId w:val="21"/>
  </w:num>
  <w:num w:numId="19" w16cid:durableId="1318533576">
    <w:abstractNumId w:val="19"/>
  </w:num>
  <w:num w:numId="20" w16cid:durableId="1108161675">
    <w:abstractNumId w:val="11"/>
  </w:num>
  <w:num w:numId="21" w16cid:durableId="732655860">
    <w:abstractNumId w:val="4"/>
  </w:num>
  <w:num w:numId="22" w16cid:durableId="858813934">
    <w:abstractNumId w:val="27"/>
  </w:num>
  <w:num w:numId="23" w16cid:durableId="564491394">
    <w:abstractNumId w:val="29"/>
  </w:num>
  <w:num w:numId="24" w16cid:durableId="791823990">
    <w:abstractNumId w:val="8"/>
  </w:num>
  <w:num w:numId="25" w16cid:durableId="1737894427">
    <w:abstractNumId w:val="26"/>
  </w:num>
  <w:num w:numId="26" w16cid:durableId="1629967970">
    <w:abstractNumId w:val="20"/>
  </w:num>
  <w:num w:numId="27" w16cid:durableId="1223449135">
    <w:abstractNumId w:val="9"/>
  </w:num>
  <w:num w:numId="28" w16cid:durableId="1208713073">
    <w:abstractNumId w:val="10"/>
  </w:num>
  <w:num w:numId="29" w16cid:durableId="29303068">
    <w:abstractNumId w:val="25"/>
  </w:num>
  <w:num w:numId="30" w16cid:durableId="50286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B6"/>
    <w:rsid w:val="000011A0"/>
    <w:rsid w:val="0000164C"/>
    <w:rsid w:val="000055F8"/>
    <w:rsid w:val="000063DF"/>
    <w:rsid w:val="000079F9"/>
    <w:rsid w:val="000231B6"/>
    <w:rsid w:val="000259EE"/>
    <w:rsid w:val="000279C3"/>
    <w:rsid w:val="00030367"/>
    <w:rsid w:val="00030403"/>
    <w:rsid w:val="0003111F"/>
    <w:rsid w:val="00033A0E"/>
    <w:rsid w:val="00033F16"/>
    <w:rsid w:val="00035E21"/>
    <w:rsid w:val="000373B9"/>
    <w:rsid w:val="000407E6"/>
    <w:rsid w:val="00055476"/>
    <w:rsid w:val="000565FF"/>
    <w:rsid w:val="000572D2"/>
    <w:rsid w:val="0006162F"/>
    <w:rsid w:val="00062F4B"/>
    <w:rsid w:val="00063D79"/>
    <w:rsid w:val="00067684"/>
    <w:rsid w:val="00071479"/>
    <w:rsid w:val="00073093"/>
    <w:rsid w:val="000746DD"/>
    <w:rsid w:val="00081EF7"/>
    <w:rsid w:val="00082E2C"/>
    <w:rsid w:val="000843DC"/>
    <w:rsid w:val="000853B5"/>
    <w:rsid w:val="00086F3B"/>
    <w:rsid w:val="000910C6"/>
    <w:rsid w:val="00093B3E"/>
    <w:rsid w:val="00095076"/>
    <w:rsid w:val="000966C9"/>
    <w:rsid w:val="00096AD2"/>
    <w:rsid w:val="000A0094"/>
    <w:rsid w:val="000B28A5"/>
    <w:rsid w:val="000B5EF2"/>
    <w:rsid w:val="000B6046"/>
    <w:rsid w:val="000B7F1A"/>
    <w:rsid w:val="000C1CCD"/>
    <w:rsid w:val="000C2815"/>
    <w:rsid w:val="000C4B7A"/>
    <w:rsid w:val="000C5FF5"/>
    <w:rsid w:val="000D1CEA"/>
    <w:rsid w:val="000D691C"/>
    <w:rsid w:val="000D7D15"/>
    <w:rsid w:val="000E0044"/>
    <w:rsid w:val="000E19DB"/>
    <w:rsid w:val="000E2E72"/>
    <w:rsid w:val="000E7541"/>
    <w:rsid w:val="000F5D91"/>
    <w:rsid w:val="000F6636"/>
    <w:rsid w:val="00103503"/>
    <w:rsid w:val="001049E9"/>
    <w:rsid w:val="00105387"/>
    <w:rsid w:val="0011317B"/>
    <w:rsid w:val="0011393F"/>
    <w:rsid w:val="0011549B"/>
    <w:rsid w:val="0011590F"/>
    <w:rsid w:val="00116926"/>
    <w:rsid w:val="00123EB9"/>
    <w:rsid w:val="00123F60"/>
    <w:rsid w:val="0012575D"/>
    <w:rsid w:val="00131D34"/>
    <w:rsid w:val="00132995"/>
    <w:rsid w:val="001346A3"/>
    <w:rsid w:val="00150048"/>
    <w:rsid w:val="00151BD8"/>
    <w:rsid w:val="0015509B"/>
    <w:rsid w:val="001558BA"/>
    <w:rsid w:val="0016267D"/>
    <w:rsid w:val="00163DB0"/>
    <w:rsid w:val="00164A3E"/>
    <w:rsid w:val="00164E2C"/>
    <w:rsid w:val="0016508A"/>
    <w:rsid w:val="001656DA"/>
    <w:rsid w:val="00175E5E"/>
    <w:rsid w:val="00177DDF"/>
    <w:rsid w:val="001803C6"/>
    <w:rsid w:val="00180544"/>
    <w:rsid w:val="001809F2"/>
    <w:rsid w:val="001819C6"/>
    <w:rsid w:val="00182C53"/>
    <w:rsid w:val="00183F20"/>
    <w:rsid w:val="00184B9F"/>
    <w:rsid w:val="00190741"/>
    <w:rsid w:val="00190753"/>
    <w:rsid w:val="0019083A"/>
    <w:rsid w:val="001925A0"/>
    <w:rsid w:val="00194DAC"/>
    <w:rsid w:val="00194FEB"/>
    <w:rsid w:val="0019731A"/>
    <w:rsid w:val="001A2958"/>
    <w:rsid w:val="001A3AE2"/>
    <w:rsid w:val="001A4105"/>
    <w:rsid w:val="001A6867"/>
    <w:rsid w:val="001A6A8A"/>
    <w:rsid w:val="001A721C"/>
    <w:rsid w:val="001B698C"/>
    <w:rsid w:val="001C2853"/>
    <w:rsid w:val="001C394D"/>
    <w:rsid w:val="001C6182"/>
    <w:rsid w:val="001D028A"/>
    <w:rsid w:val="001D3884"/>
    <w:rsid w:val="001E0538"/>
    <w:rsid w:val="001E2850"/>
    <w:rsid w:val="001E2856"/>
    <w:rsid w:val="001E2FDD"/>
    <w:rsid w:val="001E5496"/>
    <w:rsid w:val="001E6C03"/>
    <w:rsid w:val="001F2991"/>
    <w:rsid w:val="001F5342"/>
    <w:rsid w:val="001F5B7B"/>
    <w:rsid w:val="001F72CF"/>
    <w:rsid w:val="0020134D"/>
    <w:rsid w:val="00205A00"/>
    <w:rsid w:val="00206F99"/>
    <w:rsid w:val="0020715B"/>
    <w:rsid w:val="00210C38"/>
    <w:rsid w:val="00213690"/>
    <w:rsid w:val="00214A81"/>
    <w:rsid w:val="00214C3A"/>
    <w:rsid w:val="002205EC"/>
    <w:rsid w:val="00221BC1"/>
    <w:rsid w:val="002244D2"/>
    <w:rsid w:val="00225713"/>
    <w:rsid w:val="00230D86"/>
    <w:rsid w:val="002330C9"/>
    <w:rsid w:val="00234F3F"/>
    <w:rsid w:val="002413FF"/>
    <w:rsid w:val="00243350"/>
    <w:rsid w:val="0024404E"/>
    <w:rsid w:val="00244724"/>
    <w:rsid w:val="002460FE"/>
    <w:rsid w:val="00247F89"/>
    <w:rsid w:val="00251388"/>
    <w:rsid w:val="00254E27"/>
    <w:rsid w:val="0025591F"/>
    <w:rsid w:val="00260F6D"/>
    <w:rsid w:val="00261421"/>
    <w:rsid w:val="00261E8A"/>
    <w:rsid w:val="002635A3"/>
    <w:rsid w:val="002651C9"/>
    <w:rsid w:val="002667BB"/>
    <w:rsid w:val="00267DDC"/>
    <w:rsid w:val="00271875"/>
    <w:rsid w:val="00272114"/>
    <w:rsid w:val="00274CC1"/>
    <w:rsid w:val="0028167E"/>
    <w:rsid w:val="00281D90"/>
    <w:rsid w:val="00283554"/>
    <w:rsid w:val="00294430"/>
    <w:rsid w:val="00294E6F"/>
    <w:rsid w:val="002956A6"/>
    <w:rsid w:val="002A03D9"/>
    <w:rsid w:val="002A1879"/>
    <w:rsid w:val="002A25DD"/>
    <w:rsid w:val="002A53C1"/>
    <w:rsid w:val="002B011A"/>
    <w:rsid w:val="002B1CCA"/>
    <w:rsid w:val="002B1F58"/>
    <w:rsid w:val="002B5E76"/>
    <w:rsid w:val="002C08E1"/>
    <w:rsid w:val="002D0A3B"/>
    <w:rsid w:val="002D0D26"/>
    <w:rsid w:val="002D20A2"/>
    <w:rsid w:val="002E047A"/>
    <w:rsid w:val="002E0A4E"/>
    <w:rsid w:val="002E0BE9"/>
    <w:rsid w:val="002E155E"/>
    <w:rsid w:val="002E42BE"/>
    <w:rsid w:val="002F02D5"/>
    <w:rsid w:val="002F470F"/>
    <w:rsid w:val="00300CCC"/>
    <w:rsid w:val="00304303"/>
    <w:rsid w:val="003067D5"/>
    <w:rsid w:val="00307316"/>
    <w:rsid w:val="003110A8"/>
    <w:rsid w:val="003121DB"/>
    <w:rsid w:val="0031336F"/>
    <w:rsid w:val="00315A61"/>
    <w:rsid w:val="00316A67"/>
    <w:rsid w:val="00317A69"/>
    <w:rsid w:val="00321132"/>
    <w:rsid w:val="00322DBD"/>
    <w:rsid w:val="00322E15"/>
    <w:rsid w:val="0033616D"/>
    <w:rsid w:val="00336FA0"/>
    <w:rsid w:val="00337DC7"/>
    <w:rsid w:val="00340C45"/>
    <w:rsid w:val="00344A5E"/>
    <w:rsid w:val="00345269"/>
    <w:rsid w:val="003505E2"/>
    <w:rsid w:val="00351613"/>
    <w:rsid w:val="003548BF"/>
    <w:rsid w:val="003556C6"/>
    <w:rsid w:val="00356E6B"/>
    <w:rsid w:val="00363622"/>
    <w:rsid w:val="00365F79"/>
    <w:rsid w:val="0036650F"/>
    <w:rsid w:val="00371190"/>
    <w:rsid w:val="00371C2A"/>
    <w:rsid w:val="00375AFE"/>
    <w:rsid w:val="00376CCF"/>
    <w:rsid w:val="00377FE0"/>
    <w:rsid w:val="003813B7"/>
    <w:rsid w:val="003816C9"/>
    <w:rsid w:val="00381DB6"/>
    <w:rsid w:val="00382C74"/>
    <w:rsid w:val="00383199"/>
    <w:rsid w:val="003856A3"/>
    <w:rsid w:val="00387302"/>
    <w:rsid w:val="00395528"/>
    <w:rsid w:val="003A0EE9"/>
    <w:rsid w:val="003A0F8E"/>
    <w:rsid w:val="003A253F"/>
    <w:rsid w:val="003A38A6"/>
    <w:rsid w:val="003A4ABB"/>
    <w:rsid w:val="003A7B3F"/>
    <w:rsid w:val="003B075C"/>
    <w:rsid w:val="003B2AAB"/>
    <w:rsid w:val="003C162A"/>
    <w:rsid w:val="003C2B79"/>
    <w:rsid w:val="003C5BCE"/>
    <w:rsid w:val="003D0E87"/>
    <w:rsid w:val="003D1D06"/>
    <w:rsid w:val="003D231E"/>
    <w:rsid w:val="003D6B7B"/>
    <w:rsid w:val="003E0023"/>
    <w:rsid w:val="003E421C"/>
    <w:rsid w:val="003E4CC0"/>
    <w:rsid w:val="003E6DDB"/>
    <w:rsid w:val="003F009B"/>
    <w:rsid w:val="003F26B0"/>
    <w:rsid w:val="003F27D2"/>
    <w:rsid w:val="003F3592"/>
    <w:rsid w:val="003F4F71"/>
    <w:rsid w:val="003F5602"/>
    <w:rsid w:val="003F7C4C"/>
    <w:rsid w:val="00400A3F"/>
    <w:rsid w:val="00404103"/>
    <w:rsid w:val="00405028"/>
    <w:rsid w:val="00407727"/>
    <w:rsid w:val="00407DF1"/>
    <w:rsid w:val="00410DC8"/>
    <w:rsid w:val="00411874"/>
    <w:rsid w:val="0041295E"/>
    <w:rsid w:val="00416F84"/>
    <w:rsid w:val="00417046"/>
    <w:rsid w:val="004170DD"/>
    <w:rsid w:val="00422121"/>
    <w:rsid w:val="0042480C"/>
    <w:rsid w:val="0042497F"/>
    <w:rsid w:val="00432808"/>
    <w:rsid w:val="00433573"/>
    <w:rsid w:val="00433777"/>
    <w:rsid w:val="0043504C"/>
    <w:rsid w:val="004362B6"/>
    <w:rsid w:val="00440ED2"/>
    <w:rsid w:val="00443220"/>
    <w:rsid w:val="00444044"/>
    <w:rsid w:val="0044589B"/>
    <w:rsid w:val="00445BFC"/>
    <w:rsid w:val="004474CB"/>
    <w:rsid w:val="0044799B"/>
    <w:rsid w:val="00453E3F"/>
    <w:rsid w:val="00454042"/>
    <w:rsid w:val="004558F5"/>
    <w:rsid w:val="00456BF6"/>
    <w:rsid w:val="00460514"/>
    <w:rsid w:val="0046061F"/>
    <w:rsid w:val="004619F5"/>
    <w:rsid w:val="00461AC0"/>
    <w:rsid w:val="00461D51"/>
    <w:rsid w:val="00461E5B"/>
    <w:rsid w:val="00464088"/>
    <w:rsid w:val="0046539E"/>
    <w:rsid w:val="00470810"/>
    <w:rsid w:val="0047457C"/>
    <w:rsid w:val="004801FB"/>
    <w:rsid w:val="00480B05"/>
    <w:rsid w:val="00481834"/>
    <w:rsid w:val="00483739"/>
    <w:rsid w:val="00490ECF"/>
    <w:rsid w:val="00490FF7"/>
    <w:rsid w:val="00493302"/>
    <w:rsid w:val="0049464B"/>
    <w:rsid w:val="004949B5"/>
    <w:rsid w:val="004A1D0A"/>
    <w:rsid w:val="004A254E"/>
    <w:rsid w:val="004A356B"/>
    <w:rsid w:val="004A5327"/>
    <w:rsid w:val="004B13E2"/>
    <w:rsid w:val="004B27C5"/>
    <w:rsid w:val="004B2CB5"/>
    <w:rsid w:val="004B5F45"/>
    <w:rsid w:val="004B6C50"/>
    <w:rsid w:val="004B6D6C"/>
    <w:rsid w:val="004B6FD2"/>
    <w:rsid w:val="004C01CE"/>
    <w:rsid w:val="004C0C52"/>
    <w:rsid w:val="004C3914"/>
    <w:rsid w:val="004C5065"/>
    <w:rsid w:val="004D1AC2"/>
    <w:rsid w:val="004D52A5"/>
    <w:rsid w:val="004D63FB"/>
    <w:rsid w:val="004D6B36"/>
    <w:rsid w:val="004E384E"/>
    <w:rsid w:val="004E4F88"/>
    <w:rsid w:val="004F4811"/>
    <w:rsid w:val="004F6707"/>
    <w:rsid w:val="004F705B"/>
    <w:rsid w:val="004F742C"/>
    <w:rsid w:val="004F7890"/>
    <w:rsid w:val="00502611"/>
    <w:rsid w:val="005026FD"/>
    <w:rsid w:val="00505F3C"/>
    <w:rsid w:val="0051269E"/>
    <w:rsid w:val="00516442"/>
    <w:rsid w:val="005175E3"/>
    <w:rsid w:val="00521B09"/>
    <w:rsid w:val="0052286C"/>
    <w:rsid w:val="0052640C"/>
    <w:rsid w:val="005301D6"/>
    <w:rsid w:val="00531D28"/>
    <w:rsid w:val="00532BD6"/>
    <w:rsid w:val="00533E54"/>
    <w:rsid w:val="0053567B"/>
    <w:rsid w:val="00537023"/>
    <w:rsid w:val="005375C4"/>
    <w:rsid w:val="005404B5"/>
    <w:rsid w:val="005418BC"/>
    <w:rsid w:val="005432E6"/>
    <w:rsid w:val="00543F6F"/>
    <w:rsid w:val="005441F6"/>
    <w:rsid w:val="00546C1A"/>
    <w:rsid w:val="00546F23"/>
    <w:rsid w:val="005474A4"/>
    <w:rsid w:val="00547B89"/>
    <w:rsid w:val="005540E5"/>
    <w:rsid w:val="00562D46"/>
    <w:rsid w:val="005675AF"/>
    <w:rsid w:val="00570950"/>
    <w:rsid w:val="00572436"/>
    <w:rsid w:val="00573353"/>
    <w:rsid w:val="0057610B"/>
    <w:rsid w:val="00577EF1"/>
    <w:rsid w:val="00580236"/>
    <w:rsid w:val="0058050D"/>
    <w:rsid w:val="00580D35"/>
    <w:rsid w:val="00582884"/>
    <w:rsid w:val="0058437E"/>
    <w:rsid w:val="00587518"/>
    <w:rsid w:val="00590D31"/>
    <w:rsid w:val="00594409"/>
    <w:rsid w:val="00594BAD"/>
    <w:rsid w:val="00596AE6"/>
    <w:rsid w:val="00596C6F"/>
    <w:rsid w:val="0059701F"/>
    <w:rsid w:val="005A3F2C"/>
    <w:rsid w:val="005A51C5"/>
    <w:rsid w:val="005A7680"/>
    <w:rsid w:val="005A776A"/>
    <w:rsid w:val="005B1D11"/>
    <w:rsid w:val="005B220A"/>
    <w:rsid w:val="005B5138"/>
    <w:rsid w:val="005C11FA"/>
    <w:rsid w:val="005C1D02"/>
    <w:rsid w:val="005D218D"/>
    <w:rsid w:val="005D2D77"/>
    <w:rsid w:val="005D5A02"/>
    <w:rsid w:val="005D7117"/>
    <w:rsid w:val="005E0F58"/>
    <w:rsid w:val="005F33E5"/>
    <w:rsid w:val="005F3CD7"/>
    <w:rsid w:val="005F4490"/>
    <w:rsid w:val="005F5183"/>
    <w:rsid w:val="00601C96"/>
    <w:rsid w:val="00605ECA"/>
    <w:rsid w:val="00617216"/>
    <w:rsid w:val="006237A9"/>
    <w:rsid w:val="00623C0D"/>
    <w:rsid w:val="006266D2"/>
    <w:rsid w:val="00626B54"/>
    <w:rsid w:val="00630E7C"/>
    <w:rsid w:val="00632A12"/>
    <w:rsid w:val="00637020"/>
    <w:rsid w:val="006377C2"/>
    <w:rsid w:val="00637879"/>
    <w:rsid w:val="006401E4"/>
    <w:rsid w:val="00641943"/>
    <w:rsid w:val="00643738"/>
    <w:rsid w:val="00643C83"/>
    <w:rsid w:val="00644F29"/>
    <w:rsid w:val="00647D04"/>
    <w:rsid w:val="006523DD"/>
    <w:rsid w:val="00652E5E"/>
    <w:rsid w:val="00653015"/>
    <w:rsid w:val="00656924"/>
    <w:rsid w:val="00660E13"/>
    <w:rsid w:val="006660E4"/>
    <w:rsid w:val="00670CF5"/>
    <w:rsid w:val="00672E72"/>
    <w:rsid w:val="0067734D"/>
    <w:rsid w:val="006774BC"/>
    <w:rsid w:val="00680150"/>
    <w:rsid w:val="00680850"/>
    <w:rsid w:val="006907B5"/>
    <w:rsid w:val="00693B9C"/>
    <w:rsid w:val="00693E40"/>
    <w:rsid w:val="0069461F"/>
    <w:rsid w:val="0069729D"/>
    <w:rsid w:val="006A0433"/>
    <w:rsid w:val="006A072B"/>
    <w:rsid w:val="006A0F49"/>
    <w:rsid w:val="006A330A"/>
    <w:rsid w:val="006A675B"/>
    <w:rsid w:val="006B2C07"/>
    <w:rsid w:val="006B3F5C"/>
    <w:rsid w:val="006B3FAA"/>
    <w:rsid w:val="006B41E8"/>
    <w:rsid w:val="006B52EC"/>
    <w:rsid w:val="006C1B88"/>
    <w:rsid w:val="006C1F7C"/>
    <w:rsid w:val="006C2D90"/>
    <w:rsid w:val="006C30D6"/>
    <w:rsid w:val="006C496E"/>
    <w:rsid w:val="006D1188"/>
    <w:rsid w:val="006D33DF"/>
    <w:rsid w:val="006D428E"/>
    <w:rsid w:val="006E16D8"/>
    <w:rsid w:val="006E1C9A"/>
    <w:rsid w:val="006E3019"/>
    <w:rsid w:val="006F3F7B"/>
    <w:rsid w:val="006F6291"/>
    <w:rsid w:val="006F6D43"/>
    <w:rsid w:val="007005E6"/>
    <w:rsid w:val="007023F1"/>
    <w:rsid w:val="00703C81"/>
    <w:rsid w:val="0070545A"/>
    <w:rsid w:val="0070622D"/>
    <w:rsid w:val="00706769"/>
    <w:rsid w:val="00710A3E"/>
    <w:rsid w:val="00711F48"/>
    <w:rsid w:val="00716819"/>
    <w:rsid w:val="00717649"/>
    <w:rsid w:val="0072663D"/>
    <w:rsid w:val="00726775"/>
    <w:rsid w:val="00731013"/>
    <w:rsid w:val="00731810"/>
    <w:rsid w:val="00735408"/>
    <w:rsid w:val="00735828"/>
    <w:rsid w:val="00743118"/>
    <w:rsid w:val="0074718C"/>
    <w:rsid w:val="00754E22"/>
    <w:rsid w:val="00756E16"/>
    <w:rsid w:val="00757582"/>
    <w:rsid w:val="007632B2"/>
    <w:rsid w:val="007647C9"/>
    <w:rsid w:val="00766F49"/>
    <w:rsid w:val="00771124"/>
    <w:rsid w:val="00771652"/>
    <w:rsid w:val="007772D0"/>
    <w:rsid w:val="00783CBC"/>
    <w:rsid w:val="0078458D"/>
    <w:rsid w:val="00787B3E"/>
    <w:rsid w:val="00793C8E"/>
    <w:rsid w:val="0079401D"/>
    <w:rsid w:val="00796449"/>
    <w:rsid w:val="007A1FBB"/>
    <w:rsid w:val="007A4818"/>
    <w:rsid w:val="007A4DAC"/>
    <w:rsid w:val="007B2898"/>
    <w:rsid w:val="007C16D3"/>
    <w:rsid w:val="007C1A65"/>
    <w:rsid w:val="007C1BD7"/>
    <w:rsid w:val="007C4C60"/>
    <w:rsid w:val="007C64A6"/>
    <w:rsid w:val="007C7787"/>
    <w:rsid w:val="007C79B8"/>
    <w:rsid w:val="007D43BF"/>
    <w:rsid w:val="007D64D9"/>
    <w:rsid w:val="007E0D0E"/>
    <w:rsid w:val="007F11DE"/>
    <w:rsid w:val="007F3929"/>
    <w:rsid w:val="007F4B98"/>
    <w:rsid w:val="007F56C5"/>
    <w:rsid w:val="007F632D"/>
    <w:rsid w:val="007F6A39"/>
    <w:rsid w:val="007F6BD4"/>
    <w:rsid w:val="00801312"/>
    <w:rsid w:val="0080136C"/>
    <w:rsid w:val="008035B1"/>
    <w:rsid w:val="00804CE2"/>
    <w:rsid w:val="00810794"/>
    <w:rsid w:val="00812A1C"/>
    <w:rsid w:val="0081399B"/>
    <w:rsid w:val="00823149"/>
    <w:rsid w:val="008245CE"/>
    <w:rsid w:val="0082584C"/>
    <w:rsid w:val="00825CA4"/>
    <w:rsid w:val="008274D3"/>
    <w:rsid w:val="00827C40"/>
    <w:rsid w:val="00831F73"/>
    <w:rsid w:val="008349A6"/>
    <w:rsid w:val="00834EF5"/>
    <w:rsid w:val="0083574B"/>
    <w:rsid w:val="0083670B"/>
    <w:rsid w:val="00836D6A"/>
    <w:rsid w:val="00837FFB"/>
    <w:rsid w:val="00840DB6"/>
    <w:rsid w:val="00842197"/>
    <w:rsid w:val="00844EA2"/>
    <w:rsid w:val="008464A0"/>
    <w:rsid w:val="00846A52"/>
    <w:rsid w:val="0084728B"/>
    <w:rsid w:val="008473D0"/>
    <w:rsid w:val="008558D6"/>
    <w:rsid w:val="008674CA"/>
    <w:rsid w:val="00867FF6"/>
    <w:rsid w:val="00870637"/>
    <w:rsid w:val="00875D4D"/>
    <w:rsid w:val="008830A7"/>
    <w:rsid w:val="00883937"/>
    <w:rsid w:val="00883DBF"/>
    <w:rsid w:val="008854C9"/>
    <w:rsid w:val="00885AD6"/>
    <w:rsid w:val="0089004B"/>
    <w:rsid w:val="008917A1"/>
    <w:rsid w:val="00891957"/>
    <w:rsid w:val="00892B28"/>
    <w:rsid w:val="00894781"/>
    <w:rsid w:val="0089662B"/>
    <w:rsid w:val="008A39C5"/>
    <w:rsid w:val="008A3EE5"/>
    <w:rsid w:val="008A6AEE"/>
    <w:rsid w:val="008B0199"/>
    <w:rsid w:val="008B18AB"/>
    <w:rsid w:val="008B2EF8"/>
    <w:rsid w:val="008B3054"/>
    <w:rsid w:val="008B4B35"/>
    <w:rsid w:val="008B5A43"/>
    <w:rsid w:val="008B5EAA"/>
    <w:rsid w:val="008C0EBC"/>
    <w:rsid w:val="008C2062"/>
    <w:rsid w:val="008C62C8"/>
    <w:rsid w:val="008C718E"/>
    <w:rsid w:val="008D21C5"/>
    <w:rsid w:val="008D549A"/>
    <w:rsid w:val="008D7446"/>
    <w:rsid w:val="008E0766"/>
    <w:rsid w:val="008E1BDD"/>
    <w:rsid w:val="008E4E08"/>
    <w:rsid w:val="008E743E"/>
    <w:rsid w:val="008F08CE"/>
    <w:rsid w:val="008F1E2F"/>
    <w:rsid w:val="008F213D"/>
    <w:rsid w:val="008F3DB2"/>
    <w:rsid w:val="008F40AE"/>
    <w:rsid w:val="00903241"/>
    <w:rsid w:val="009033A2"/>
    <w:rsid w:val="00910C84"/>
    <w:rsid w:val="00916632"/>
    <w:rsid w:val="009170AD"/>
    <w:rsid w:val="00917CD0"/>
    <w:rsid w:val="00925D9B"/>
    <w:rsid w:val="00926F83"/>
    <w:rsid w:val="009345C0"/>
    <w:rsid w:val="0093563F"/>
    <w:rsid w:val="00936010"/>
    <w:rsid w:val="0093776B"/>
    <w:rsid w:val="009407C5"/>
    <w:rsid w:val="0095011A"/>
    <w:rsid w:val="009510CF"/>
    <w:rsid w:val="00951B23"/>
    <w:rsid w:val="009540B5"/>
    <w:rsid w:val="00954D52"/>
    <w:rsid w:val="00957FDA"/>
    <w:rsid w:val="00965458"/>
    <w:rsid w:val="009668E5"/>
    <w:rsid w:val="00970DA1"/>
    <w:rsid w:val="009717FF"/>
    <w:rsid w:val="00972607"/>
    <w:rsid w:val="00973803"/>
    <w:rsid w:val="00973EC4"/>
    <w:rsid w:val="00976ACE"/>
    <w:rsid w:val="00980EB7"/>
    <w:rsid w:val="0099161E"/>
    <w:rsid w:val="00993464"/>
    <w:rsid w:val="00993A36"/>
    <w:rsid w:val="0099423A"/>
    <w:rsid w:val="00995A8B"/>
    <w:rsid w:val="00997C0E"/>
    <w:rsid w:val="009A0F92"/>
    <w:rsid w:val="009B0DE3"/>
    <w:rsid w:val="009B3033"/>
    <w:rsid w:val="009B501E"/>
    <w:rsid w:val="009B59EC"/>
    <w:rsid w:val="009C091E"/>
    <w:rsid w:val="009C1E07"/>
    <w:rsid w:val="009D1637"/>
    <w:rsid w:val="009D2EFD"/>
    <w:rsid w:val="009D5999"/>
    <w:rsid w:val="009D60CB"/>
    <w:rsid w:val="009E0678"/>
    <w:rsid w:val="009E0924"/>
    <w:rsid w:val="009E2E0B"/>
    <w:rsid w:val="009E4326"/>
    <w:rsid w:val="009E4BE1"/>
    <w:rsid w:val="009E4C93"/>
    <w:rsid w:val="009F1342"/>
    <w:rsid w:val="009F605E"/>
    <w:rsid w:val="009F693C"/>
    <w:rsid w:val="00A01696"/>
    <w:rsid w:val="00A0174B"/>
    <w:rsid w:val="00A03683"/>
    <w:rsid w:val="00A03959"/>
    <w:rsid w:val="00A046C0"/>
    <w:rsid w:val="00A0605B"/>
    <w:rsid w:val="00A07D02"/>
    <w:rsid w:val="00A122F7"/>
    <w:rsid w:val="00A13681"/>
    <w:rsid w:val="00A13CB2"/>
    <w:rsid w:val="00A17042"/>
    <w:rsid w:val="00A24891"/>
    <w:rsid w:val="00A25C94"/>
    <w:rsid w:val="00A27EBD"/>
    <w:rsid w:val="00A31185"/>
    <w:rsid w:val="00A316E0"/>
    <w:rsid w:val="00A3189F"/>
    <w:rsid w:val="00A33DDC"/>
    <w:rsid w:val="00A34D53"/>
    <w:rsid w:val="00A353DB"/>
    <w:rsid w:val="00A404AC"/>
    <w:rsid w:val="00A406EE"/>
    <w:rsid w:val="00A41C69"/>
    <w:rsid w:val="00A466A3"/>
    <w:rsid w:val="00A47518"/>
    <w:rsid w:val="00A50B1F"/>
    <w:rsid w:val="00A51334"/>
    <w:rsid w:val="00A53CD6"/>
    <w:rsid w:val="00A541FC"/>
    <w:rsid w:val="00A57873"/>
    <w:rsid w:val="00A612AE"/>
    <w:rsid w:val="00A62FC6"/>
    <w:rsid w:val="00A72637"/>
    <w:rsid w:val="00A743F3"/>
    <w:rsid w:val="00A7655F"/>
    <w:rsid w:val="00A8106B"/>
    <w:rsid w:val="00A824E8"/>
    <w:rsid w:val="00A827B5"/>
    <w:rsid w:val="00A83EDA"/>
    <w:rsid w:val="00A877E6"/>
    <w:rsid w:val="00A9148C"/>
    <w:rsid w:val="00A93F0A"/>
    <w:rsid w:val="00A95509"/>
    <w:rsid w:val="00A95662"/>
    <w:rsid w:val="00AA2320"/>
    <w:rsid w:val="00AA2425"/>
    <w:rsid w:val="00AA30C5"/>
    <w:rsid w:val="00AA6C58"/>
    <w:rsid w:val="00AB1048"/>
    <w:rsid w:val="00AB3A2C"/>
    <w:rsid w:val="00AB4D34"/>
    <w:rsid w:val="00AC12E1"/>
    <w:rsid w:val="00AC26CC"/>
    <w:rsid w:val="00AC2CBD"/>
    <w:rsid w:val="00AC30DC"/>
    <w:rsid w:val="00AC32D3"/>
    <w:rsid w:val="00AC5AD3"/>
    <w:rsid w:val="00AD03AA"/>
    <w:rsid w:val="00AD1242"/>
    <w:rsid w:val="00AD21FE"/>
    <w:rsid w:val="00AD2E4A"/>
    <w:rsid w:val="00AE5948"/>
    <w:rsid w:val="00AE70F9"/>
    <w:rsid w:val="00AF494C"/>
    <w:rsid w:val="00AF6A0B"/>
    <w:rsid w:val="00B00C3F"/>
    <w:rsid w:val="00B05818"/>
    <w:rsid w:val="00B0589A"/>
    <w:rsid w:val="00B11919"/>
    <w:rsid w:val="00B11FD5"/>
    <w:rsid w:val="00B1209B"/>
    <w:rsid w:val="00B14D85"/>
    <w:rsid w:val="00B15499"/>
    <w:rsid w:val="00B164AA"/>
    <w:rsid w:val="00B1656C"/>
    <w:rsid w:val="00B1679F"/>
    <w:rsid w:val="00B16802"/>
    <w:rsid w:val="00B16CA2"/>
    <w:rsid w:val="00B20189"/>
    <w:rsid w:val="00B21A58"/>
    <w:rsid w:val="00B2465F"/>
    <w:rsid w:val="00B25D29"/>
    <w:rsid w:val="00B33490"/>
    <w:rsid w:val="00B376DF"/>
    <w:rsid w:val="00B400EC"/>
    <w:rsid w:val="00B41D04"/>
    <w:rsid w:val="00B425B9"/>
    <w:rsid w:val="00B45298"/>
    <w:rsid w:val="00B4553F"/>
    <w:rsid w:val="00B5076A"/>
    <w:rsid w:val="00B53D95"/>
    <w:rsid w:val="00B54DCC"/>
    <w:rsid w:val="00B560E9"/>
    <w:rsid w:val="00B572F9"/>
    <w:rsid w:val="00B60037"/>
    <w:rsid w:val="00B67EEE"/>
    <w:rsid w:val="00B87287"/>
    <w:rsid w:val="00B87330"/>
    <w:rsid w:val="00B876D0"/>
    <w:rsid w:val="00B87B03"/>
    <w:rsid w:val="00B91A48"/>
    <w:rsid w:val="00B92BCD"/>
    <w:rsid w:val="00B92C21"/>
    <w:rsid w:val="00B94422"/>
    <w:rsid w:val="00BA28A9"/>
    <w:rsid w:val="00BA33E1"/>
    <w:rsid w:val="00BA7100"/>
    <w:rsid w:val="00BB2FC3"/>
    <w:rsid w:val="00BB3A3E"/>
    <w:rsid w:val="00BB47A4"/>
    <w:rsid w:val="00BB5537"/>
    <w:rsid w:val="00BB7105"/>
    <w:rsid w:val="00BC1D45"/>
    <w:rsid w:val="00BC25D1"/>
    <w:rsid w:val="00BC6C24"/>
    <w:rsid w:val="00BC74C6"/>
    <w:rsid w:val="00BD108E"/>
    <w:rsid w:val="00BD2345"/>
    <w:rsid w:val="00BD520B"/>
    <w:rsid w:val="00BD6DBE"/>
    <w:rsid w:val="00BE0BD2"/>
    <w:rsid w:val="00BE153A"/>
    <w:rsid w:val="00BE2932"/>
    <w:rsid w:val="00BE6214"/>
    <w:rsid w:val="00BE6B02"/>
    <w:rsid w:val="00BE7472"/>
    <w:rsid w:val="00BF0EF5"/>
    <w:rsid w:val="00BF1A90"/>
    <w:rsid w:val="00C0107E"/>
    <w:rsid w:val="00C02521"/>
    <w:rsid w:val="00C02C84"/>
    <w:rsid w:val="00C061CC"/>
    <w:rsid w:val="00C1200E"/>
    <w:rsid w:val="00C2111F"/>
    <w:rsid w:val="00C33218"/>
    <w:rsid w:val="00C35B05"/>
    <w:rsid w:val="00C44EBA"/>
    <w:rsid w:val="00C50B6D"/>
    <w:rsid w:val="00C5105C"/>
    <w:rsid w:val="00C51082"/>
    <w:rsid w:val="00C531F5"/>
    <w:rsid w:val="00C53500"/>
    <w:rsid w:val="00C53AE7"/>
    <w:rsid w:val="00C62CB7"/>
    <w:rsid w:val="00C64778"/>
    <w:rsid w:val="00C64F7A"/>
    <w:rsid w:val="00C6647E"/>
    <w:rsid w:val="00C70FF5"/>
    <w:rsid w:val="00C7385F"/>
    <w:rsid w:val="00C73F92"/>
    <w:rsid w:val="00C76223"/>
    <w:rsid w:val="00C82DFF"/>
    <w:rsid w:val="00C938BC"/>
    <w:rsid w:val="00C9464C"/>
    <w:rsid w:val="00C95C7E"/>
    <w:rsid w:val="00C97673"/>
    <w:rsid w:val="00C976A4"/>
    <w:rsid w:val="00CA1FA2"/>
    <w:rsid w:val="00CA22F6"/>
    <w:rsid w:val="00CA23BA"/>
    <w:rsid w:val="00CB57B3"/>
    <w:rsid w:val="00CB7FBD"/>
    <w:rsid w:val="00CC1750"/>
    <w:rsid w:val="00CC203D"/>
    <w:rsid w:val="00CC544C"/>
    <w:rsid w:val="00CD05BF"/>
    <w:rsid w:val="00CD11AB"/>
    <w:rsid w:val="00CD2969"/>
    <w:rsid w:val="00CD5AD3"/>
    <w:rsid w:val="00CD623F"/>
    <w:rsid w:val="00CE0C70"/>
    <w:rsid w:val="00CE1091"/>
    <w:rsid w:val="00CE4081"/>
    <w:rsid w:val="00CE48C9"/>
    <w:rsid w:val="00CE5329"/>
    <w:rsid w:val="00CE5AC2"/>
    <w:rsid w:val="00CF0FB8"/>
    <w:rsid w:val="00CF14EB"/>
    <w:rsid w:val="00CF16DD"/>
    <w:rsid w:val="00CF2047"/>
    <w:rsid w:val="00CF23E0"/>
    <w:rsid w:val="00CF255D"/>
    <w:rsid w:val="00CF3EF4"/>
    <w:rsid w:val="00CF4AC3"/>
    <w:rsid w:val="00D00572"/>
    <w:rsid w:val="00D0107D"/>
    <w:rsid w:val="00D02961"/>
    <w:rsid w:val="00D03019"/>
    <w:rsid w:val="00D056FE"/>
    <w:rsid w:val="00D05E1A"/>
    <w:rsid w:val="00D170B5"/>
    <w:rsid w:val="00D23A48"/>
    <w:rsid w:val="00D243AC"/>
    <w:rsid w:val="00D27059"/>
    <w:rsid w:val="00D33F9D"/>
    <w:rsid w:val="00D34D29"/>
    <w:rsid w:val="00D370B0"/>
    <w:rsid w:val="00D42B28"/>
    <w:rsid w:val="00D434DB"/>
    <w:rsid w:val="00D448E5"/>
    <w:rsid w:val="00D44A5A"/>
    <w:rsid w:val="00D44F5F"/>
    <w:rsid w:val="00D46CA8"/>
    <w:rsid w:val="00D528DB"/>
    <w:rsid w:val="00D53168"/>
    <w:rsid w:val="00D63EE3"/>
    <w:rsid w:val="00D64223"/>
    <w:rsid w:val="00D67284"/>
    <w:rsid w:val="00D726BD"/>
    <w:rsid w:val="00D75A18"/>
    <w:rsid w:val="00D75E34"/>
    <w:rsid w:val="00D802B1"/>
    <w:rsid w:val="00D806D7"/>
    <w:rsid w:val="00D84FC1"/>
    <w:rsid w:val="00D86289"/>
    <w:rsid w:val="00D90180"/>
    <w:rsid w:val="00D90965"/>
    <w:rsid w:val="00D910C8"/>
    <w:rsid w:val="00D966D4"/>
    <w:rsid w:val="00DB0FCD"/>
    <w:rsid w:val="00DB1545"/>
    <w:rsid w:val="00DB2A50"/>
    <w:rsid w:val="00DB39C4"/>
    <w:rsid w:val="00DB4EF0"/>
    <w:rsid w:val="00DB685D"/>
    <w:rsid w:val="00DC4A1B"/>
    <w:rsid w:val="00DC4BDF"/>
    <w:rsid w:val="00DC64E5"/>
    <w:rsid w:val="00DD1167"/>
    <w:rsid w:val="00DD14A6"/>
    <w:rsid w:val="00DD183F"/>
    <w:rsid w:val="00DD29D6"/>
    <w:rsid w:val="00DD4ADA"/>
    <w:rsid w:val="00DD567F"/>
    <w:rsid w:val="00DD723A"/>
    <w:rsid w:val="00DD7B86"/>
    <w:rsid w:val="00DD7D24"/>
    <w:rsid w:val="00DE0697"/>
    <w:rsid w:val="00DE259C"/>
    <w:rsid w:val="00DF7C8D"/>
    <w:rsid w:val="00E00903"/>
    <w:rsid w:val="00E00F83"/>
    <w:rsid w:val="00E017EE"/>
    <w:rsid w:val="00E01CD9"/>
    <w:rsid w:val="00E027F7"/>
    <w:rsid w:val="00E031C4"/>
    <w:rsid w:val="00E038F5"/>
    <w:rsid w:val="00E0436F"/>
    <w:rsid w:val="00E047F5"/>
    <w:rsid w:val="00E10327"/>
    <w:rsid w:val="00E1341E"/>
    <w:rsid w:val="00E135B4"/>
    <w:rsid w:val="00E13B9F"/>
    <w:rsid w:val="00E1638C"/>
    <w:rsid w:val="00E16394"/>
    <w:rsid w:val="00E165D6"/>
    <w:rsid w:val="00E16F76"/>
    <w:rsid w:val="00E171D1"/>
    <w:rsid w:val="00E20F03"/>
    <w:rsid w:val="00E23DED"/>
    <w:rsid w:val="00E25FCD"/>
    <w:rsid w:val="00E26D00"/>
    <w:rsid w:val="00E27C04"/>
    <w:rsid w:val="00E3441A"/>
    <w:rsid w:val="00E37025"/>
    <w:rsid w:val="00E40C13"/>
    <w:rsid w:val="00E4166B"/>
    <w:rsid w:val="00E41A63"/>
    <w:rsid w:val="00E434AA"/>
    <w:rsid w:val="00E43BA7"/>
    <w:rsid w:val="00E46632"/>
    <w:rsid w:val="00E50DBB"/>
    <w:rsid w:val="00E52841"/>
    <w:rsid w:val="00E559FD"/>
    <w:rsid w:val="00E565C7"/>
    <w:rsid w:val="00E57824"/>
    <w:rsid w:val="00E57EB5"/>
    <w:rsid w:val="00E6088A"/>
    <w:rsid w:val="00E60A5C"/>
    <w:rsid w:val="00E60F55"/>
    <w:rsid w:val="00E63CC0"/>
    <w:rsid w:val="00E64CF9"/>
    <w:rsid w:val="00E71C04"/>
    <w:rsid w:val="00E84D9F"/>
    <w:rsid w:val="00E920F3"/>
    <w:rsid w:val="00E9615C"/>
    <w:rsid w:val="00E96234"/>
    <w:rsid w:val="00EA04FA"/>
    <w:rsid w:val="00EA1C7B"/>
    <w:rsid w:val="00EA2B23"/>
    <w:rsid w:val="00EA3627"/>
    <w:rsid w:val="00EB06B6"/>
    <w:rsid w:val="00EB64CF"/>
    <w:rsid w:val="00EB69CD"/>
    <w:rsid w:val="00EC00B1"/>
    <w:rsid w:val="00EC04DF"/>
    <w:rsid w:val="00EC42DF"/>
    <w:rsid w:val="00EC434B"/>
    <w:rsid w:val="00EC4E0B"/>
    <w:rsid w:val="00EC56FB"/>
    <w:rsid w:val="00ED312A"/>
    <w:rsid w:val="00ED38D1"/>
    <w:rsid w:val="00ED4AEF"/>
    <w:rsid w:val="00EE40E3"/>
    <w:rsid w:val="00EF3005"/>
    <w:rsid w:val="00EF5D3A"/>
    <w:rsid w:val="00EF6555"/>
    <w:rsid w:val="00EF67A3"/>
    <w:rsid w:val="00F0214D"/>
    <w:rsid w:val="00F03A4D"/>
    <w:rsid w:val="00F049D3"/>
    <w:rsid w:val="00F04C77"/>
    <w:rsid w:val="00F06168"/>
    <w:rsid w:val="00F10FDE"/>
    <w:rsid w:val="00F11BAB"/>
    <w:rsid w:val="00F15093"/>
    <w:rsid w:val="00F2224A"/>
    <w:rsid w:val="00F27767"/>
    <w:rsid w:val="00F3104F"/>
    <w:rsid w:val="00F321B4"/>
    <w:rsid w:val="00F33CFB"/>
    <w:rsid w:val="00F370E3"/>
    <w:rsid w:val="00F40652"/>
    <w:rsid w:val="00F45443"/>
    <w:rsid w:val="00F4659F"/>
    <w:rsid w:val="00F47532"/>
    <w:rsid w:val="00F50519"/>
    <w:rsid w:val="00F508F9"/>
    <w:rsid w:val="00F52BD2"/>
    <w:rsid w:val="00F52CBD"/>
    <w:rsid w:val="00F54CDF"/>
    <w:rsid w:val="00F610F9"/>
    <w:rsid w:val="00F63C0C"/>
    <w:rsid w:val="00F65408"/>
    <w:rsid w:val="00F65649"/>
    <w:rsid w:val="00F66EDD"/>
    <w:rsid w:val="00F72BF3"/>
    <w:rsid w:val="00F744CA"/>
    <w:rsid w:val="00F74582"/>
    <w:rsid w:val="00F7594A"/>
    <w:rsid w:val="00F76302"/>
    <w:rsid w:val="00F779FE"/>
    <w:rsid w:val="00F77A3E"/>
    <w:rsid w:val="00F82002"/>
    <w:rsid w:val="00F832A4"/>
    <w:rsid w:val="00F85506"/>
    <w:rsid w:val="00F871C1"/>
    <w:rsid w:val="00F91988"/>
    <w:rsid w:val="00F9352F"/>
    <w:rsid w:val="00F941D7"/>
    <w:rsid w:val="00F94890"/>
    <w:rsid w:val="00F94FFD"/>
    <w:rsid w:val="00F95354"/>
    <w:rsid w:val="00FA3727"/>
    <w:rsid w:val="00FA4B6F"/>
    <w:rsid w:val="00FA4F1F"/>
    <w:rsid w:val="00FA4FFB"/>
    <w:rsid w:val="00FB1670"/>
    <w:rsid w:val="00FB2101"/>
    <w:rsid w:val="00FB2433"/>
    <w:rsid w:val="00FB2CB6"/>
    <w:rsid w:val="00FB3940"/>
    <w:rsid w:val="00FB4DB8"/>
    <w:rsid w:val="00FB4E9C"/>
    <w:rsid w:val="00FB54FD"/>
    <w:rsid w:val="00FB6D34"/>
    <w:rsid w:val="00FB6DD2"/>
    <w:rsid w:val="00FB6ECB"/>
    <w:rsid w:val="00FC11ED"/>
    <w:rsid w:val="00FC20C2"/>
    <w:rsid w:val="00FC3C98"/>
    <w:rsid w:val="00FC5539"/>
    <w:rsid w:val="00FD0600"/>
    <w:rsid w:val="00FD39FE"/>
    <w:rsid w:val="00FD42EC"/>
    <w:rsid w:val="00FD5397"/>
    <w:rsid w:val="00FD5E50"/>
    <w:rsid w:val="00FE10B5"/>
    <w:rsid w:val="00FE286A"/>
    <w:rsid w:val="00FE3C3F"/>
    <w:rsid w:val="00FE5E2E"/>
    <w:rsid w:val="00FE61D7"/>
    <w:rsid w:val="00FF1A22"/>
    <w:rsid w:val="00FF2609"/>
    <w:rsid w:val="00FF27EB"/>
    <w:rsid w:val="00FF35F5"/>
    <w:rsid w:val="00FF4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FB3"/>
  <w15:chartTrackingRefBased/>
  <w15:docId w15:val="{7DD7F3E4-BA18-41BE-8B30-20EDA3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1E4"/>
    <w:pPr>
      <w:spacing w:after="8" w:line="270"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376DF"/>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normaltextrun">
    <w:name w:val="normaltextrun"/>
    <w:basedOn w:val="Fuentedeprrafopredeter"/>
    <w:rsid w:val="009717FF"/>
  </w:style>
  <w:style w:type="character" w:customStyle="1" w:styleId="eop">
    <w:name w:val="eop"/>
    <w:basedOn w:val="Fuentedeprrafopredeter"/>
    <w:rsid w:val="009717FF"/>
  </w:style>
  <w:style w:type="paragraph" w:customStyle="1" w:styleId="footnotedescription">
    <w:name w:val="footnote description"/>
    <w:next w:val="Normal"/>
    <w:link w:val="footnotedescriptionChar"/>
    <w:hidden/>
    <w:rsid w:val="00A3189F"/>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A3189F"/>
    <w:rPr>
      <w:rFonts w:ascii="Arial" w:eastAsia="Arial" w:hAnsi="Arial" w:cs="Arial"/>
      <w:color w:val="000000"/>
      <w:sz w:val="16"/>
      <w:lang w:eastAsia="es-CO"/>
    </w:rPr>
  </w:style>
  <w:style w:type="character" w:customStyle="1" w:styleId="footnotemark">
    <w:name w:val="footnote mark"/>
    <w:hidden/>
    <w:rsid w:val="00A3189F"/>
    <w:rPr>
      <w:rFonts w:ascii="Arial" w:eastAsia="Arial" w:hAnsi="Arial" w:cs="Arial"/>
      <w:color w:val="000000"/>
      <w:sz w:val="16"/>
      <w:vertAlign w:val="superscript"/>
    </w:rPr>
  </w:style>
  <w:style w:type="paragraph" w:styleId="Sinespaciado">
    <w:name w:val="No Spacing"/>
    <w:uiPriority w:val="1"/>
    <w:qFormat/>
    <w:rsid w:val="00735828"/>
    <w:pPr>
      <w:spacing w:after="0" w:line="240" w:lineRule="auto"/>
    </w:pPr>
  </w:style>
  <w:style w:type="paragraph" w:customStyle="1" w:styleId="Default">
    <w:name w:val="Default"/>
    <w:rsid w:val="00D44A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2835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28355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28355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2835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3554"/>
    <w:pPr>
      <w:spacing w:after="0" w:line="240" w:lineRule="auto"/>
      <w:ind w:left="0" w:firstLine="0"/>
    </w:pPr>
    <w:rPr>
      <w:rFonts w:asciiTheme="minorHAnsi" w:eastAsiaTheme="minorHAnsi" w:hAnsiTheme="minorHAnsi" w:cstheme="minorBidi"/>
      <w:color w:val="auto"/>
      <w:vertAlign w:val="superscript"/>
      <w:lang w:eastAsia="en-US"/>
    </w:rPr>
  </w:style>
  <w:style w:type="paragraph" w:customStyle="1" w:styleId="Estilo">
    <w:name w:val="Estilo"/>
    <w:rsid w:val="0028355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83554"/>
  </w:style>
  <w:style w:type="paragraph" w:customStyle="1" w:styleId="m-1432338166989147073gmail-msonormal">
    <w:name w:val="m_-1432338166989147073gmail-msonormal"/>
    <w:basedOn w:val="Normal"/>
    <w:rsid w:val="002B1CC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semiHidden/>
    <w:unhideWhenUsed/>
    <w:rsid w:val="004B5F45"/>
    <w:rPr>
      <w:sz w:val="16"/>
      <w:szCs w:val="16"/>
    </w:rPr>
  </w:style>
  <w:style w:type="paragraph" w:customStyle="1" w:styleId="margenizq0punto5margender0punto5">
    <w:name w:val="margen_izq_0punto5_margen_der_0punto5"/>
    <w:basedOn w:val="Normal"/>
    <w:rsid w:val="00B00C3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customStyle="1" w:styleId="paragraph">
    <w:name w:val="paragraph"/>
    <w:basedOn w:val="Normal"/>
    <w:rsid w:val="00BD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comentario">
    <w:name w:val="annotation text"/>
    <w:basedOn w:val="Normal"/>
    <w:link w:val="TextocomentarioCar"/>
    <w:uiPriority w:val="99"/>
    <w:semiHidden/>
    <w:unhideWhenUsed/>
    <w:rsid w:val="00C010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07E"/>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0107E"/>
    <w:rPr>
      <w:b/>
      <w:bCs/>
    </w:rPr>
  </w:style>
  <w:style w:type="character" w:customStyle="1" w:styleId="AsuntodelcomentarioCar">
    <w:name w:val="Asunto del comentario Car"/>
    <w:basedOn w:val="TextocomentarioCar"/>
    <w:link w:val="Asuntodelcomentario"/>
    <w:uiPriority w:val="99"/>
    <w:semiHidden/>
    <w:rsid w:val="00C0107E"/>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C01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07E"/>
    <w:rPr>
      <w:rFonts w:ascii="Segoe UI" w:eastAsia="Arial"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omun@contraloriacali.gov.co" TargetMode="External"/><Relationship Id="rId13" Type="http://schemas.openxmlformats.org/officeDocument/2006/relationships/hyperlink" Target="https://bu.com.co/sites/default/files/2023-10/Sentencia%20SC328%20del%2021%20de%20septiembre%20de%202023.pdf"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legislacion.vlex.com.co/vid/estatuto-organico-sistema-financiero-58473679"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_fiscal@contraloriacali.gov.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islacion.vlex.com.co/vid/estatuto-organico-sistema-financiero-58473679" TargetMode="External"/><Relationship Id="rId23" Type="http://schemas.openxmlformats.org/officeDocument/2006/relationships/fontTable" Target="fontTable.xml"/><Relationship Id="rId10" Type="http://schemas.openxmlformats.org/officeDocument/2006/relationships/hyperlink" Target="mailto:doresponsafiscal@contraloriacali.gov.co"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hyperlink" Target="mailto:notificacionesjudiciales@contraloriacali.gov.co" TargetMode="External"/><Relationship Id="rId14" Type="http://schemas.openxmlformats.org/officeDocument/2006/relationships/hyperlink" Target="https://bu.com.co/sites/default/files/2023-10/Sentencia%20SC328%20del%2021%20de%20septiembre%20de%202023.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A84B-FBD9-4F9C-B63E-4772F467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1747</TotalTime>
  <Pages>25</Pages>
  <Words>12921</Words>
  <Characters>71066</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773</cp:revision>
  <cp:lastPrinted>2024-12-26T20:43:00Z</cp:lastPrinted>
  <dcterms:created xsi:type="dcterms:W3CDTF">2023-07-14T19:53:00Z</dcterms:created>
  <dcterms:modified xsi:type="dcterms:W3CDTF">2024-12-26T20:43:00Z</dcterms:modified>
</cp:coreProperties>
</file>