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203" w14:textId="49C10133" w:rsidR="008F08AD" w:rsidRPr="007F6BD5" w:rsidRDefault="00A22039" w:rsidP="00CA2F25">
      <w:pPr>
        <w:spacing w:after="0"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Cali, marzo</w:t>
      </w:r>
      <w:r w:rsidR="009D7B80">
        <w:rPr>
          <w:rFonts w:ascii="Palatino Linotype" w:hAnsi="Palatino Linotype" w:cs="Arial"/>
        </w:rPr>
        <w:t xml:space="preserve"> 8</w:t>
      </w:r>
      <w:r>
        <w:rPr>
          <w:rFonts w:ascii="Palatino Linotype" w:hAnsi="Palatino Linotype" w:cs="Arial"/>
        </w:rPr>
        <w:t xml:space="preserve"> del 2024</w:t>
      </w:r>
    </w:p>
    <w:p w14:paraId="663D56CE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5A380A74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Señores</w:t>
      </w:r>
    </w:p>
    <w:p w14:paraId="32F5FA61" w14:textId="0C55C1CC" w:rsidR="009D724D" w:rsidRPr="007F6BD5" w:rsidRDefault="006C2C75" w:rsidP="00CA2F25">
      <w:pPr>
        <w:spacing w:after="0"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CHUBB SEGUROS COLOMBIA</w:t>
      </w:r>
      <w:r w:rsidR="009D724D" w:rsidRPr="007F6BD5">
        <w:rPr>
          <w:rFonts w:ascii="Palatino Linotype" w:hAnsi="Palatino Linotype" w:cs="Arial"/>
          <w:b/>
          <w:bCs/>
        </w:rPr>
        <w:t xml:space="preserve"> S.A.</w:t>
      </w:r>
    </w:p>
    <w:p w14:paraId="2EAEC8C9" w14:textId="65CDD06F" w:rsidR="00C52C18" w:rsidRPr="007F6BD5" w:rsidRDefault="00000000" w:rsidP="00CA2F25">
      <w:pPr>
        <w:spacing w:after="0" w:line="276" w:lineRule="auto"/>
        <w:jc w:val="both"/>
        <w:rPr>
          <w:rFonts w:ascii="Palatino Linotype" w:hAnsi="Palatino Linotype" w:cs="Arial"/>
        </w:rPr>
      </w:pPr>
      <w:hyperlink r:id="rId8" w:history="1">
        <w:r w:rsidR="00C52C18" w:rsidRPr="0039748B">
          <w:rPr>
            <w:rStyle w:val="Hipervnculo"/>
            <w:rFonts w:ascii="Palatino Linotype" w:hAnsi="Palatino Linotype" w:cs="Arial"/>
          </w:rPr>
          <w:t>notificacioneslegales.co@chubb.com</w:t>
        </w:r>
      </w:hyperlink>
    </w:p>
    <w:p w14:paraId="2545EA83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0642665B" w14:textId="0BC9CCB5" w:rsidR="009D724D" w:rsidRPr="007F6BD5" w:rsidRDefault="009D724D" w:rsidP="00CA2F25">
      <w:pPr>
        <w:spacing w:after="0" w:line="276" w:lineRule="auto"/>
        <w:ind w:left="2124" w:hanging="1419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Referencia:</w:t>
      </w:r>
      <w:r w:rsidR="00682030" w:rsidRPr="007F6BD5">
        <w:rPr>
          <w:rFonts w:ascii="Palatino Linotype" w:hAnsi="Palatino Linotype" w:cs="Arial"/>
        </w:rPr>
        <w:tab/>
        <w:t>Interrupción término de prescripción. Caso</w:t>
      </w:r>
      <w:r w:rsidR="00C304CF" w:rsidRPr="007F6BD5">
        <w:rPr>
          <w:rFonts w:ascii="Palatino Linotype" w:hAnsi="Palatino Linotype" w:cs="Arial"/>
        </w:rPr>
        <w:t xml:space="preserve"> </w:t>
      </w:r>
      <w:r w:rsidR="00E7228C">
        <w:rPr>
          <w:rFonts w:ascii="Palatino Linotype" w:hAnsi="Palatino Linotype" w:cs="Arial"/>
        </w:rPr>
        <w:t xml:space="preserve">Lorena Arcila Henao </w:t>
      </w:r>
      <w:r w:rsidR="006C2C75">
        <w:rPr>
          <w:rFonts w:ascii="Palatino Linotype" w:hAnsi="Palatino Linotype" w:cs="Arial"/>
        </w:rPr>
        <w:t>y otro</w:t>
      </w:r>
      <w:r w:rsidR="00C304CF" w:rsidRPr="007F6BD5">
        <w:rPr>
          <w:rFonts w:ascii="Palatino Linotype" w:hAnsi="Palatino Linotype" w:cs="Arial"/>
        </w:rPr>
        <w:t xml:space="preserve"> </w:t>
      </w:r>
      <w:r w:rsidR="00682030" w:rsidRPr="007F6BD5">
        <w:rPr>
          <w:rFonts w:ascii="Palatino Linotype" w:hAnsi="Palatino Linotype" w:cs="Arial"/>
          <w:i/>
          <w:iCs/>
        </w:rPr>
        <w:t xml:space="preserve">vs. </w:t>
      </w:r>
      <w:r w:rsidR="00E7228C">
        <w:rPr>
          <w:rFonts w:ascii="Palatino Linotype" w:hAnsi="Palatino Linotype" w:cs="Arial"/>
        </w:rPr>
        <w:t>Instituto de Religiosas San José de Gerona – Clínica Nuestra Señora de los Remedios</w:t>
      </w:r>
      <w:r w:rsidR="00682030" w:rsidRPr="007F6BD5">
        <w:rPr>
          <w:rFonts w:ascii="Palatino Linotype" w:hAnsi="Palatino Linotype" w:cs="Arial"/>
        </w:rPr>
        <w:t xml:space="preserve">. </w:t>
      </w:r>
    </w:p>
    <w:p w14:paraId="3C5D5E77" w14:textId="6A112EBD" w:rsidR="00682030" w:rsidRPr="007F6BD5" w:rsidRDefault="00682030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ab/>
        <w:t>Póliza:</w:t>
      </w:r>
      <w:r w:rsidRPr="007F6BD5">
        <w:rPr>
          <w:rFonts w:ascii="Palatino Linotype" w:hAnsi="Palatino Linotype" w:cs="Arial"/>
        </w:rPr>
        <w:tab/>
      </w:r>
      <w:r w:rsidRPr="007F6BD5">
        <w:rPr>
          <w:rFonts w:ascii="Palatino Linotype" w:hAnsi="Palatino Linotype" w:cs="Arial"/>
        </w:rPr>
        <w:tab/>
      </w:r>
      <w:r w:rsidR="00E7228C">
        <w:t>12/0059564</w:t>
      </w:r>
      <w:r w:rsidR="006C2C75" w:rsidRPr="006C2C75">
        <w:rPr>
          <w:rFonts w:ascii="Palatino Linotype" w:hAnsi="Palatino Linotype" w:cs="Arial"/>
        </w:rPr>
        <w:t xml:space="preserve"> </w:t>
      </w:r>
      <w:r w:rsidR="00BF3A44">
        <w:rPr>
          <w:rFonts w:ascii="Palatino Linotype" w:hAnsi="Palatino Linotype" w:cs="Arial"/>
        </w:rPr>
        <w:t>vigencia 01 de marzo 2023 hasta 31 diciembre del 2023</w:t>
      </w:r>
    </w:p>
    <w:p w14:paraId="64FDD7EA" w14:textId="77777777" w:rsidR="00682030" w:rsidRPr="007F6BD5" w:rsidRDefault="00682030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ab/>
      </w:r>
    </w:p>
    <w:p w14:paraId="7951204B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Respetados señores:</w:t>
      </w:r>
    </w:p>
    <w:p w14:paraId="3850D9DA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10C25CBC" w14:textId="195103F7" w:rsidR="006067D8" w:rsidRPr="007F6BD5" w:rsidRDefault="006067D8" w:rsidP="00C52C18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En virtud de lo dispuesto en el artículo 94 del Código General del Proceso</w:t>
      </w:r>
      <w:r w:rsidRPr="007F6BD5">
        <w:rPr>
          <w:rStyle w:val="Refdenotaalpie"/>
          <w:rFonts w:ascii="Palatino Linotype" w:hAnsi="Palatino Linotype" w:cs="Arial"/>
        </w:rPr>
        <w:footnoteReference w:id="1"/>
      </w:r>
      <w:r w:rsidRPr="007F6BD5">
        <w:rPr>
          <w:rFonts w:ascii="Palatino Linotype" w:hAnsi="Palatino Linotype" w:cs="Arial"/>
        </w:rPr>
        <w:t xml:space="preserve">, por medio de la presente comunicación, respetuosamente elevo el </w:t>
      </w:r>
      <w:r w:rsidRPr="007F6BD5">
        <w:rPr>
          <w:rFonts w:ascii="Palatino Linotype" w:hAnsi="Palatino Linotype" w:cs="Arial"/>
          <w:b/>
          <w:bCs/>
        </w:rPr>
        <w:t>requerimiento</w:t>
      </w:r>
      <w:r w:rsidRPr="007F6BD5">
        <w:rPr>
          <w:rFonts w:ascii="Palatino Linotype" w:hAnsi="Palatino Linotype" w:cs="Arial"/>
        </w:rPr>
        <w:t xml:space="preserve"> de que trata el precepto normativo indicado, </w:t>
      </w:r>
      <w:r w:rsidR="003C0E05" w:rsidRPr="007F6BD5">
        <w:rPr>
          <w:rFonts w:ascii="Palatino Linotype" w:hAnsi="Palatino Linotype" w:cs="Arial"/>
        </w:rPr>
        <w:t xml:space="preserve">con </w:t>
      </w:r>
      <w:r w:rsidR="00CE2E84" w:rsidRPr="007F6BD5">
        <w:rPr>
          <w:rFonts w:ascii="Palatino Linotype" w:hAnsi="Palatino Linotype" w:cs="Arial"/>
        </w:rPr>
        <w:t>ocasión</w:t>
      </w:r>
      <w:r w:rsidR="003C0E05" w:rsidRPr="007F6BD5">
        <w:rPr>
          <w:rFonts w:ascii="Palatino Linotype" w:hAnsi="Palatino Linotype" w:cs="Arial"/>
        </w:rPr>
        <w:t xml:space="preserve"> </w:t>
      </w:r>
      <w:r w:rsidR="00CE2E84" w:rsidRPr="007F6BD5">
        <w:rPr>
          <w:rFonts w:ascii="Palatino Linotype" w:hAnsi="Palatino Linotype" w:cs="Arial"/>
        </w:rPr>
        <w:t>a</w:t>
      </w:r>
      <w:r w:rsidR="003C0E05" w:rsidRPr="007F6BD5">
        <w:rPr>
          <w:rFonts w:ascii="Palatino Linotype" w:hAnsi="Palatino Linotype" w:cs="Arial"/>
        </w:rPr>
        <w:t xml:space="preserve"> la reclamación presentada por l</w:t>
      </w:r>
      <w:r w:rsidR="00BF3A44">
        <w:rPr>
          <w:rFonts w:ascii="Palatino Linotype" w:hAnsi="Palatino Linotype" w:cs="Arial"/>
        </w:rPr>
        <w:t>a</w:t>
      </w:r>
      <w:r w:rsidR="007F6BD5">
        <w:rPr>
          <w:rFonts w:ascii="Palatino Linotype" w:hAnsi="Palatino Linotype" w:cs="Arial"/>
        </w:rPr>
        <w:t>s</w:t>
      </w:r>
      <w:r w:rsidR="003C0E05" w:rsidRPr="007F6BD5">
        <w:rPr>
          <w:rFonts w:ascii="Palatino Linotype" w:hAnsi="Palatino Linotype" w:cs="Arial"/>
        </w:rPr>
        <w:t xml:space="preserve"> señor</w:t>
      </w:r>
      <w:r w:rsidR="00BF3A44">
        <w:rPr>
          <w:rFonts w:ascii="Palatino Linotype" w:hAnsi="Palatino Linotype" w:cs="Arial"/>
        </w:rPr>
        <w:t>a</w:t>
      </w:r>
      <w:r w:rsidR="007F6BD5">
        <w:rPr>
          <w:rFonts w:ascii="Palatino Linotype" w:hAnsi="Palatino Linotype" w:cs="Arial"/>
        </w:rPr>
        <w:t xml:space="preserve">s </w:t>
      </w:r>
      <w:r w:rsidR="00BF3A44">
        <w:rPr>
          <w:rFonts w:ascii="Palatino Linotype" w:hAnsi="Palatino Linotype" w:cs="Arial"/>
        </w:rPr>
        <w:t>Lorena Arcila Henao y Flor Maria Henao</w:t>
      </w:r>
      <w:r w:rsidR="005349CC" w:rsidRPr="007F6BD5">
        <w:rPr>
          <w:rFonts w:ascii="Palatino Linotype" w:hAnsi="Palatino Linotype" w:cs="Arial"/>
        </w:rPr>
        <w:t xml:space="preserve"> </w:t>
      </w:r>
      <w:r w:rsidR="008E7C14">
        <w:rPr>
          <w:rFonts w:ascii="Palatino Linotype" w:hAnsi="Palatino Linotype" w:cs="Arial"/>
        </w:rPr>
        <w:t>contra</w:t>
      </w:r>
      <w:r w:rsidR="005349CC" w:rsidRPr="007F6BD5">
        <w:rPr>
          <w:rFonts w:ascii="Palatino Linotype" w:hAnsi="Palatino Linotype" w:cs="Arial"/>
        </w:rPr>
        <w:t xml:space="preserve"> </w:t>
      </w:r>
      <w:r w:rsidR="00BF3A44">
        <w:rPr>
          <w:rFonts w:ascii="Palatino Linotype" w:hAnsi="Palatino Linotype" w:cs="Arial"/>
        </w:rPr>
        <w:t>el Instituto de Religiosas San José de Gerona – clínica Nuestra Señora de los Remedios</w:t>
      </w:r>
      <w:r w:rsidR="005349CC" w:rsidRPr="007F6BD5">
        <w:rPr>
          <w:rFonts w:ascii="Palatino Linotype" w:hAnsi="Palatino Linotype" w:cs="Arial"/>
        </w:rPr>
        <w:t>,</w:t>
      </w:r>
      <w:r w:rsidR="003C0E05" w:rsidRPr="007F6BD5">
        <w:rPr>
          <w:rFonts w:ascii="Palatino Linotype" w:hAnsi="Palatino Linotype" w:cs="Arial"/>
        </w:rPr>
        <w:t xml:space="preserve"> </w:t>
      </w:r>
      <w:r w:rsidR="00FB14D4">
        <w:rPr>
          <w:rFonts w:ascii="Palatino Linotype" w:hAnsi="Palatino Linotype" w:cs="Arial"/>
        </w:rPr>
        <w:t>por los presuntos perjuicios de tipo patrimonial (</w:t>
      </w:r>
      <w:r w:rsidR="00BF3A44">
        <w:rPr>
          <w:rFonts w:ascii="Palatino Linotype" w:hAnsi="Palatino Linotype" w:cs="Arial"/>
        </w:rPr>
        <w:t>lucro cesante</w:t>
      </w:r>
      <w:r w:rsidR="00FB14D4">
        <w:rPr>
          <w:rFonts w:ascii="Palatino Linotype" w:hAnsi="Palatino Linotype" w:cs="Arial"/>
        </w:rPr>
        <w:t xml:space="preserve">), </w:t>
      </w:r>
      <w:r w:rsidR="00BF3A44">
        <w:rPr>
          <w:rFonts w:ascii="Palatino Linotype" w:hAnsi="Palatino Linotype" w:cs="Arial"/>
        </w:rPr>
        <w:t xml:space="preserve">y </w:t>
      </w:r>
      <w:r w:rsidR="00FB14D4">
        <w:rPr>
          <w:rFonts w:ascii="Palatino Linotype" w:hAnsi="Palatino Linotype" w:cs="Arial"/>
        </w:rPr>
        <w:t>daño moral presuntamente ocasionados a l</w:t>
      </w:r>
      <w:r w:rsidR="00BF3A44">
        <w:rPr>
          <w:rFonts w:ascii="Palatino Linotype" w:hAnsi="Palatino Linotype" w:cs="Arial"/>
        </w:rPr>
        <w:t>a</w:t>
      </w:r>
      <w:r w:rsidR="00FB14D4">
        <w:rPr>
          <w:rFonts w:ascii="Palatino Linotype" w:hAnsi="Palatino Linotype" w:cs="Arial"/>
        </w:rPr>
        <w:t>s mism</w:t>
      </w:r>
      <w:r w:rsidR="00BF3A44">
        <w:rPr>
          <w:rFonts w:ascii="Palatino Linotype" w:hAnsi="Palatino Linotype" w:cs="Arial"/>
        </w:rPr>
        <w:t>a</w:t>
      </w:r>
      <w:r w:rsidR="00FB14D4">
        <w:rPr>
          <w:rFonts w:ascii="Palatino Linotype" w:hAnsi="Palatino Linotype" w:cs="Arial"/>
        </w:rPr>
        <w:t xml:space="preserve">s, </w:t>
      </w:r>
      <w:r w:rsidR="003C0E05" w:rsidRPr="007F6BD5">
        <w:rPr>
          <w:rFonts w:ascii="Palatino Linotype" w:hAnsi="Palatino Linotype" w:cs="Arial"/>
        </w:rPr>
        <w:t xml:space="preserve">con </w:t>
      </w:r>
      <w:r w:rsidR="00CE2E84" w:rsidRPr="007F6BD5">
        <w:rPr>
          <w:rFonts w:ascii="Palatino Linotype" w:hAnsi="Palatino Linotype" w:cs="Arial"/>
        </w:rPr>
        <w:t>fundamento en</w:t>
      </w:r>
      <w:r w:rsidR="003C0E05" w:rsidRPr="007F6BD5">
        <w:rPr>
          <w:rFonts w:ascii="Palatino Linotype" w:hAnsi="Palatino Linotype" w:cs="Arial"/>
        </w:rPr>
        <w:t xml:space="preserve"> la presunta atención médica que recibió </w:t>
      </w:r>
      <w:r w:rsidR="00BF3A44">
        <w:rPr>
          <w:rFonts w:ascii="Palatino Linotype" w:hAnsi="Palatino Linotype" w:cs="Arial"/>
        </w:rPr>
        <w:t xml:space="preserve">el señor Ramón Arcila </w:t>
      </w:r>
      <w:r w:rsidR="003C0E05" w:rsidRPr="007F6BD5">
        <w:rPr>
          <w:rFonts w:ascii="Palatino Linotype" w:hAnsi="Palatino Linotype" w:cs="Arial"/>
        </w:rPr>
        <w:t>en</w:t>
      </w:r>
      <w:r w:rsidR="001438FF" w:rsidRPr="007F6BD5">
        <w:rPr>
          <w:rFonts w:ascii="Palatino Linotype" w:hAnsi="Palatino Linotype" w:cs="Arial"/>
        </w:rPr>
        <w:t xml:space="preserve"> </w:t>
      </w:r>
      <w:r w:rsidR="005349CC" w:rsidRPr="007F6BD5">
        <w:rPr>
          <w:rFonts w:ascii="Palatino Linotype" w:hAnsi="Palatino Linotype" w:cs="Arial"/>
        </w:rPr>
        <w:t>la nombrada institución</w:t>
      </w:r>
      <w:r w:rsidR="003C0E05" w:rsidRPr="007F6BD5">
        <w:rPr>
          <w:rFonts w:ascii="Palatino Linotype" w:hAnsi="Palatino Linotype" w:cs="Arial"/>
        </w:rPr>
        <w:t xml:space="preserve">, </w:t>
      </w:r>
      <w:r w:rsidR="00BF3A44">
        <w:rPr>
          <w:rFonts w:ascii="Palatino Linotype" w:hAnsi="Palatino Linotype" w:cs="Arial"/>
        </w:rPr>
        <w:t>los días 20 y 21 de noviembre del 2013, y donde posteriormente falleció</w:t>
      </w:r>
      <w:r w:rsidR="00925943" w:rsidRPr="007F6BD5">
        <w:rPr>
          <w:rFonts w:ascii="Palatino Linotype" w:hAnsi="Palatino Linotype" w:cs="Arial"/>
        </w:rPr>
        <w:t>,</w:t>
      </w:r>
      <w:r w:rsidR="003C0E05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 xml:space="preserve">a fin de </w:t>
      </w:r>
      <w:r w:rsidRPr="007F6BD5">
        <w:rPr>
          <w:rFonts w:ascii="Palatino Linotype" w:hAnsi="Palatino Linotype" w:cs="Arial"/>
          <w:b/>
          <w:bCs/>
          <w:u w:val="single"/>
        </w:rPr>
        <w:t xml:space="preserve">interrumpir las acciones derivadas del contrato de seguro </w:t>
      </w:r>
      <w:r w:rsidRPr="007F6BD5">
        <w:rPr>
          <w:rFonts w:ascii="Palatino Linotype" w:hAnsi="Palatino Linotype" w:cs="Arial"/>
        </w:rPr>
        <w:t>citado en referencia, teniendo en cuenta que:</w:t>
      </w:r>
    </w:p>
    <w:p w14:paraId="0B6C584A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5683C701" w14:textId="05BC9545" w:rsidR="006067D8" w:rsidRPr="007F6BD5" w:rsidRDefault="003F3508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L</w:t>
      </w:r>
      <w:r w:rsidR="006067D8" w:rsidRPr="007F6BD5">
        <w:rPr>
          <w:rFonts w:ascii="Palatino Linotype" w:hAnsi="Palatino Linotype" w:cs="Arial"/>
        </w:rPr>
        <w:t xml:space="preserve">os hechos que motivaron </w:t>
      </w:r>
      <w:r w:rsidR="00145D6D" w:rsidRPr="007F6BD5">
        <w:rPr>
          <w:rFonts w:ascii="Palatino Linotype" w:hAnsi="Palatino Linotype" w:cs="Arial"/>
        </w:rPr>
        <w:t>la</w:t>
      </w:r>
      <w:r w:rsidR="006067D8" w:rsidRPr="007F6BD5">
        <w:rPr>
          <w:rFonts w:ascii="Palatino Linotype" w:hAnsi="Palatino Linotype" w:cs="Arial"/>
        </w:rPr>
        <w:t xml:space="preserve"> reclamación </w:t>
      </w:r>
      <w:r w:rsidR="00145D6D" w:rsidRPr="007F6BD5">
        <w:rPr>
          <w:rFonts w:ascii="Palatino Linotype" w:hAnsi="Palatino Linotype" w:cs="Arial"/>
        </w:rPr>
        <w:t xml:space="preserve">aducida </w:t>
      </w:r>
      <w:r w:rsidR="006067D8" w:rsidRPr="007F6BD5">
        <w:rPr>
          <w:rFonts w:ascii="Palatino Linotype" w:hAnsi="Palatino Linotype" w:cs="Arial"/>
        </w:rPr>
        <w:t xml:space="preserve">ocurrieron </w:t>
      </w:r>
      <w:r w:rsidR="00C304CF" w:rsidRPr="007F6BD5">
        <w:rPr>
          <w:rFonts w:ascii="Palatino Linotype" w:hAnsi="Palatino Linotype" w:cs="Arial"/>
        </w:rPr>
        <w:t xml:space="preserve">los días </w:t>
      </w:r>
      <w:r w:rsidR="00BF3A44">
        <w:rPr>
          <w:rFonts w:ascii="Palatino Linotype" w:hAnsi="Palatino Linotype" w:cs="Arial"/>
        </w:rPr>
        <w:t>20 y 21 de noviembre del 2013</w:t>
      </w:r>
    </w:p>
    <w:p w14:paraId="18764D14" w14:textId="77777777" w:rsidR="00CB03E8" w:rsidRPr="007F6BD5" w:rsidRDefault="00CB03E8" w:rsidP="00CA2F25">
      <w:pPr>
        <w:pStyle w:val="Prrafodelista"/>
        <w:spacing w:after="0" w:line="276" w:lineRule="auto"/>
        <w:ind w:left="360"/>
        <w:jc w:val="both"/>
        <w:rPr>
          <w:rFonts w:ascii="Palatino Linotype" w:hAnsi="Palatino Linotype" w:cs="Arial"/>
        </w:rPr>
      </w:pPr>
    </w:p>
    <w:p w14:paraId="4925128E" w14:textId="421808B0" w:rsidR="002B6A1C" w:rsidRDefault="00F02A0B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Dicha</w:t>
      </w:r>
      <w:r w:rsidR="006067D8" w:rsidRPr="007F6BD5">
        <w:rPr>
          <w:rFonts w:ascii="Palatino Linotype" w:hAnsi="Palatino Linotype" w:cs="Arial"/>
        </w:rPr>
        <w:t xml:space="preserve"> reclamación extrajudicial</w:t>
      </w:r>
      <w:r w:rsidRPr="007F6BD5">
        <w:rPr>
          <w:rFonts w:ascii="Palatino Linotype" w:hAnsi="Palatino Linotype" w:cs="Arial"/>
        </w:rPr>
        <w:t>,</w:t>
      </w:r>
      <w:r w:rsidR="006067D8" w:rsidRPr="007F6BD5">
        <w:rPr>
          <w:rFonts w:ascii="Palatino Linotype" w:hAnsi="Palatino Linotype" w:cs="Arial"/>
        </w:rPr>
        <w:t xml:space="preserve"> que se adelantó ante el Centro de Conciliación </w:t>
      </w:r>
      <w:r w:rsidR="00BF3A44">
        <w:rPr>
          <w:rFonts w:ascii="Palatino Linotype" w:hAnsi="Palatino Linotype" w:cs="Arial"/>
        </w:rPr>
        <w:t>de la Personería de Santiago de Cali</w:t>
      </w:r>
      <w:r w:rsidRPr="007F6BD5">
        <w:rPr>
          <w:rFonts w:ascii="Palatino Linotype" w:hAnsi="Palatino Linotype" w:cs="Arial"/>
        </w:rPr>
        <w:t>,</w:t>
      </w:r>
      <w:r w:rsidR="00CF4A6F" w:rsidRPr="007F6BD5">
        <w:rPr>
          <w:rFonts w:ascii="Palatino Linotype" w:hAnsi="Palatino Linotype" w:cs="Arial"/>
        </w:rPr>
        <w:t xml:space="preserve"> </w:t>
      </w:r>
      <w:r w:rsidR="006067D8" w:rsidRPr="007F6BD5">
        <w:rPr>
          <w:rFonts w:ascii="Palatino Linotype" w:hAnsi="Palatino Linotype" w:cs="Arial"/>
        </w:rPr>
        <w:t xml:space="preserve">tuvo lugar el </w:t>
      </w:r>
      <w:r w:rsidR="00BF3A44">
        <w:rPr>
          <w:rFonts w:ascii="Palatino Linotype" w:hAnsi="Palatino Linotype" w:cs="Arial"/>
        </w:rPr>
        <w:t>día 05 de diciembre del 2023</w:t>
      </w:r>
      <w:r w:rsidR="00C304CF" w:rsidRPr="007F6BD5">
        <w:rPr>
          <w:rFonts w:ascii="Palatino Linotype" w:hAnsi="Palatino Linotype" w:cs="Arial"/>
        </w:rPr>
        <w:t>.</w:t>
      </w:r>
      <w:r w:rsidR="00BF3A44">
        <w:rPr>
          <w:rFonts w:ascii="Palatino Linotype" w:hAnsi="Palatino Linotype" w:cs="Arial"/>
        </w:rPr>
        <w:t xml:space="preserve"> </w:t>
      </w:r>
      <w:r w:rsidR="00792BCF">
        <w:rPr>
          <w:rFonts w:ascii="Palatino Linotype" w:hAnsi="Palatino Linotype" w:cs="Arial"/>
        </w:rPr>
        <w:t xml:space="preserve">En esta instancia fue convocada </w:t>
      </w:r>
      <w:r w:rsidR="00BF3A44">
        <w:rPr>
          <w:rFonts w:ascii="Palatino Linotype" w:hAnsi="Palatino Linotype" w:cs="Arial"/>
        </w:rPr>
        <w:t>mi representada</w:t>
      </w:r>
      <w:r w:rsidR="00792BCF">
        <w:rPr>
          <w:rFonts w:ascii="Palatino Linotype" w:hAnsi="Palatino Linotype" w:cs="Arial"/>
        </w:rPr>
        <w:t xml:space="preserve">.  </w:t>
      </w:r>
    </w:p>
    <w:p w14:paraId="4BCD4DDB" w14:textId="77777777" w:rsidR="00FB14D4" w:rsidRPr="00FB14D4" w:rsidRDefault="00FB14D4" w:rsidP="00CA2F25">
      <w:pPr>
        <w:pStyle w:val="Prrafodelista"/>
        <w:spacing w:line="276" w:lineRule="auto"/>
        <w:rPr>
          <w:rFonts w:ascii="Palatino Linotype" w:hAnsi="Palatino Linotype" w:cs="Arial"/>
        </w:rPr>
      </w:pPr>
    </w:p>
    <w:p w14:paraId="562E5DB2" w14:textId="31CC4B09" w:rsidR="00FB14D4" w:rsidRPr="007F6BD5" w:rsidRDefault="00BF3A44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Las convocantes</w:t>
      </w:r>
      <w:r w:rsidR="00FB14D4">
        <w:rPr>
          <w:rFonts w:ascii="Palatino Linotype" w:hAnsi="Palatino Linotype" w:cs="Arial"/>
        </w:rPr>
        <w:t xml:space="preserve"> en tal diligencia iniciaron proceso de responsabilidad civil médica en contra de mi procurada a fin de ser indemnizados por los perjuicios patrimoniales y extrapatrimoniales presuntamente </w:t>
      </w:r>
      <w:r w:rsidR="008E7C14">
        <w:rPr>
          <w:rFonts w:ascii="Palatino Linotype" w:hAnsi="Palatino Linotype" w:cs="Arial"/>
        </w:rPr>
        <w:t>causados</w:t>
      </w:r>
      <w:r w:rsidR="00FB14D4">
        <w:rPr>
          <w:rFonts w:ascii="Palatino Linotype" w:hAnsi="Palatino Linotype" w:cs="Arial"/>
        </w:rPr>
        <w:t xml:space="preserve"> a </w:t>
      </w:r>
      <w:r w:rsidR="008E7C14">
        <w:rPr>
          <w:rFonts w:ascii="Palatino Linotype" w:hAnsi="Palatino Linotype" w:cs="Arial"/>
        </w:rPr>
        <w:t>ellos</w:t>
      </w:r>
      <w:r w:rsidR="00FB14D4">
        <w:rPr>
          <w:rFonts w:ascii="Palatino Linotype" w:hAnsi="Palatino Linotype" w:cs="Arial"/>
        </w:rPr>
        <w:t xml:space="preserve"> como consecuencia de la atención médica brindada </w:t>
      </w:r>
      <w:r w:rsidR="00016B9A">
        <w:rPr>
          <w:rFonts w:ascii="Palatino Linotype" w:hAnsi="Palatino Linotype" w:cs="Arial"/>
        </w:rPr>
        <w:t xml:space="preserve">al señor Ramón Arcila </w:t>
      </w:r>
      <w:r w:rsidR="008E7C14">
        <w:rPr>
          <w:rFonts w:ascii="Palatino Linotype" w:hAnsi="Palatino Linotype" w:cs="Arial"/>
        </w:rPr>
        <w:t>por</w:t>
      </w:r>
      <w:r w:rsidR="00FB14D4">
        <w:rPr>
          <w:rFonts w:ascii="Palatino Linotype" w:hAnsi="Palatino Linotype" w:cs="Arial"/>
        </w:rPr>
        <w:t xml:space="preserve"> </w:t>
      </w:r>
      <w:r w:rsidR="00016B9A">
        <w:rPr>
          <w:rFonts w:ascii="Palatino Linotype" w:hAnsi="Palatino Linotype" w:cs="Arial"/>
        </w:rPr>
        <w:t>el Instituto de Religiosas San José de Gerona – Clínica Nuestra Señora de los Remedios</w:t>
      </w:r>
      <w:r w:rsidR="008E7C14">
        <w:rPr>
          <w:rFonts w:ascii="Palatino Linotype" w:hAnsi="Palatino Linotype" w:cs="Arial"/>
        </w:rPr>
        <w:t>.,</w:t>
      </w:r>
      <w:r w:rsidR="00FB14D4">
        <w:rPr>
          <w:rFonts w:ascii="Palatino Linotype" w:hAnsi="Palatino Linotype" w:cs="Arial"/>
        </w:rPr>
        <w:t xml:space="preserve"> </w:t>
      </w:r>
      <w:r w:rsidR="00FB14D4" w:rsidRPr="007F6BD5">
        <w:rPr>
          <w:rFonts w:ascii="Palatino Linotype" w:hAnsi="Palatino Linotype" w:cs="Arial"/>
        </w:rPr>
        <w:t xml:space="preserve">los días </w:t>
      </w:r>
      <w:r w:rsidR="00016B9A">
        <w:rPr>
          <w:rFonts w:ascii="Palatino Linotype" w:hAnsi="Palatino Linotype" w:cs="Arial"/>
        </w:rPr>
        <w:t>20 y 21 de noviembre del 2013.</w:t>
      </w:r>
      <w:r w:rsidR="00FB14D4">
        <w:rPr>
          <w:rFonts w:ascii="Palatino Linotype" w:hAnsi="Palatino Linotype" w:cs="Arial"/>
        </w:rPr>
        <w:t xml:space="preserve"> Este proceso es de conocimiento del Juzgado</w:t>
      </w:r>
      <w:r w:rsidR="008E7C14">
        <w:rPr>
          <w:rFonts w:ascii="Palatino Linotype" w:hAnsi="Palatino Linotype" w:cs="Arial"/>
        </w:rPr>
        <w:t xml:space="preserve"> </w:t>
      </w:r>
      <w:r w:rsidR="00016B9A">
        <w:rPr>
          <w:rFonts w:ascii="Palatino Linotype" w:hAnsi="Palatino Linotype" w:cs="Arial"/>
        </w:rPr>
        <w:t>Séptimo</w:t>
      </w:r>
      <w:r w:rsidR="00016B9A">
        <w:rPr>
          <w:rFonts w:ascii="Palatino Linotype" w:hAnsi="Palatino Linotype" w:cs="Arial"/>
        </w:rPr>
        <w:t xml:space="preserve"> </w:t>
      </w:r>
      <w:r w:rsidR="008E7C14">
        <w:rPr>
          <w:rFonts w:ascii="Palatino Linotype" w:hAnsi="Palatino Linotype" w:cs="Arial"/>
        </w:rPr>
        <w:t>C</w:t>
      </w:r>
      <w:r w:rsidR="00FB14D4">
        <w:rPr>
          <w:rFonts w:ascii="Palatino Linotype" w:hAnsi="Palatino Linotype" w:cs="Arial"/>
        </w:rPr>
        <w:t xml:space="preserve">ivil del </w:t>
      </w:r>
      <w:r w:rsidR="008E7C14">
        <w:rPr>
          <w:rFonts w:ascii="Palatino Linotype" w:hAnsi="Palatino Linotype" w:cs="Arial"/>
        </w:rPr>
        <w:t>C</w:t>
      </w:r>
      <w:r w:rsidR="00FB14D4">
        <w:rPr>
          <w:rFonts w:ascii="Palatino Linotype" w:hAnsi="Palatino Linotype" w:cs="Arial"/>
        </w:rPr>
        <w:t xml:space="preserve">ircuito de </w:t>
      </w:r>
      <w:r w:rsidR="006C2C75">
        <w:rPr>
          <w:rFonts w:ascii="Palatino Linotype" w:hAnsi="Palatino Linotype" w:cs="Arial"/>
        </w:rPr>
        <w:t xml:space="preserve">Cali </w:t>
      </w:r>
      <w:r w:rsidR="00FB14D4">
        <w:rPr>
          <w:rFonts w:ascii="Palatino Linotype" w:hAnsi="Palatino Linotype" w:cs="Arial"/>
        </w:rPr>
        <w:t xml:space="preserve">bajo el radicado </w:t>
      </w:r>
      <w:r w:rsidR="00016B9A" w:rsidRPr="00016B9A">
        <w:rPr>
          <w:rFonts w:ascii="Palatino Linotype" w:hAnsi="Palatino Linotype" w:cs="Arial"/>
        </w:rPr>
        <w:t>760013103007-2024-00002-00</w:t>
      </w:r>
      <w:r w:rsidR="00FB14D4">
        <w:rPr>
          <w:rFonts w:ascii="Palatino Linotype" w:hAnsi="Palatino Linotype" w:cs="Arial"/>
        </w:rPr>
        <w:t xml:space="preserve">. </w:t>
      </w:r>
    </w:p>
    <w:p w14:paraId="2E45B71D" w14:textId="77777777" w:rsidR="002B6A1C" w:rsidRPr="007F6BD5" w:rsidRDefault="002B6A1C" w:rsidP="00CA2F25">
      <w:pPr>
        <w:pStyle w:val="Prrafodelista"/>
        <w:spacing w:line="276" w:lineRule="auto"/>
        <w:rPr>
          <w:rFonts w:ascii="Palatino Linotype" w:hAnsi="Palatino Linotype" w:cs="Arial"/>
        </w:rPr>
      </w:pPr>
    </w:p>
    <w:p w14:paraId="375EA860" w14:textId="15ABA27D" w:rsidR="00CB03E8" w:rsidRPr="007F6BD5" w:rsidRDefault="00FB14D4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La </w:t>
      </w:r>
      <w:r w:rsidR="00792BCF">
        <w:rPr>
          <w:rFonts w:ascii="Palatino Linotype" w:hAnsi="Palatino Linotype" w:cs="Arial"/>
        </w:rPr>
        <w:t>P</w:t>
      </w:r>
      <w:r w:rsidR="002B6A1C" w:rsidRPr="007F6BD5">
        <w:rPr>
          <w:rFonts w:ascii="Palatino Linotype" w:hAnsi="Palatino Linotype" w:cs="Arial"/>
        </w:rPr>
        <w:t xml:space="preserve">óliza </w:t>
      </w:r>
      <w:r w:rsidR="00A23188">
        <w:rPr>
          <w:rFonts w:ascii="Palatino Linotype" w:hAnsi="Palatino Linotype" w:cs="Arial"/>
        </w:rPr>
        <w:t xml:space="preserve">de Responsabilidad Civil Para </w:t>
      </w:r>
      <w:r w:rsidR="00016B9A">
        <w:rPr>
          <w:rFonts w:ascii="Palatino Linotype" w:hAnsi="Palatino Linotype" w:cs="Arial"/>
        </w:rPr>
        <w:t>Médicos y Profesionales de la Salud</w:t>
      </w:r>
      <w:r w:rsidR="00A23188">
        <w:rPr>
          <w:rFonts w:ascii="Palatino Linotype" w:hAnsi="Palatino Linotype" w:cs="Arial"/>
        </w:rPr>
        <w:t xml:space="preserve"> No.</w:t>
      </w:r>
      <w:r w:rsidR="00016B9A" w:rsidRPr="00016B9A">
        <w:rPr>
          <w:rFonts w:ascii="Palatino Linotype" w:hAnsi="Palatino Linotype" w:cs="Arial"/>
        </w:rPr>
        <w:t>12/</w:t>
      </w:r>
      <w:proofErr w:type="gramStart"/>
      <w:r w:rsidR="00016B9A" w:rsidRPr="00016B9A">
        <w:rPr>
          <w:rFonts w:ascii="Palatino Linotype" w:hAnsi="Palatino Linotype" w:cs="Arial"/>
        </w:rPr>
        <w:t xml:space="preserve">0059564 </w:t>
      </w:r>
      <w:r w:rsidR="006067D8" w:rsidRPr="007F6BD5">
        <w:rPr>
          <w:rFonts w:ascii="Palatino Linotype" w:hAnsi="Palatino Linotype" w:cs="Arial"/>
        </w:rPr>
        <w:t>,</w:t>
      </w:r>
      <w:proofErr w:type="gramEnd"/>
      <w:r w:rsidR="006067D8" w:rsidRPr="007F6BD5">
        <w:rPr>
          <w:rFonts w:ascii="Palatino Linotype" w:hAnsi="Palatino Linotype" w:cs="Arial"/>
        </w:rPr>
        <w:t xml:space="preserve"> comprendió la vigencia entre el </w:t>
      </w:r>
      <w:r w:rsidR="00016B9A">
        <w:rPr>
          <w:rFonts w:ascii="Palatino Linotype" w:hAnsi="Palatino Linotype" w:cs="Arial"/>
          <w:b/>
          <w:bCs/>
        </w:rPr>
        <w:t>01 de marzo del 2023 hasta el 31 de diciembre del 2023</w:t>
      </w:r>
    </w:p>
    <w:p w14:paraId="472E0746" w14:textId="77777777" w:rsidR="00183A26" w:rsidRPr="007F6BD5" w:rsidRDefault="00183A26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456E4CCE" w14:textId="74854968" w:rsidR="006067D8" w:rsidRDefault="006067D8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El contrato de seguro en cuestión se concertó bajo la modalidad de </w:t>
      </w:r>
      <w:proofErr w:type="spellStart"/>
      <w:r w:rsidRPr="007F6BD5">
        <w:rPr>
          <w:rFonts w:ascii="Palatino Linotype" w:hAnsi="Palatino Linotype" w:cs="Arial"/>
          <w:i/>
          <w:iCs/>
        </w:rPr>
        <w:t>claims</w:t>
      </w:r>
      <w:proofErr w:type="spellEnd"/>
      <w:r w:rsidRPr="007F6BD5">
        <w:rPr>
          <w:rFonts w:ascii="Palatino Linotype" w:hAnsi="Palatino Linotype" w:cs="Arial"/>
          <w:i/>
          <w:iCs/>
        </w:rPr>
        <w:t xml:space="preserve"> </w:t>
      </w:r>
      <w:proofErr w:type="spellStart"/>
      <w:r w:rsidRPr="007F6BD5">
        <w:rPr>
          <w:rFonts w:ascii="Palatino Linotype" w:hAnsi="Palatino Linotype" w:cs="Arial"/>
          <w:i/>
          <w:iCs/>
        </w:rPr>
        <w:t>made</w:t>
      </w:r>
      <w:proofErr w:type="spellEnd"/>
      <w:r w:rsidRPr="007F6BD5">
        <w:rPr>
          <w:rFonts w:ascii="Palatino Linotype" w:hAnsi="Palatino Linotype" w:cs="Arial"/>
        </w:rPr>
        <w:t>, con un per</w:t>
      </w:r>
      <w:r w:rsidR="00911474" w:rsidRPr="007F6BD5">
        <w:rPr>
          <w:rFonts w:ascii="Palatino Linotype" w:hAnsi="Palatino Linotype" w:cs="Arial"/>
        </w:rPr>
        <w:t>í</w:t>
      </w:r>
      <w:r w:rsidRPr="007F6BD5">
        <w:rPr>
          <w:rFonts w:ascii="Palatino Linotype" w:hAnsi="Palatino Linotype" w:cs="Arial"/>
        </w:rPr>
        <w:t xml:space="preserve">odo de retroactividad desde el </w:t>
      </w:r>
      <w:r w:rsidR="00016B9A">
        <w:rPr>
          <w:rFonts w:ascii="Palatino Linotype" w:hAnsi="Palatino Linotype" w:cs="Arial"/>
          <w:b/>
          <w:bCs/>
        </w:rPr>
        <w:t>31 de enero del 2011</w:t>
      </w:r>
      <w:r w:rsidRPr="007F6BD5">
        <w:rPr>
          <w:rFonts w:ascii="Palatino Linotype" w:hAnsi="Palatino Linotype" w:cs="Arial"/>
        </w:rPr>
        <w:t>.</w:t>
      </w:r>
    </w:p>
    <w:p w14:paraId="53741D39" w14:textId="77777777" w:rsidR="00FB14D4" w:rsidRPr="00FB14D4" w:rsidRDefault="00FB14D4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4264CB00" w14:textId="2BEE1850" w:rsidR="00C52C18" w:rsidRPr="00C52C18" w:rsidRDefault="006067D8" w:rsidP="00C52C18">
      <w:pPr>
        <w:pStyle w:val="Prrafodelista"/>
        <w:spacing w:after="0" w:line="276" w:lineRule="auto"/>
        <w:ind w:left="36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En consecuencia, </w:t>
      </w:r>
      <w:r w:rsidR="008B64E0" w:rsidRPr="007F6BD5">
        <w:rPr>
          <w:rFonts w:ascii="Palatino Linotype" w:hAnsi="Palatino Linotype" w:cs="Arial"/>
        </w:rPr>
        <w:t xml:space="preserve">se tiene que: </w:t>
      </w:r>
      <w:r w:rsidR="008B64E0" w:rsidRPr="007F6BD5">
        <w:rPr>
          <w:rFonts w:ascii="Palatino Linotype" w:hAnsi="Palatino Linotype" w:cs="Arial"/>
          <w:b/>
          <w:bCs/>
        </w:rPr>
        <w:t>(i)</w:t>
      </w:r>
      <w:r w:rsidR="006074C6" w:rsidRPr="007F6BD5">
        <w:rPr>
          <w:rFonts w:ascii="Palatino Linotype" w:hAnsi="Palatino Linotype" w:cs="Arial"/>
          <w:b/>
          <w:bCs/>
        </w:rPr>
        <w:t xml:space="preserve"> </w:t>
      </w:r>
      <w:r w:rsidRPr="007F6BD5">
        <w:rPr>
          <w:rFonts w:ascii="Palatino Linotype" w:hAnsi="Palatino Linotype" w:cs="Arial"/>
        </w:rPr>
        <w:t xml:space="preserve">los hechos objeto de </w:t>
      </w:r>
      <w:r w:rsidR="008B64E0" w:rsidRPr="007F6BD5">
        <w:rPr>
          <w:rFonts w:ascii="Palatino Linotype" w:hAnsi="Palatino Linotype" w:cs="Arial"/>
        </w:rPr>
        <w:t>reclamación ocurrieron dentro del per</w:t>
      </w:r>
      <w:r w:rsidR="00911474" w:rsidRPr="007F6BD5">
        <w:rPr>
          <w:rFonts w:ascii="Palatino Linotype" w:hAnsi="Palatino Linotype" w:cs="Arial"/>
        </w:rPr>
        <w:t>í</w:t>
      </w:r>
      <w:r w:rsidR="008B64E0" w:rsidRPr="007F6BD5">
        <w:rPr>
          <w:rFonts w:ascii="Palatino Linotype" w:hAnsi="Palatino Linotype" w:cs="Arial"/>
        </w:rPr>
        <w:t>odo de retroactividad pac</w:t>
      </w:r>
      <w:r w:rsidR="006074C6" w:rsidRPr="007F6BD5">
        <w:rPr>
          <w:rFonts w:ascii="Palatino Linotype" w:hAnsi="Palatino Linotype" w:cs="Arial"/>
        </w:rPr>
        <w:t>t</w:t>
      </w:r>
      <w:r w:rsidR="008B64E0" w:rsidRPr="007F6BD5">
        <w:rPr>
          <w:rFonts w:ascii="Palatino Linotype" w:hAnsi="Palatino Linotype" w:cs="Arial"/>
        </w:rPr>
        <w:t xml:space="preserve">ado, y </w:t>
      </w:r>
      <w:r w:rsidR="008B64E0" w:rsidRPr="007F6BD5">
        <w:rPr>
          <w:rFonts w:ascii="Palatino Linotype" w:hAnsi="Palatino Linotype" w:cs="Arial"/>
          <w:b/>
          <w:bCs/>
        </w:rPr>
        <w:t xml:space="preserve">(ii) </w:t>
      </w:r>
      <w:r w:rsidR="008B64E0" w:rsidRPr="007F6BD5">
        <w:rPr>
          <w:rFonts w:ascii="Palatino Linotype" w:hAnsi="Palatino Linotype" w:cs="Arial"/>
        </w:rPr>
        <w:t xml:space="preserve">dicha reclamación se formuló en vigencia de la Póliza identificada. </w:t>
      </w:r>
    </w:p>
    <w:p w14:paraId="133AE4F4" w14:textId="77777777" w:rsidR="00CB03E8" w:rsidRPr="007F6BD5" w:rsidRDefault="00CB03E8" w:rsidP="00C52C18">
      <w:pPr>
        <w:pStyle w:val="Prrafodelista"/>
      </w:pPr>
    </w:p>
    <w:p w14:paraId="556E3064" w14:textId="5404727F" w:rsidR="00CB03E8" w:rsidRDefault="00CB03E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En virtud de lo anterior, </w:t>
      </w:r>
      <w:r w:rsidR="00016B9A">
        <w:rPr>
          <w:rFonts w:ascii="Palatino Linotype" w:hAnsi="Palatino Linotype" w:cs="Arial"/>
        </w:rPr>
        <w:t>el Instituto de Religiosas San José de Gerona – Clínica Nuestra Señora de los Remedios</w:t>
      </w:r>
      <w:r w:rsidRPr="007F6BD5">
        <w:rPr>
          <w:rFonts w:ascii="Palatino Linotype" w:hAnsi="Palatino Linotype" w:cs="Arial"/>
        </w:rPr>
        <w:t xml:space="preserve"> interrumpe el término de la prescripción de la acción </w:t>
      </w:r>
      <w:r w:rsidR="00AF68E4" w:rsidRPr="007F6BD5">
        <w:rPr>
          <w:rFonts w:ascii="Palatino Linotype" w:hAnsi="Palatino Linotype" w:cs="Arial"/>
        </w:rPr>
        <w:t xml:space="preserve">derivada de </w:t>
      </w:r>
      <w:r w:rsidR="00792BCF">
        <w:rPr>
          <w:rFonts w:ascii="Palatino Linotype" w:hAnsi="Palatino Linotype" w:cs="Arial"/>
        </w:rPr>
        <w:t>la P</w:t>
      </w:r>
      <w:r w:rsidR="00792BCF" w:rsidRPr="007F6BD5">
        <w:rPr>
          <w:rFonts w:ascii="Palatino Linotype" w:hAnsi="Palatino Linotype" w:cs="Arial"/>
        </w:rPr>
        <w:t xml:space="preserve">óliza </w:t>
      </w:r>
      <w:r w:rsidR="00792BCF">
        <w:rPr>
          <w:rFonts w:ascii="Palatino Linotype" w:hAnsi="Palatino Linotype" w:cs="Arial"/>
        </w:rPr>
        <w:t xml:space="preserve">de Responsabilidad Civil Para </w:t>
      </w:r>
      <w:r w:rsidR="00016B9A">
        <w:rPr>
          <w:rFonts w:ascii="Palatino Linotype" w:hAnsi="Palatino Linotype" w:cs="Arial"/>
        </w:rPr>
        <w:t>Médicos y Profesionales de la Salud</w:t>
      </w:r>
      <w:r w:rsidR="00792BCF">
        <w:rPr>
          <w:rFonts w:ascii="Palatino Linotype" w:hAnsi="Palatino Linotype" w:cs="Arial"/>
        </w:rPr>
        <w:t xml:space="preserve"> No.</w:t>
      </w:r>
      <w:r w:rsidR="00792BCF" w:rsidRPr="007F6BD5">
        <w:rPr>
          <w:rFonts w:ascii="Palatino Linotype" w:hAnsi="Palatino Linotype" w:cs="Arial"/>
        </w:rPr>
        <w:t xml:space="preserve"> </w:t>
      </w:r>
      <w:r w:rsidR="00016B9A">
        <w:rPr>
          <w:rFonts w:ascii="Palatino Linotype" w:hAnsi="Palatino Linotype" w:cs="Arial"/>
        </w:rPr>
        <w:t>12/0059564</w:t>
      </w:r>
      <w:r w:rsidR="00AF68E4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>tendiente al pago o reembolso de la eventual indemnización que se constituya como obligación a su cargo, con ocasión a la reclamación aludida en líneas anteriores.</w:t>
      </w:r>
    </w:p>
    <w:p w14:paraId="33F47068" w14:textId="77777777" w:rsidR="008E7C14" w:rsidRPr="007F6BD5" w:rsidRDefault="008E7C14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5693A701" w14:textId="4C3DD817" w:rsidR="007A64E1" w:rsidRPr="007F6BD5" w:rsidRDefault="007A64E1" w:rsidP="00CA2F25">
      <w:pPr>
        <w:pStyle w:val="Prrafodelista"/>
        <w:spacing w:line="276" w:lineRule="auto"/>
        <w:ind w:left="0"/>
        <w:jc w:val="center"/>
        <w:rPr>
          <w:rFonts w:ascii="Palatino Linotype" w:hAnsi="Palatino Linotype" w:cs="Arial"/>
          <w:b/>
          <w:bCs/>
        </w:rPr>
      </w:pPr>
      <w:r w:rsidRPr="007F6BD5">
        <w:rPr>
          <w:rFonts w:ascii="Palatino Linotype" w:hAnsi="Palatino Linotype" w:cs="Arial"/>
          <w:b/>
          <w:bCs/>
        </w:rPr>
        <w:t>ANEXO</w:t>
      </w:r>
      <w:r w:rsidR="00CA2F25">
        <w:rPr>
          <w:rFonts w:ascii="Palatino Linotype" w:hAnsi="Palatino Linotype" w:cs="Arial"/>
          <w:b/>
          <w:bCs/>
        </w:rPr>
        <w:t>S</w:t>
      </w:r>
    </w:p>
    <w:p w14:paraId="797AA5F4" w14:textId="77777777" w:rsidR="007A64E1" w:rsidRPr="007F6BD5" w:rsidRDefault="007A64E1" w:rsidP="00CA2F25">
      <w:pPr>
        <w:pStyle w:val="Prrafodelista"/>
        <w:spacing w:line="276" w:lineRule="auto"/>
        <w:ind w:left="0"/>
        <w:jc w:val="center"/>
        <w:rPr>
          <w:rFonts w:ascii="Palatino Linotype" w:hAnsi="Palatino Linotype" w:cs="Arial"/>
          <w:b/>
          <w:bCs/>
        </w:rPr>
      </w:pPr>
    </w:p>
    <w:p w14:paraId="713D849D" w14:textId="24E72BED" w:rsidR="007A64E1" w:rsidRPr="00FB14D4" w:rsidRDefault="007A64E1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7F6BD5">
        <w:rPr>
          <w:rFonts w:ascii="Palatino Linotype" w:hAnsi="Palatino Linotype" w:cs="Arial"/>
        </w:rPr>
        <w:t xml:space="preserve">Copia de la constancia de </w:t>
      </w:r>
      <w:r w:rsidR="00016B9A">
        <w:rPr>
          <w:rFonts w:ascii="Palatino Linotype" w:hAnsi="Palatino Linotype" w:cs="Arial"/>
        </w:rPr>
        <w:t>inasistencia No. 1745</w:t>
      </w:r>
      <w:r w:rsidRPr="007F6BD5">
        <w:rPr>
          <w:rFonts w:ascii="Palatino Linotype" w:hAnsi="Palatino Linotype" w:cs="Arial"/>
        </w:rPr>
        <w:t xml:space="preserve">, emitida por el </w:t>
      </w:r>
      <w:r w:rsidR="002B6A1C" w:rsidRPr="007F6BD5">
        <w:rPr>
          <w:rFonts w:ascii="Palatino Linotype" w:hAnsi="Palatino Linotype" w:cs="Arial"/>
        </w:rPr>
        <w:t xml:space="preserve">Centro de Conciliación </w:t>
      </w:r>
      <w:r w:rsidR="00016B9A">
        <w:rPr>
          <w:rFonts w:ascii="Palatino Linotype" w:hAnsi="Palatino Linotype" w:cs="Arial"/>
        </w:rPr>
        <w:t>de la Personería de Santiago de Cali</w:t>
      </w:r>
    </w:p>
    <w:p w14:paraId="528E816F" w14:textId="21F8FA03" w:rsidR="00FB14D4" w:rsidRPr="00C52C18" w:rsidRDefault="00FB14D4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Copia del auto admisorio de la demanda.</w:t>
      </w:r>
    </w:p>
    <w:p w14:paraId="05FEBD79" w14:textId="6209FDC8" w:rsidR="00792BCF" w:rsidRPr="007F6BD5" w:rsidRDefault="00792BCF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Demanda </w:t>
      </w:r>
      <w:r w:rsidR="00C52C18">
        <w:rPr>
          <w:rFonts w:ascii="Palatino Linotype" w:hAnsi="Palatino Linotype" w:cs="Arial"/>
        </w:rPr>
        <w:t>presentada por la</w:t>
      </w:r>
      <w:r w:rsidR="00016B9A">
        <w:rPr>
          <w:rFonts w:ascii="Palatino Linotype" w:hAnsi="Palatino Linotype" w:cs="Arial"/>
        </w:rPr>
        <w:t>s</w:t>
      </w:r>
      <w:r w:rsidR="00C52C18">
        <w:rPr>
          <w:rFonts w:ascii="Palatino Linotype" w:hAnsi="Palatino Linotype" w:cs="Arial"/>
        </w:rPr>
        <w:t xml:space="preserve"> señora</w:t>
      </w:r>
      <w:r w:rsidR="00016B9A">
        <w:rPr>
          <w:rFonts w:ascii="Palatino Linotype" w:hAnsi="Palatino Linotype" w:cs="Arial"/>
        </w:rPr>
        <w:t>s</w:t>
      </w:r>
      <w:r w:rsidR="00C52C18">
        <w:rPr>
          <w:rFonts w:ascii="Palatino Linotype" w:hAnsi="Palatino Linotype" w:cs="Arial"/>
        </w:rPr>
        <w:t xml:space="preserve"> </w:t>
      </w:r>
      <w:r w:rsidR="00016B9A">
        <w:rPr>
          <w:rFonts w:ascii="Palatino Linotype" w:hAnsi="Palatino Linotype" w:cs="Arial"/>
        </w:rPr>
        <w:t>Lorena Arcila Henao y flor María Henao</w:t>
      </w:r>
      <w:r w:rsidR="00C52C18">
        <w:rPr>
          <w:rFonts w:ascii="Palatino Linotype" w:hAnsi="Palatino Linotype" w:cs="Arial"/>
        </w:rPr>
        <w:t xml:space="preserve"> contra </w:t>
      </w:r>
      <w:r w:rsidR="00016B9A">
        <w:rPr>
          <w:rFonts w:ascii="Palatino Linotype" w:hAnsi="Palatino Linotype" w:cs="Arial"/>
        </w:rPr>
        <w:t>El Instituto San José de Gerona – Clínica Nuestra Señora de los Remedios</w:t>
      </w:r>
      <w:r w:rsidR="00C52C18">
        <w:rPr>
          <w:rFonts w:ascii="Palatino Linotype" w:hAnsi="Palatino Linotype" w:cs="Arial"/>
        </w:rPr>
        <w:t xml:space="preserve">. </w:t>
      </w:r>
    </w:p>
    <w:p w14:paraId="2039D03B" w14:textId="77777777" w:rsidR="002B6A1C" w:rsidRDefault="002B6A1C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6C95ADC9" w14:textId="77777777" w:rsidR="009D7B80" w:rsidRPr="007F6BD5" w:rsidRDefault="009D7B80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1D4EC296" w14:textId="3A35E08C" w:rsidR="00B43CD7" w:rsidRPr="007F6BD5" w:rsidRDefault="00CB03E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Cordialmente, </w:t>
      </w:r>
    </w:p>
    <w:p w14:paraId="718BC5B6" w14:textId="77777777" w:rsidR="00B43CD7" w:rsidRDefault="00B43CD7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18903702" w14:textId="77777777" w:rsidR="00C52C18" w:rsidRPr="007F6BD5" w:rsidRDefault="00C52C1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4B972C0F" w14:textId="77777777" w:rsidR="009D7B80" w:rsidRDefault="009D7B80" w:rsidP="009D7B80">
      <w:pPr>
        <w:spacing w:after="0" w:line="276" w:lineRule="auto"/>
        <w:jc w:val="both"/>
        <w:rPr>
          <w:noProof/>
        </w:rPr>
      </w:pPr>
    </w:p>
    <w:p w14:paraId="5EC7A398" w14:textId="40EA201C" w:rsidR="00016B9A" w:rsidRPr="007F6BD5" w:rsidRDefault="009D7B80" w:rsidP="009D7B80">
      <w:pPr>
        <w:spacing w:after="0" w:line="276" w:lineRule="auto"/>
        <w:jc w:val="both"/>
        <w:rPr>
          <w:rFonts w:ascii="Palatino Linotype" w:hAnsi="Palatino Linotype" w:cs="Arial"/>
        </w:rPr>
      </w:pPr>
      <w:r>
        <w:rPr>
          <w:noProof/>
        </w:rPr>
        <w:drawing>
          <wp:inline distT="0" distB="0" distL="0" distR="0" wp14:anchorId="57E2A6E1" wp14:editId="029EBDB6">
            <wp:extent cx="3215148" cy="1038225"/>
            <wp:effectExtent l="0" t="0" r="4445" b="0"/>
            <wp:docPr id="1024967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67535" name=""/>
                    <pic:cNvPicPr/>
                  </pic:nvPicPr>
                  <pic:blipFill rotWithShape="1">
                    <a:blip r:embed="rId9"/>
                    <a:srcRect l="22233" t="53410" r="45180" b="27882"/>
                    <a:stretch/>
                  </pic:blipFill>
                  <pic:spPr bwMode="auto">
                    <a:xfrm>
                      <a:off x="0" y="0"/>
                      <a:ext cx="3217741" cy="1039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B9A" w:rsidRPr="007F6BD5" w:rsidSect="0057655B">
      <w:footerReference w:type="default" r:id="rId10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91D8" w14:textId="77777777" w:rsidR="0057655B" w:rsidRDefault="0057655B" w:rsidP="006067D8">
      <w:pPr>
        <w:spacing w:after="0" w:line="240" w:lineRule="auto"/>
      </w:pPr>
      <w:r>
        <w:separator/>
      </w:r>
    </w:p>
  </w:endnote>
  <w:endnote w:type="continuationSeparator" w:id="0">
    <w:p w14:paraId="4AD9D30D" w14:textId="77777777" w:rsidR="0057655B" w:rsidRDefault="0057655B" w:rsidP="0060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731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00605C" w14:textId="6DCBD123" w:rsidR="00C06134" w:rsidRDefault="00C06134">
            <w:pPr>
              <w:pStyle w:val="Piedepgina"/>
              <w:jc w:val="right"/>
            </w:pP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2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2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7D8E46" w14:textId="77777777" w:rsidR="00C06134" w:rsidRDefault="00C06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E32" w14:textId="77777777" w:rsidR="0057655B" w:rsidRDefault="0057655B" w:rsidP="006067D8">
      <w:pPr>
        <w:spacing w:after="0" w:line="240" w:lineRule="auto"/>
      </w:pPr>
      <w:r>
        <w:separator/>
      </w:r>
    </w:p>
  </w:footnote>
  <w:footnote w:type="continuationSeparator" w:id="0">
    <w:p w14:paraId="28402BD1" w14:textId="77777777" w:rsidR="0057655B" w:rsidRDefault="0057655B" w:rsidP="006067D8">
      <w:pPr>
        <w:spacing w:after="0" w:line="240" w:lineRule="auto"/>
      </w:pPr>
      <w:r>
        <w:continuationSeparator/>
      </w:r>
    </w:p>
  </w:footnote>
  <w:footnote w:id="1">
    <w:p w14:paraId="2B3831B8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Style w:val="Refdenotaalpie"/>
          <w:rFonts w:ascii="Palatino" w:hAnsi="Palatino" w:cs="Arial"/>
          <w:sz w:val="15"/>
          <w:szCs w:val="15"/>
        </w:rPr>
        <w:footnoteRef/>
      </w:r>
      <w:r w:rsidRPr="002E3ABC">
        <w:rPr>
          <w:rFonts w:ascii="Palatino" w:hAnsi="Palatino" w:cs="Arial"/>
          <w:sz w:val="15"/>
          <w:szCs w:val="15"/>
        </w:rPr>
        <w:t xml:space="preserve"> Artículo 94. </w:t>
      </w:r>
      <w:r w:rsidRPr="002E3ABC">
        <w:rPr>
          <w:rFonts w:ascii="Palatino" w:hAnsi="Palatino" w:cs="Arial"/>
          <w:i/>
          <w:iCs/>
          <w:sz w:val="15"/>
          <w:szCs w:val="15"/>
        </w:rPr>
        <w:t>Interrupción de la prescripción, inoperancia de la caducidad y constitución en mora</w:t>
      </w:r>
      <w:r w:rsidRPr="002E3ABC">
        <w:rPr>
          <w:rFonts w:ascii="Palatino" w:hAnsi="Palatino" w:cs="Arial"/>
          <w:b/>
          <w:bCs/>
          <w:sz w:val="15"/>
          <w:szCs w:val="15"/>
        </w:rPr>
        <w:t>. </w:t>
      </w:r>
      <w:r w:rsidRPr="002E3ABC">
        <w:rPr>
          <w:rFonts w:ascii="Palatino" w:hAnsi="Palatino" w:cs="Arial"/>
          <w:sz w:val="15"/>
          <w:szCs w:val="15"/>
        </w:rPr>
        <w:t>La presentación de la demanda interrumpe el término para la prescripción e impide que se produzca la caducidad siempre que el auto admisorio de aquella o el mandamiento ejecutivo se notifique al demandado dentro del término de un (1) año contado a partir del día siguiente a la notificación de tales providencias al demandante. Pasado este término, los mencionados efectos solo se producirán con la notificación al demandado.</w:t>
      </w:r>
    </w:p>
    <w:p w14:paraId="25D818B7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admisorio de la demanda o del mandamiento ejecutivo produce el efecto del requerimiento judicial para constituir en mora al deudor, cuando la ley lo exija para tal fin, y la notificación de la cesión del crédito, si no se hubiere efectuado antes. Los efectos de la mora solo se producirán a partir de la notificación.</w:t>
      </w:r>
    </w:p>
    <w:p w14:paraId="6E38F926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que declara abierto el proceso de sucesión a los asignatarios, también constituye requerimiento judicial para constituir en mora de declarar si aceptan o repudian la asignación que se les hubiere deferido.</w:t>
      </w:r>
    </w:p>
    <w:p w14:paraId="1ABB0A63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Si fueren varios los demandados y existiere entre ellos litisconsorcio facultativo, los efectos de la notificación a los que se refiere este artículo se surtirán para cada uno separadamente, salvo norma sustancial o procesal en contrario. Si el litisconsorcio fuere necesario será indispensable la notificación a todos ellos para que se surtan dichos efectos.</w:t>
      </w:r>
    </w:p>
    <w:p w14:paraId="148A3AE1" w14:textId="77777777" w:rsidR="006067D8" w:rsidRPr="006067D8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2E3ABC">
        <w:rPr>
          <w:rFonts w:ascii="Palatino" w:hAnsi="Palatino" w:cs="Arial"/>
          <w:sz w:val="15"/>
          <w:szCs w:val="15"/>
        </w:rPr>
        <w:t>El término de prescripción también se interrumpe por el requerimiento escrito realizado al deudor directamente por el acreedor. Este requerimiento solo podrá hacerse por una vez.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405"/>
    <w:multiLevelType w:val="hybridMultilevel"/>
    <w:tmpl w:val="23CCB42C"/>
    <w:lvl w:ilvl="0" w:tplc="76BA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544CB"/>
    <w:multiLevelType w:val="hybridMultilevel"/>
    <w:tmpl w:val="D84A2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1DC"/>
    <w:multiLevelType w:val="hybridMultilevel"/>
    <w:tmpl w:val="EDCC70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256879">
    <w:abstractNumId w:val="0"/>
  </w:num>
  <w:num w:numId="2" w16cid:durableId="256599096">
    <w:abstractNumId w:val="2"/>
  </w:num>
  <w:num w:numId="3" w16cid:durableId="94477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54"/>
    <w:rsid w:val="00016B9A"/>
    <w:rsid w:val="00021015"/>
    <w:rsid w:val="0005748C"/>
    <w:rsid w:val="001204AA"/>
    <w:rsid w:val="00124D32"/>
    <w:rsid w:val="001438FF"/>
    <w:rsid w:val="00145D6D"/>
    <w:rsid w:val="00177679"/>
    <w:rsid w:val="00183A26"/>
    <w:rsid w:val="00200B71"/>
    <w:rsid w:val="00221AD1"/>
    <w:rsid w:val="0025254D"/>
    <w:rsid w:val="00293811"/>
    <w:rsid w:val="002B6A1C"/>
    <w:rsid w:val="002B7AFC"/>
    <w:rsid w:val="002E144C"/>
    <w:rsid w:val="002E2E99"/>
    <w:rsid w:val="002E3ABC"/>
    <w:rsid w:val="0035040C"/>
    <w:rsid w:val="003C0E05"/>
    <w:rsid w:val="003F3508"/>
    <w:rsid w:val="004775F8"/>
    <w:rsid w:val="004D70B2"/>
    <w:rsid w:val="005349CC"/>
    <w:rsid w:val="00535205"/>
    <w:rsid w:val="0057655B"/>
    <w:rsid w:val="00587B54"/>
    <w:rsid w:val="005A4605"/>
    <w:rsid w:val="006067D8"/>
    <w:rsid w:val="006074C6"/>
    <w:rsid w:val="00682030"/>
    <w:rsid w:val="006C2C75"/>
    <w:rsid w:val="006F1CDE"/>
    <w:rsid w:val="006F55DE"/>
    <w:rsid w:val="00735A20"/>
    <w:rsid w:val="00792BCF"/>
    <w:rsid w:val="007A64E1"/>
    <w:rsid w:val="007B2A88"/>
    <w:rsid w:val="007F0CE2"/>
    <w:rsid w:val="007F6BD5"/>
    <w:rsid w:val="00810D0C"/>
    <w:rsid w:val="008157E9"/>
    <w:rsid w:val="00854344"/>
    <w:rsid w:val="008B1F6A"/>
    <w:rsid w:val="008B64E0"/>
    <w:rsid w:val="008E7C14"/>
    <w:rsid w:val="008F08AD"/>
    <w:rsid w:val="00911474"/>
    <w:rsid w:val="00925943"/>
    <w:rsid w:val="00996AA3"/>
    <w:rsid w:val="009D724D"/>
    <w:rsid w:val="009D7B80"/>
    <w:rsid w:val="00A1200E"/>
    <w:rsid w:val="00A22039"/>
    <w:rsid w:val="00A23188"/>
    <w:rsid w:val="00A71F73"/>
    <w:rsid w:val="00AC3D78"/>
    <w:rsid w:val="00AE7215"/>
    <w:rsid w:val="00AF68E4"/>
    <w:rsid w:val="00B43CD7"/>
    <w:rsid w:val="00B66C45"/>
    <w:rsid w:val="00BB47EE"/>
    <w:rsid w:val="00BC00F9"/>
    <w:rsid w:val="00BF3A44"/>
    <w:rsid w:val="00C06134"/>
    <w:rsid w:val="00C25498"/>
    <w:rsid w:val="00C304CF"/>
    <w:rsid w:val="00C52C18"/>
    <w:rsid w:val="00C84693"/>
    <w:rsid w:val="00CA2F25"/>
    <w:rsid w:val="00CB03E8"/>
    <w:rsid w:val="00CB6B4D"/>
    <w:rsid w:val="00CE2E84"/>
    <w:rsid w:val="00CF4A6F"/>
    <w:rsid w:val="00D10313"/>
    <w:rsid w:val="00D53D87"/>
    <w:rsid w:val="00DD317E"/>
    <w:rsid w:val="00E62C1E"/>
    <w:rsid w:val="00E7228C"/>
    <w:rsid w:val="00EF121C"/>
    <w:rsid w:val="00F02A0B"/>
    <w:rsid w:val="00FA1251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E693"/>
  <w15:chartTrackingRefBased/>
  <w15:docId w15:val="{C62047FF-3828-43EB-89DB-8C90940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7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067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7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7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0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134"/>
  </w:style>
  <w:style w:type="paragraph" w:styleId="Piedepgina">
    <w:name w:val="footer"/>
    <w:basedOn w:val="Normal"/>
    <w:link w:val="PiedepginaCar"/>
    <w:uiPriority w:val="99"/>
    <w:unhideWhenUsed/>
    <w:rsid w:val="00C0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134"/>
  </w:style>
  <w:style w:type="table" w:styleId="Tablaconcuadrcula">
    <w:name w:val="Table Grid"/>
    <w:basedOn w:val="Tablanormal"/>
    <w:uiPriority w:val="39"/>
    <w:rsid w:val="002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83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A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A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E7C1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52C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legales.co@chub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037F-1B32-4551-A64B-3E57996F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Manrique Delgado</dc:creator>
  <cp:keywords/>
  <dc:description/>
  <cp:lastModifiedBy>Maria Fernanda Jimenez Piarpusan</cp:lastModifiedBy>
  <cp:revision>2</cp:revision>
  <dcterms:created xsi:type="dcterms:W3CDTF">2024-03-08T15:01:00Z</dcterms:created>
  <dcterms:modified xsi:type="dcterms:W3CDTF">2024-03-08T15:01:00Z</dcterms:modified>
</cp:coreProperties>
</file>