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57ABB" w14:textId="77777777" w:rsidR="00C3016C" w:rsidRPr="003F6E3C" w:rsidRDefault="00C3016C" w:rsidP="00C3016C">
      <w:pPr>
        <w:spacing w:line="254" w:lineRule="auto"/>
        <w:jc w:val="both"/>
        <w:rPr>
          <w:rFonts w:asciiTheme="minorHAnsi" w:hAnsiTheme="minorHAnsi" w:cstheme="minorHAnsi"/>
          <w:sz w:val="23"/>
          <w:szCs w:val="23"/>
        </w:rPr>
      </w:pPr>
      <w:r w:rsidRPr="003F6E3C">
        <w:rPr>
          <w:rFonts w:asciiTheme="minorHAnsi" w:hAnsiTheme="minorHAnsi" w:cstheme="minorHAnsi"/>
          <w:sz w:val="23"/>
          <w:szCs w:val="23"/>
        </w:rPr>
        <w:t> </w:t>
      </w:r>
    </w:p>
    <w:tbl>
      <w:tblPr>
        <w:tblStyle w:val="Tablaconcuadrcula"/>
        <w:tblW w:w="9983" w:type="dxa"/>
        <w:tblLook w:val="04A0" w:firstRow="1" w:lastRow="0" w:firstColumn="1" w:lastColumn="0" w:noHBand="0" w:noVBand="1"/>
      </w:tblPr>
      <w:tblGrid>
        <w:gridCol w:w="2518"/>
        <w:gridCol w:w="7465"/>
      </w:tblGrid>
      <w:tr w:rsidR="00C3016C" w:rsidRPr="003F6E3C" w14:paraId="680EB41E" w14:textId="77777777" w:rsidTr="3452EF96">
        <w:tc>
          <w:tcPr>
            <w:tcW w:w="9983" w:type="dxa"/>
            <w:gridSpan w:val="2"/>
            <w:shd w:val="clear" w:color="auto" w:fill="1F3864" w:themeFill="accent1" w:themeFillShade="80"/>
          </w:tcPr>
          <w:p w14:paraId="2A6B0E42" w14:textId="09A01D5F" w:rsidR="00C3016C" w:rsidRPr="003F6E3C" w:rsidRDefault="00C3016C" w:rsidP="00C3016C">
            <w:pPr>
              <w:jc w:val="cente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INFORME INICIAL DEL PROCESO</w:t>
            </w:r>
          </w:p>
        </w:tc>
      </w:tr>
      <w:tr w:rsidR="00C3016C" w:rsidRPr="003F6E3C" w14:paraId="4BC558F4" w14:textId="77777777" w:rsidTr="3452EF96">
        <w:tc>
          <w:tcPr>
            <w:tcW w:w="2518" w:type="dxa"/>
            <w:shd w:val="clear" w:color="auto" w:fill="D9D9D9" w:themeFill="background1" w:themeFillShade="D9"/>
          </w:tcPr>
          <w:p w14:paraId="28F99CFA"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Apoderado:</w:t>
            </w:r>
          </w:p>
        </w:tc>
        <w:tc>
          <w:tcPr>
            <w:tcW w:w="7465" w:type="dxa"/>
          </w:tcPr>
          <w:p w14:paraId="0B07F818" w14:textId="24A83CB0"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Gustavo Alberto Herrera Ávila</w:t>
            </w:r>
          </w:p>
        </w:tc>
      </w:tr>
      <w:tr w:rsidR="00C3016C" w:rsidRPr="003F6E3C" w14:paraId="05CE423E" w14:textId="77777777" w:rsidTr="3452EF96">
        <w:tc>
          <w:tcPr>
            <w:tcW w:w="2518" w:type="dxa"/>
            <w:shd w:val="clear" w:color="auto" w:fill="D9D9D9" w:themeFill="background1" w:themeFillShade="D9"/>
          </w:tcPr>
          <w:p w14:paraId="6CF2773B"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Tipo y # de Póliza:</w:t>
            </w:r>
          </w:p>
        </w:tc>
        <w:tc>
          <w:tcPr>
            <w:tcW w:w="7465" w:type="dxa"/>
          </w:tcPr>
          <w:p w14:paraId="2CD51689" w14:textId="5E76B472" w:rsidR="00C3016C" w:rsidRPr="003F6E3C" w:rsidRDefault="002F112A" w:rsidP="00C359FA">
            <w:pPr>
              <w:jc w:val="both"/>
              <w:rPr>
                <w:rFonts w:asciiTheme="minorHAnsi" w:hAnsiTheme="minorHAnsi" w:cstheme="minorHAnsi"/>
                <w:sz w:val="23"/>
                <w:szCs w:val="23"/>
                <w:lang w:val="es-ES_tradnl"/>
              </w:rPr>
            </w:pPr>
            <w:r w:rsidRPr="003F6E3C">
              <w:rPr>
                <w:rFonts w:asciiTheme="minorHAnsi" w:eastAsia="Times New Roman" w:hAnsiTheme="minorHAnsi" w:cstheme="minorHAnsi"/>
                <w:sz w:val="23"/>
                <w:szCs w:val="23"/>
              </w:rPr>
              <w:t>4059853-Automóviles</w:t>
            </w:r>
          </w:p>
        </w:tc>
      </w:tr>
      <w:tr w:rsidR="00C3016C" w:rsidRPr="003F6E3C" w14:paraId="3EA02A2A" w14:textId="77777777" w:rsidTr="3452EF96">
        <w:tc>
          <w:tcPr>
            <w:tcW w:w="2518" w:type="dxa"/>
            <w:shd w:val="clear" w:color="auto" w:fill="D9D9D9" w:themeFill="background1" w:themeFillShade="D9"/>
          </w:tcPr>
          <w:p w14:paraId="54CFE80A"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Amparos afectados:</w:t>
            </w:r>
          </w:p>
        </w:tc>
        <w:tc>
          <w:tcPr>
            <w:tcW w:w="7465" w:type="dxa"/>
          </w:tcPr>
          <w:p w14:paraId="4705A538" w14:textId="105572A2" w:rsidR="00C3016C" w:rsidRPr="003F6E3C" w:rsidRDefault="002F112A" w:rsidP="00C359FA">
            <w:pPr>
              <w:tabs>
                <w:tab w:val="left" w:pos="5740"/>
              </w:tabs>
              <w:jc w:val="both"/>
              <w:rPr>
                <w:rFonts w:asciiTheme="minorHAnsi" w:hAnsiTheme="minorHAnsi" w:cstheme="minorHAnsi"/>
                <w:sz w:val="23"/>
                <w:szCs w:val="23"/>
                <w:lang w:val="es-ES_tradnl"/>
              </w:rPr>
            </w:pPr>
            <w:r w:rsidRPr="003F6E3C">
              <w:rPr>
                <w:rFonts w:asciiTheme="minorHAnsi" w:eastAsia="Times New Roman" w:hAnsiTheme="minorHAnsi" w:cstheme="minorHAnsi"/>
                <w:sz w:val="23"/>
                <w:szCs w:val="23"/>
              </w:rPr>
              <w:t>Responsabilidad Civil Extracontractual</w:t>
            </w:r>
          </w:p>
        </w:tc>
      </w:tr>
      <w:tr w:rsidR="00C3016C" w:rsidRPr="003F6E3C" w14:paraId="6EEEE1EE" w14:textId="77777777" w:rsidTr="3452EF96">
        <w:tc>
          <w:tcPr>
            <w:tcW w:w="2518" w:type="dxa"/>
            <w:shd w:val="clear" w:color="auto" w:fill="D9D9D9" w:themeFill="background1" w:themeFillShade="D9"/>
          </w:tcPr>
          <w:p w14:paraId="217E586A"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Tomador:</w:t>
            </w:r>
          </w:p>
        </w:tc>
        <w:tc>
          <w:tcPr>
            <w:tcW w:w="7465" w:type="dxa"/>
          </w:tcPr>
          <w:p w14:paraId="0712951B" w14:textId="46A048DC"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Transportes Velásquez S.A.</w:t>
            </w:r>
          </w:p>
        </w:tc>
      </w:tr>
      <w:tr w:rsidR="00C3016C" w:rsidRPr="003F6E3C" w14:paraId="30CA897D" w14:textId="77777777" w:rsidTr="3452EF96">
        <w:tc>
          <w:tcPr>
            <w:tcW w:w="2518" w:type="dxa"/>
            <w:shd w:val="clear" w:color="auto" w:fill="D9D9D9" w:themeFill="background1" w:themeFillShade="D9"/>
          </w:tcPr>
          <w:p w14:paraId="5D5E5F58"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Asegurado:</w:t>
            </w:r>
          </w:p>
        </w:tc>
        <w:tc>
          <w:tcPr>
            <w:tcW w:w="7465" w:type="dxa"/>
          </w:tcPr>
          <w:p w14:paraId="087CA4CA" w14:textId="10256732" w:rsidR="00C3016C" w:rsidRPr="003F6E3C" w:rsidRDefault="002F112A" w:rsidP="00C359FA">
            <w:pPr>
              <w:jc w:val="both"/>
              <w:rPr>
                <w:rFonts w:asciiTheme="minorHAnsi" w:hAnsiTheme="minorHAnsi" w:cstheme="minorHAnsi"/>
                <w:sz w:val="23"/>
                <w:szCs w:val="23"/>
                <w:lang w:val="es-ES_tradnl"/>
              </w:rPr>
            </w:pPr>
            <w:r w:rsidRPr="003F6E3C">
              <w:rPr>
                <w:rFonts w:asciiTheme="minorHAnsi" w:eastAsia="Times New Roman" w:hAnsiTheme="minorHAnsi" w:cstheme="minorHAnsi"/>
                <w:sz w:val="23"/>
                <w:szCs w:val="23"/>
              </w:rPr>
              <w:t>Banco Finandina S.A. (860.051.894-6)</w:t>
            </w:r>
          </w:p>
        </w:tc>
      </w:tr>
      <w:tr w:rsidR="00C3016C" w:rsidRPr="003F6E3C" w14:paraId="5D17C2C5" w14:textId="77777777" w:rsidTr="3452EF96">
        <w:tc>
          <w:tcPr>
            <w:tcW w:w="2518" w:type="dxa"/>
            <w:shd w:val="clear" w:color="auto" w:fill="D9D9D9" w:themeFill="background1" w:themeFillShade="D9"/>
          </w:tcPr>
          <w:p w14:paraId="65094B69"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Tipo de Proceso:</w:t>
            </w:r>
          </w:p>
        </w:tc>
        <w:tc>
          <w:tcPr>
            <w:tcW w:w="7465" w:type="dxa"/>
          </w:tcPr>
          <w:p w14:paraId="309EF488" w14:textId="27544D36"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Responsabilidad Civil Extracontractual</w:t>
            </w:r>
          </w:p>
        </w:tc>
      </w:tr>
      <w:tr w:rsidR="00C3016C" w:rsidRPr="003F6E3C" w14:paraId="5DB3C2DA" w14:textId="77777777" w:rsidTr="3452EF96">
        <w:tc>
          <w:tcPr>
            <w:tcW w:w="2518" w:type="dxa"/>
            <w:shd w:val="clear" w:color="auto" w:fill="D9D9D9" w:themeFill="background1" w:themeFillShade="D9"/>
          </w:tcPr>
          <w:p w14:paraId="7397F6B3"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Jurisdicción:</w:t>
            </w:r>
          </w:p>
        </w:tc>
        <w:tc>
          <w:tcPr>
            <w:tcW w:w="7465" w:type="dxa"/>
          </w:tcPr>
          <w:p w14:paraId="27E029E3" w14:textId="5E2FDF68"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Civil</w:t>
            </w:r>
          </w:p>
        </w:tc>
      </w:tr>
      <w:tr w:rsidR="00C3016C" w:rsidRPr="003F6E3C" w14:paraId="28C51AE9" w14:textId="77777777" w:rsidTr="3452EF96">
        <w:tc>
          <w:tcPr>
            <w:tcW w:w="2518" w:type="dxa"/>
            <w:shd w:val="clear" w:color="auto" w:fill="D9D9D9" w:themeFill="background1" w:themeFillShade="D9"/>
          </w:tcPr>
          <w:p w14:paraId="544719C8"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Despacho:</w:t>
            </w:r>
          </w:p>
        </w:tc>
        <w:tc>
          <w:tcPr>
            <w:tcW w:w="7465" w:type="dxa"/>
          </w:tcPr>
          <w:p w14:paraId="46B4FFC6" w14:textId="5C779A2E"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Juzgado 12 Civil del Circuito de Cali</w:t>
            </w:r>
          </w:p>
        </w:tc>
      </w:tr>
      <w:tr w:rsidR="00C3016C" w:rsidRPr="003F6E3C" w14:paraId="1E19F9F0" w14:textId="77777777" w:rsidTr="3452EF96">
        <w:tc>
          <w:tcPr>
            <w:tcW w:w="2518" w:type="dxa"/>
            <w:shd w:val="clear" w:color="auto" w:fill="D9D9D9" w:themeFill="background1" w:themeFillShade="D9"/>
          </w:tcPr>
          <w:p w14:paraId="2CA6172A"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Ciudad:</w:t>
            </w:r>
          </w:p>
        </w:tc>
        <w:tc>
          <w:tcPr>
            <w:tcW w:w="7465" w:type="dxa"/>
          </w:tcPr>
          <w:p w14:paraId="7AD37AC6" w14:textId="3614C408"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Cali</w:t>
            </w:r>
          </w:p>
        </w:tc>
      </w:tr>
      <w:tr w:rsidR="00C3016C" w:rsidRPr="003F6E3C" w14:paraId="7ED4A0CC" w14:textId="77777777" w:rsidTr="3452EF96">
        <w:tc>
          <w:tcPr>
            <w:tcW w:w="2518" w:type="dxa"/>
            <w:shd w:val="clear" w:color="auto" w:fill="D9D9D9" w:themeFill="background1" w:themeFillShade="D9"/>
          </w:tcPr>
          <w:p w14:paraId="65963757"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Radicado (23 dígitos):</w:t>
            </w:r>
          </w:p>
        </w:tc>
        <w:tc>
          <w:tcPr>
            <w:tcW w:w="7465" w:type="dxa"/>
          </w:tcPr>
          <w:p w14:paraId="4ED5E590" w14:textId="7DDA6976"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rPr>
              <w:t>76-001310301220230008300</w:t>
            </w:r>
          </w:p>
        </w:tc>
      </w:tr>
      <w:tr w:rsidR="00C3016C" w:rsidRPr="003F6E3C" w14:paraId="365EB3D3" w14:textId="77777777" w:rsidTr="3452EF96">
        <w:tc>
          <w:tcPr>
            <w:tcW w:w="2518" w:type="dxa"/>
            <w:shd w:val="clear" w:color="auto" w:fill="D9D9D9" w:themeFill="background1" w:themeFillShade="D9"/>
          </w:tcPr>
          <w:p w14:paraId="3E29A9FF"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Demandantes:</w:t>
            </w:r>
          </w:p>
        </w:tc>
        <w:tc>
          <w:tcPr>
            <w:tcW w:w="7465" w:type="dxa"/>
          </w:tcPr>
          <w:p w14:paraId="7373A40F" w14:textId="77777777" w:rsidR="002F112A" w:rsidRPr="003F6E3C" w:rsidRDefault="002F112A" w:rsidP="002F112A">
            <w:pPr>
              <w:textAlignment w:val="baseline"/>
              <w:rPr>
                <w:rFonts w:asciiTheme="minorHAnsi" w:eastAsia="Times New Roman" w:hAnsiTheme="minorHAnsi" w:cstheme="minorHAnsi"/>
                <w:sz w:val="23"/>
                <w:szCs w:val="23"/>
              </w:rPr>
            </w:pPr>
            <w:r w:rsidRPr="003F6E3C">
              <w:rPr>
                <w:rFonts w:asciiTheme="minorHAnsi" w:eastAsia="Times New Roman" w:hAnsiTheme="minorHAnsi" w:cstheme="minorHAnsi"/>
                <w:sz w:val="23"/>
                <w:szCs w:val="23"/>
              </w:rPr>
              <w:t>Luz Eliana Lugo Quiñonez (compañera permanente de la víctima)</w:t>
            </w:r>
          </w:p>
          <w:p w14:paraId="3669D6F3" w14:textId="77777777" w:rsidR="002F112A" w:rsidRPr="003F6E3C" w:rsidRDefault="002F112A" w:rsidP="002F112A">
            <w:pPr>
              <w:textAlignment w:val="baseline"/>
              <w:rPr>
                <w:rFonts w:asciiTheme="minorHAnsi" w:eastAsia="Times New Roman" w:hAnsiTheme="minorHAnsi" w:cstheme="minorHAnsi"/>
                <w:sz w:val="23"/>
                <w:szCs w:val="23"/>
              </w:rPr>
            </w:pPr>
            <w:r w:rsidRPr="003F6E3C">
              <w:rPr>
                <w:rFonts w:asciiTheme="minorHAnsi" w:eastAsia="Times New Roman" w:hAnsiTheme="minorHAnsi" w:cstheme="minorHAnsi"/>
                <w:sz w:val="23"/>
                <w:szCs w:val="23"/>
              </w:rPr>
              <w:t>Santiago Mera Lugo (hijo de la víctima)</w:t>
            </w:r>
          </w:p>
          <w:p w14:paraId="5F6B6717" w14:textId="1567F9BA" w:rsidR="00C3016C" w:rsidRPr="003F6E3C" w:rsidRDefault="002F112A" w:rsidP="002F112A">
            <w:pPr>
              <w:jc w:val="both"/>
              <w:rPr>
                <w:rFonts w:asciiTheme="minorHAnsi" w:hAnsiTheme="minorHAnsi" w:cstheme="minorHAnsi"/>
                <w:sz w:val="23"/>
                <w:szCs w:val="23"/>
                <w:lang w:val="es-ES_tradnl"/>
              </w:rPr>
            </w:pPr>
            <w:proofErr w:type="spellStart"/>
            <w:r w:rsidRPr="003F6E3C">
              <w:rPr>
                <w:rFonts w:asciiTheme="minorHAnsi" w:eastAsia="Times New Roman" w:hAnsiTheme="minorHAnsi" w:cstheme="minorHAnsi"/>
                <w:sz w:val="23"/>
                <w:szCs w:val="23"/>
              </w:rPr>
              <w:t>Eilyn</w:t>
            </w:r>
            <w:proofErr w:type="spellEnd"/>
            <w:r w:rsidRPr="003F6E3C">
              <w:rPr>
                <w:rFonts w:asciiTheme="minorHAnsi" w:eastAsia="Times New Roman" w:hAnsiTheme="minorHAnsi" w:cstheme="minorHAnsi"/>
                <w:sz w:val="23"/>
                <w:szCs w:val="23"/>
              </w:rPr>
              <w:t xml:space="preserve"> Lugo Quiñonez (hija de crianza de la víctima)</w:t>
            </w:r>
          </w:p>
        </w:tc>
      </w:tr>
      <w:tr w:rsidR="00C3016C" w:rsidRPr="003F6E3C" w14:paraId="26F1C674" w14:textId="77777777" w:rsidTr="3452EF96">
        <w:tc>
          <w:tcPr>
            <w:tcW w:w="2518" w:type="dxa"/>
            <w:shd w:val="clear" w:color="auto" w:fill="D9D9D9" w:themeFill="background1" w:themeFillShade="D9"/>
          </w:tcPr>
          <w:p w14:paraId="6A2570A7"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Demandados:</w:t>
            </w:r>
          </w:p>
        </w:tc>
        <w:tc>
          <w:tcPr>
            <w:tcW w:w="7465" w:type="dxa"/>
          </w:tcPr>
          <w:p w14:paraId="0D378787" w14:textId="77777777" w:rsidR="002F112A" w:rsidRPr="003F6E3C" w:rsidRDefault="002F112A" w:rsidP="002F112A">
            <w:pPr>
              <w:textAlignment w:val="baseline"/>
              <w:rPr>
                <w:rFonts w:asciiTheme="minorHAnsi" w:eastAsia="Times New Roman" w:hAnsiTheme="minorHAnsi" w:cstheme="minorHAnsi"/>
                <w:sz w:val="23"/>
                <w:szCs w:val="23"/>
              </w:rPr>
            </w:pPr>
            <w:r w:rsidRPr="003F6E3C">
              <w:rPr>
                <w:rFonts w:asciiTheme="minorHAnsi" w:eastAsia="Times New Roman" w:hAnsiTheme="minorHAnsi" w:cstheme="minorHAnsi"/>
                <w:sz w:val="23"/>
                <w:szCs w:val="23"/>
              </w:rPr>
              <w:t>Transportes Velásquez S.A. (locatario del vehículo asegurado)</w:t>
            </w:r>
          </w:p>
          <w:p w14:paraId="2657073C" w14:textId="77777777" w:rsidR="002F112A" w:rsidRPr="003F6E3C" w:rsidRDefault="002F112A" w:rsidP="002F112A">
            <w:pPr>
              <w:textAlignment w:val="baseline"/>
              <w:rPr>
                <w:rFonts w:asciiTheme="minorHAnsi" w:eastAsia="Times New Roman" w:hAnsiTheme="minorHAnsi" w:cstheme="minorHAnsi"/>
                <w:sz w:val="23"/>
                <w:szCs w:val="23"/>
              </w:rPr>
            </w:pPr>
            <w:r w:rsidRPr="003F6E3C">
              <w:rPr>
                <w:rFonts w:asciiTheme="minorHAnsi" w:eastAsia="Times New Roman" w:hAnsiTheme="minorHAnsi" w:cstheme="minorHAnsi"/>
                <w:sz w:val="23"/>
                <w:szCs w:val="23"/>
              </w:rPr>
              <w:t xml:space="preserve">Cesar </w:t>
            </w:r>
            <w:proofErr w:type="spellStart"/>
            <w:r w:rsidRPr="003F6E3C">
              <w:rPr>
                <w:rFonts w:asciiTheme="minorHAnsi" w:eastAsia="Times New Roman" w:hAnsiTheme="minorHAnsi" w:cstheme="minorHAnsi"/>
                <w:sz w:val="23"/>
                <w:szCs w:val="23"/>
              </w:rPr>
              <w:t>Atanael</w:t>
            </w:r>
            <w:proofErr w:type="spellEnd"/>
            <w:r w:rsidRPr="003F6E3C">
              <w:rPr>
                <w:rFonts w:asciiTheme="minorHAnsi" w:eastAsia="Times New Roman" w:hAnsiTheme="minorHAnsi" w:cstheme="minorHAnsi"/>
                <w:sz w:val="23"/>
                <w:szCs w:val="23"/>
              </w:rPr>
              <w:t xml:space="preserve"> Hernández Cardozo (conductor del vehículo asegurado)</w:t>
            </w:r>
          </w:p>
          <w:p w14:paraId="395FB00D" w14:textId="73BD3D52" w:rsidR="00C3016C" w:rsidRPr="003F6E3C" w:rsidRDefault="002F112A" w:rsidP="002F112A">
            <w:pPr>
              <w:rPr>
                <w:rFonts w:asciiTheme="minorHAnsi" w:hAnsiTheme="minorHAnsi" w:cstheme="minorHAnsi"/>
                <w:sz w:val="23"/>
                <w:szCs w:val="23"/>
                <w:lang w:val="es-ES_tradnl"/>
              </w:rPr>
            </w:pPr>
            <w:r w:rsidRPr="003F6E3C">
              <w:rPr>
                <w:rFonts w:asciiTheme="minorHAnsi" w:eastAsia="Times New Roman" w:hAnsiTheme="minorHAnsi" w:cstheme="minorHAnsi"/>
                <w:sz w:val="23"/>
                <w:szCs w:val="23"/>
              </w:rPr>
              <w:t>HDI Seguros S.A. </w:t>
            </w:r>
          </w:p>
        </w:tc>
      </w:tr>
      <w:tr w:rsidR="00C3016C" w:rsidRPr="003F6E3C" w14:paraId="737C3CF7" w14:textId="77777777" w:rsidTr="3452EF96">
        <w:tc>
          <w:tcPr>
            <w:tcW w:w="2518" w:type="dxa"/>
            <w:shd w:val="clear" w:color="auto" w:fill="D9D9D9" w:themeFill="background1" w:themeFillShade="D9"/>
          </w:tcPr>
          <w:p w14:paraId="245720EA" w14:textId="0EE18B14" w:rsidR="00C3016C" w:rsidRPr="003F6E3C" w:rsidRDefault="00C3016C" w:rsidP="3452EF96">
            <w:pPr>
              <w:rPr>
                <w:rFonts w:asciiTheme="minorHAnsi" w:hAnsiTheme="minorHAnsi" w:cstheme="minorHAnsi"/>
                <w:b/>
                <w:bCs/>
                <w:sz w:val="23"/>
                <w:szCs w:val="23"/>
                <w:lang w:val="es-ES"/>
              </w:rPr>
            </w:pPr>
            <w:r w:rsidRPr="003F6E3C">
              <w:rPr>
                <w:rFonts w:asciiTheme="minorHAnsi" w:hAnsiTheme="minorHAnsi" w:cstheme="minorHAnsi"/>
                <w:b/>
                <w:bCs/>
                <w:sz w:val="23"/>
                <w:szCs w:val="23"/>
                <w:lang w:val="es-ES"/>
              </w:rPr>
              <w:t xml:space="preserve">Tipo de vinculación de </w:t>
            </w:r>
            <w:r w:rsidR="76B58E53" w:rsidRPr="003F6E3C">
              <w:rPr>
                <w:rFonts w:asciiTheme="minorHAnsi" w:hAnsiTheme="minorHAnsi" w:cstheme="minorHAnsi"/>
                <w:b/>
                <w:bCs/>
                <w:sz w:val="23"/>
                <w:szCs w:val="23"/>
                <w:lang w:val="es-ES"/>
              </w:rPr>
              <w:t>HDI</w:t>
            </w:r>
            <w:r w:rsidRPr="003F6E3C">
              <w:rPr>
                <w:rFonts w:asciiTheme="minorHAnsi" w:hAnsiTheme="minorHAnsi" w:cstheme="minorHAnsi"/>
                <w:b/>
                <w:bCs/>
                <w:sz w:val="23"/>
                <w:szCs w:val="23"/>
                <w:lang w:val="es-ES"/>
              </w:rPr>
              <w:t xml:space="preserve"> (directa, llamamiento en garantía, litisconsorte):</w:t>
            </w:r>
          </w:p>
        </w:tc>
        <w:tc>
          <w:tcPr>
            <w:tcW w:w="7465" w:type="dxa"/>
          </w:tcPr>
          <w:p w14:paraId="3D968381" w14:textId="5B01844D" w:rsidR="00C3016C" w:rsidRPr="003F6E3C" w:rsidRDefault="002F112A"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Directa</w:t>
            </w:r>
          </w:p>
          <w:p w14:paraId="523FC52D" w14:textId="77777777" w:rsidR="00C3016C" w:rsidRPr="003F6E3C" w:rsidRDefault="00C3016C" w:rsidP="00C359FA">
            <w:pPr>
              <w:jc w:val="center"/>
              <w:rPr>
                <w:rFonts w:asciiTheme="minorHAnsi" w:hAnsiTheme="minorHAnsi" w:cstheme="minorHAnsi"/>
                <w:sz w:val="23"/>
                <w:szCs w:val="23"/>
                <w:lang w:val="es-ES_tradnl"/>
              </w:rPr>
            </w:pPr>
          </w:p>
        </w:tc>
      </w:tr>
      <w:tr w:rsidR="00C3016C" w:rsidRPr="003F6E3C" w14:paraId="310FFED0" w14:textId="77777777" w:rsidTr="3452EF96">
        <w:tc>
          <w:tcPr>
            <w:tcW w:w="2518" w:type="dxa"/>
            <w:shd w:val="clear" w:color="auto" w:fill="D9D9D9" w:themeFill="background1" w:themeFillShade="D9"/>
          </w:tcPr>
          <w:p w14:paraId="003BC5F9"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Resumen de los hechos:</w:t>
            </w:r>
          </w:p>
        </w:tc>
        <w:tc>
          <w:tcPr>
            <w:tcW w:w="7465" w:type="dxa"/>
          </w:tcPr>
          <w:p w14:paraId="7A5D9793" w14:textId="5307189C" w:rsidR="002F112A" w:rsidRPr="003F6E3C" w:rsidRDefault="002F112A" w:rsidP="002F112A">
            <w:pPr>
              <w:jc w:val="both"/>
              <w:textAlignment w:val="baseline"/>
              <w:rPr>
                <w:rFonts w:asciiTheme="minorHAnsi" w:eastAsia="Times New Roman" w:hAnsiTheme="minorHAnsi" w:cstheme="minorHAnsi"/>
                <w:sz w:val="23"/>
                <w:szCs w:val="23"/>
              </w:rPr>
            </w:pPr>
            <w:r w:rsidRPr="003F6E3C">
              <w:rPr>
                <w:rFonts w:asciiTheme="minorHAnsi" w:eastAsia="Times New Roman" w:hAnsiTheme="minorHAnsi" w:cstheme="minorHAnsi"/>
                <w:sz w:val="23"/>
                <w:szCs w:val="23"/>
              </w:rPr>
              <w:t xml:space="preserve">El día 20 de junio de 2019, aproximadamente a las 9:50 a.m., en la parte interna de las instalaciones de la empresa JHONSON Y JHONSON muelle 10, de la ciudad de Yumbo, tuvo lugar un accidente de tránsito cuando el señor Cesar </w:t>
            </w:r>
            <w:proofErr w:type="spellStart"/>
            <w:r w:rsidRPr="003F6E3C">
              <w:rPr>
                <w:rFonts w:asciiTheme="minorHAnsi" w:eastAsia="Times New Roman" w:hAnsiTheme="minorHAnsi" w:cstheme="minorHAnsi"/>
                <w:sz w:val="23"/>
                <w:szCs w:val="23"/>
              </w:rPr>
              <w:t>Atanael</w:t>
            </w:r>
            <w:proofErr w:type="spellEnd"/>
            <w:r w:rsidRPr="003F6E3C">
              <w:rPr>
                <w:rFonts w:asciiTheme="minorHAnsi" w:eastAsia="Times New Roman" w:hAnsiTheme="minorHAnsi" w:cstheme="minorHAnsi"/>
                <w:sz w:val="23"/>
                <w:szCs w:val="23"/>
              </w:rPr>
              <w:t xml:space="preserve"> Hernández se encontraba conduciendo en reversa el vehículo de placas SPK-933. Mientras realizaba la maniobra, el mencionado conductor aprisionó al señor </w:t>
            </w:r>
            <w:proofErr w:type="spellStart"/>
            <w:r w:rsidRPr="003F6E3C">
              <w:rPr>
                <w:rFonts w:asciiTheme="minorHAnsi" w:eastAsia="Times New Roman" w:hAnsiTheme="minorHAnsi" w:cstheme="minorHAnsi"/>
                <w:sz w:val="23"/>
                <w:szCs w:val="23"/>
              </w:rPr>
              <w:t>Jhon</w:t>
            </w:r>
            <w:proofErr w:type="spellEnd"/>
            <w:r w:rsidRPr="003F6E3C">
              <w:rPr>
                <w:rFonts w:asciiTheme="minorHAnsi" w:eastAsia="Times New Roman" w:hAnsiTheme="minorHAnsi" w:cstheme="minorHAnsi"/>
                <w:sz w:val="23"/>
                <w:szCs w:val="23"/>
              </w:rPr>
              <w:t xml:space="preserve"> Alejandro Mera Figueroa en contra del vehículo de placas VMU-749 que se encontraba varado en el muelle. </w:t>
            </w:r>
          </w:p>
          <w:p w14:paraId="738CCBE6" w14:textId="77777777" w:rsidR="002F112A" w:rsidRPr="003F6E3C" w:rsidRDefault="002F112A" w:rsidP="002F112A">
            <w:pPr>
              <w:jc w:val="both"/>
              <w:textAlignment w:val="baseline"/>
              <w:rPr>
                <w:rFonts w:asciiTheme="minorHAnsi" w:eastAsia="Times New Roman" w:hAnsiTheme="minorHAnsi" w:cstheme="minorHAnsi"/>
                <w:sz w:val="23"/>
                <w:szCs w:val="23"/>
              </w:rPr>
            </w:pPr>
            <w:r w:rsidRPr="003F6E3C">
              <w:rPr>
                <w:rFonts w:asciiTheme="minorHAnsi" w:eastAsia="Times New Roman" w:hAnsiTheme="minorHAnsi" w:cstheme="minorHAnsi"/>
                <w:sz w:val="23"/>
                <w:szCs w:val="23"/>
              </w:rPr>
              <w:t xml:space="preserve">El accidente ocasionó en la víctima un trauma de tórax y de abdomen generando su muerte. Producto del fallecimiento de la víctima directa se vio afectado su núcleo familiar compuesto por Santiago Mera Lugo, </w:t>
            </w:r>
            <w:proofErr w:type="spellStart"/>
            <w:r w:rsidRPr="003F6E3C">
              <w:rPr>
                <w:rFonts w:asciiTheme="minorHAnsi" w:eastAsia="Times New Roman" w:hAnsiTheme="minorHAnsi" w:cstheme="minorHAnsi"/>
                <w:sz w:val="23"/>
                <w:szCs w:val="23"/>
              </w:rPr>
              <w:t>Eilyn</w:t>
            </w:r>
            <w:proofErr w:type="spellEnd"/>
            <w:r w:rsidRPr="003F6E3C">
              <w:rPr>
                <w:rFonts w:asciiTheme="minorHAnsi" w:eastAsia="Times New Roman" w:hAnsiTheme="minorHAnsi" w:cstheme="minorHAnsi"/>
                <w:sz w:val="23"/>
                <w:szCs w:val="23"/>
              </w:rPr>
              <w:t xml:space="preserve"> Lugo Quiñonez y Luz Eliana Lugo Quiñonez.</w:t>
            </w:r>
          </w:p>
          <w:p w14:paraId="102686D9" w14:textId="52480BE9" w:rsidR="00C3016C" w:rsidRPr="003F6E3C" w:rsidRDefault="002F112A" w:rsidP="002F112A">
            <w:pPr>
              <w:jc w:val="both"/>
              <w:rPr>
                <w:rFonts w:asciiTheme="minorHAnsi" w:hAnsiTheme="minorHAnsi" w:cstheme="minorHAnsi"/>
                <w:sz w:val="23"/>
                <w:szCs w:val="23"/>
                <w:lang w:val="es-ES_tradnl"/>
              </w:rPr>
            </w:pPr>
            <w:r w:rsidRPr="003F6E3C">
              <w:rPr>
                <w:rFonts w:asciiTheme="minorHAnsi" w:hAnsiTheme="minorHAnsi" w:cstheme="minorHAnsi"/>
                <w:sz w:val="23"/>
                <w:szCs w:val="23"/>
              </w:rPr>
              <w:t xml:space="preserve">El 3 de marzo de 2020 se realizó audiencia de conciliación ante la fiscalía seccional 156 de Yumbo sin que se alcanzará ningún acuerdo. Posteriormente, el 29 de noviembre de 2022 se presentó solicitud de reconsideración ante la compañía aseguradora, la cual no dio respuesta, por lo tanto, el día 12 de enero de 2023 se remitió una solicitud con el fin de obtener un </w:t>
            </w:r>
            <w:proofErr w:type="gramStart"/>
            <w:r w:rsidRPr="003F6E3C">
              <w:rPr>
                <w:rFonts w:asciiTheme="minorHAnsi" w:hAnsiTheme="minorHAnsi" w:cstheme="minorHAnsi"/>
                <w:sz w:val="23"/>
                <w:szCs w:val="23"/>
              </w:rPr>
              <w:t>pronunciamiento</w:t>
            </w:r>
            <w:proofErr w:type="gramEnd"/>
            <w:r w:rsidRPr="003F6E3C">
              <w:rPr>
                <w:rFonts w:asciiTheme="minorHAnsi" w:hAnsiTheme="minorHAnsi" w:cstheme="minorHAnsi"/>
                <w:sz w:val="23"/>
                <w:szCs w:val="23"/>
              </w:rPr>
              <w:t xml:space="preserve"> pero la compañía aseguradora ha guardado silencio.</w:t>
            </w:r>
          </w:p>
        </w:tc>
      </w:tr>
      <w:tr w:rsidR="00C3016C" w:rsidRPr="003F6E3C" w14:paraId="0E406DF4" w14:textId="77777777" w:rsidTr="3452EF96">
        <w:tc>
          <w:tcPr>
            <w:tcW w:w="2518" w:type="dxa"/>
            <w:shd w:val="clear" w:color="auto" w:fill="D9D9D9" w:themeFill="background1" w:themeFillShade="D9"/>
          </w:tcPr>
          <w:p w14:paraId="4DAF3A73"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Descripción de las pretensiones:</w:t>
            </w:r>
          </w:p>
        </w:tc>
        <w:tc>
          <w:tcPr>
            <w:tcW w:w="7465" w:type="dxa"/>
          </w:tcPr>
          <w:p w14:paraId="5662255E" w14:textId="2A31CF90" w:rsidR="00C3016C" w:rsidRPr="003F6E3C" w:rsidRDefault="002362C1" w:rsidP="002362C1">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 xml:space="preserve">Se pretende la declaración de responsabilidad y consecuente condena solidaria de los demandados con el fin de reconocer a favor de los demandantes los perjuicios morales, el lucro cesante y cualquier otro tipo de perjuicio patrimonial o extrapatrimonial que se pruebe dentro del proceso. Además, </w:t>
            </w:r>
            <w:r w:rsidR="00865F0D" w:rsidRPr="003F6E3C">
              <w:rPr>
                <w:rFonts w:asciiTheme="minorHAnsi" w:hAnsiTheme="minorHAnsi" w:cstheme="minorHAnsi"/>
                <w:sz w:val="23"/>
                <w:szCs w:val="23"/>
                <w:lang w:val="es-ES_tradnl"/>
              </w:rPr>
              <w:t xml:space="preserve">solicita los intereses moratorios que se deba a los demandantes al </w:t>
            </w:r>
            <w:r w:rsidR="00865F0D" w:rsidRPr="003F6E3C">
              <w:rPr>
                <w:rFonts w:asciiTheme="minorHAnsi" w:hAnsiTheme="minorHAnsi" w:cstheme="minorHAnsi"/>
                <w:sz w:val="23"/>
                <w:szCs w:val="23"/>
                <w:lang w:val="es-ES_tradnl"/>
              </w:rPr>
              <w:lastRenderedPageBreak/>
              <w:t>momento del fallo y los que se generen desde la ejecutoria de la sentencia, así como la condena en costas.</w:t>
            </w:r>
          </w:p>
        </w:tc>
      </w:tr>
      <w:tr w:rsidR="00C3016C" w:rsidRPr="003F6E3C" w14:paraId="704DFB9E" w14:textId="77777777" w:rsidTr="3452EF96">
        <w:tc>
          <w:tcPr>
            <w:tcW w:w="2518" w:type="dxa"/>
            <w:shd w:val="clear" w:color="auto" w:fill="D9D9D9" w:themeFill="background1" w:themeFillShade="D9"/>
          </w:tcPr>
          <w:p w14:paraId="58C6E535"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lastRenderedPageBreak/>
              <w:t>Pretensiones cuantificadas ($):</w:t>
            </w:r>
          </w:p>
        </w:tc>
        <w:tc>
          <w:tcPr>
            <w:tcW w:w="7465" w:type="dxa"/>
          </w:tcPr>
          <w:p w14:paraId="43B2F4CA" w14:textId="77777777" w:rsidR="00C3016C" w:rsidRPr="003F6E3C" w:rsidRDefault="00865F0D" w:rsidP="00865F0D">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 xml:space="preserve">1.Perjuicios morales: 300 </w:t>
            </w:r>
            <w:proofErr w:type="spellStart"/>
            <w:r w:rsidRPr="003F6E3C">
              <w:rPr>
                <w:rFonts w:asciiTheme="minorHAnsi" w:hAnsiTheme="minorHAnsi" w:cstheme="minorHAnsi"/>
                <w:sz w:val="23"/>
                <w:szCs w:val="23"/>
                <w:lang w:val="es-ES_tradnl"/>
              </w:rPr>
              <w:t>smlmv</w:t>
            </w:r>
            <w:proofErr w:type="spellEnd"/>
            <w:r w:rsidRPr="003F6E3C">
              <w:rPr>
                <w:rFonts w:asciiTheme="minorHAnsi" w:hAnsiTheme="minorHAnsi" w:cstheme="minorHAnsi"/>
                <w:sz w:val="23"/>
                <w:szCs w:val="23"/>
                <w:lang w:val="es-ES_tradnl"/>
              </w:rPr>
              <w:t xml:space="preserve"> equivalentes a $263.340.900.</w:t>
            </w:r>
          </w:p>
          <w:p w14:paraId="61540B9A" w14:textId="2556189A" w:rsidR="00865F0D" w:rsidRPr="003F6E3C" w:rsidRDefault="00865F0D" w:rsidP="00865F0D">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2.Lucro cesante: $448.708.054</w:t>
            </w:r>
          </w:p>
        </w:tc>
      </w:tr>
      <w:tr w:rsidR="00C3016C" w:rsidRPr="003F6E3C" w14:paraId="0B60EBC1" w14:textId="77777777" w:rsidTr="3452EF96">
        <w:tc>
          <w:tcPr>
            <w:tcW w:w="2518" w:type="dxa"/>
            <w:shd w:val="clear" w:color="auto" w:fill="D9D9D9" w:themeFill="background1" w:themeFillShade="D9"/>
          </w:tcPr>
          <w:p w14:paraId="7ABAD315"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Valor asegurado amparos afectados:</w:t>
            </w:r>
          </w:p>
        </w:tc>
        <w:tc>
          <w:tcPr>
            <w:tcW w:w="7465" w:type="dxa"/>
          </w:tcPr>
          <w:p w14:paraId="6C40C20A" w14:textId="2D7B21C1" w:rsidR="00C3016C" w:rsidRPr="003F6E3C" w:rsidRDefault="00C3016C"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 xml:space="preserve"> </w:t>
            </w:r>
            <w:r w:rsidR="00865F0D" w:rsidRPr="003F6E3C">
              <w:rPr>
                <w:rFonts w:asciiTheme="minorHAnsi" w:hAnsiTheme="minorHAnsi" w:cstheme="minorHAnsi"/>
                <w:sz w:val="23"/>
                <w:szCs w:val="23"/>
                <w:lang w:val="es-ES_tradnl"/>
              </w:rPr>
              <w:t>$2.000.000.000</w:t>
            </w:r>
          </w:p>
        </w:tc>
      </w:tr>
      <w:tr w:rsidR="00C3016C" w:rsidRPr="003F6E3C" w14:paraId="47DED08D" w14:textId="77777777" w:rsidTr="3452EF96">
        <w:tc>
          <w:tcPr>
            <w:tcW w:w="2518" w:type="dxa"/>
            <w:shd w:val="clear" w:color="auto" w:fill="D9D9D9" w:themeFill="background1" w:themeFillShade="D9"/>
          </w:tcPr>
          <w:p w14:paraId="2040F0CE"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Valoración objetiva de las pretensiones:</w:t>
            </w:r>
          </w:p>
        </w:tc>
        <w:tc>
          <w:tcPr>
            <w:tcW w:w="7465" w:type="dxa"/>
          </w:tcPr>
          <w:p w14:paraId="08F16FFD" w14:textId="1BA9C177" w:rsidR="00763D8B" w:rsidRPr="003F6E3C" w:rsidRDefault="00763D8B" w:rsidP="00763D8B">
            <w:pPr>
              <w:tabs>
                <w:tab w:val="left" w:pos="-720"/>
              </w:tabs>
              <w:suppressAutoHyphens/>
              <w:spacing w:line="276" w:lineRule="auto"/>
              <w:jc w:val="both"/>
              <w:rPr>
                <w:rFonts w:asciiTheme="minorHAnsi" w:hAnsiTheme="minorHAnsi" w:cstheme="minorHAnsi"/>
                <w:bCs/>
                <w:spacing w:val="-3"/>
                <w:sz w:val="23"/>
                <w:szCs w:val="23"/>
                <w:lang w:val="es-ES_tradnl"/>
              </w:rPr>
            </w:pPr>
            <w:r w:rsidRPr="003F6E3C">
              <w:rPr>
                <w:rFonts w:asciiTheme="minorHAnsi" w:hAnsiTheme="minorHAnsi" w:cstheme="minorHAnsi"/>
                <w:bCs/>
                <w:spacing w:val="-3"/>
                <w:sz w:val="23"/>
                <w:szCs w:val="23"/>
                <w:lang w:val="es-ES_tradnl"/>
              </w:rPr>
              <w:t>El riesgo de exposición de la Compañía se estima en la suma de $</w:t>
            </w:r>
            <w:r w:rsidR="002E4042" w:rsidRPr="003F6E3C">
              <w:rPr>
                <w:rFonts w:asciiTheme="minorHAnsi" w:hAnsiTheme="minorHAnsi" w:cstheme="minorHAnsi"/>
                <w:sz w:val="23"/>
                <w:szCs w:val="23"/>
              </w:rPr>
              <w:t>403.313.071</w:t>
            </w:r>
            <w:r w:rsidR="002E4042" w:rsidRPr="003F6E3C">
              <w:rPr>
                <w:rFonts w:asciiTheme="minorHAnsi" w:hAnsiTheme="minorHAnsi" w:cstheme="minorHAnsi"/>
                <w:sz w:val="23"/>
                <w:szCs w:val="23"/>
              </w:rPr>
              <w:t xml:space="preserve"> </w:t>
            </w:r>
            <w:r w:rsidRPr="003F6E3C">
              <w:rPr>
                <w:rFonts w:asciiTheme="minorHAnsi" w:hAnsiTheme="minorHAnsi" w:cstheme="minorHAnsi"/>
                <w:bCs/>
                <w:spacing w:val="-3"/>
                <w:sz w:val="23"/>
                <w:szCs w:val="23"/>
                <w:lang w:val="es-ES_tradnl"/>
              </w:rPr>
              <w:t>que corresponde a la liquidación objetiva de los perjuicios reclamados. Se debe tener en cuenta que la póliza de automóviles vinculada al proceso cuenta con un límite asegurado de $</w:t>
            </w:r>
            <w:r w:rsidR="002E4042" w:rsidRPr="003F6E3C">
              <w:rPr>
                <w:rFonts w:asciiTheme="minorHAnsi" w:hAnsiTheme="minorHAnsi" w:cstheme="minorHAnsi"/>
                <w:bCs/>
                <w:spacing w:val="-3"/>
                <w:sz w:val="23"/>
                <w:szCs w:val="23"/>
                <w:lang w:val="es-ES_tradnl"/>
              </w:rPr>
              <w:t>2</w:t>
            </w:r>
            <w:r w:rsidRPr="003F6E3C">
              <w:rPr>
                <w:rFonts w:asciiTheme="minorHAnsi" w:hAnsiTheme="minorHAnsi" w:cstheme="minorHAnsi"/>
                <w:bCs/>
                <w:spacing w:val="-3"/>
                <w:sz w:val="23"/>
                <w:szCs w:val="23"/>
                <w:lang w:val="es-ES_tradnl"/>
              </w:rPr>
              <w:t xml:space="preserve">.000.000.000 y cuenta con </w:t>
            </w:r>
            <w:r w:rsidR="002E4042" w:rsidRPr="003F6E3C">
              <w:rPr>
                <w:rFonts w:asciiTheme="minorHAnsi" w:hAnsiTheme="minorHAnsi" w:cstheme="minorHAnsi"/>
                <w:bCs/>
                <w:spacing w:val="-3"/>
                <w:sz w:val="23"/>
                <w:szCs w:val="23"/>
                <w:lang w:val="es-ES_tradnl"/>
              </w:rPr>
              <w:t xml:space="preserve">un </w:t>
            </w:r>
            <w:r w:rsidRPr="003F6E3C">
              <w:rPr>
                <w:rFonts w:asciiTheme="minorHAnsi" w:hAnsiTheme="minorHAnsi" w:cstheme="minorHAnsi"/>
                <w:bCs/>
                <w:spacing w:val="-3"/>
                <w:sz w:val="23"/>
                <w:szCs w:val="23"/>
                <w:lang w:val="es-ES_tradnl"/>
              </w:rPr>
              <w:t>deducible</w:t>
            </w:r>
            <w:r w:rsidR="002E4042" w:rsidRPr="003F6E3C">
              <w:rPr>
                <w:rFonts w:asciiTheme="minorHAnsi" w:hAnsiTheme="minorHAnsi" w:cstheme="minorHAnsi"/>
                <w:bCs/>
                <w:spacing w:val="-3"/>
                <w:sz w:val="23"/>
                <w:szCs w:val="23"/>
                <w:lang w:val="es-ES_tradnl"/>
              </w:rPr>
              <w:t xml:space="preserve"> de $1.400.000</w:t>
            </w:r>
            <w:r w:rsidRPr="003F6E3C">
              <w:rPr>
                <w:rFonts w:asciiTheme="minorHAnsi" w:hAnsiTheme="minorHAnsi" w:cstheme="minorHAnsi"/>
                <w:bCs/>
                <w:spacing w:val="-3"/>
                <w:sz w:val="23"/>
                <w:szCs w:val="23"/>
                <w:lang w:val="es-ES_tradnl"/>
              </w:rPr>
              <w:t xml:space="preserve">. Para efectos de liquidar objetivamente las pretensiones se tuvo en cuenta los siguientes aspectos: </w:t>
            </w:r>
          </w:p>
          <w:p w14:paraId="3161F6D5" w14:textId="77777777" w:rsidR="00763D8B" w:rsidRPr="003F6E3C" w:rsidRDefault="00763D8B" w:rsidP="00763D8B">
            <w:pPr>
              <w:spacing w:line="276" w:lineRule="auto"/>
              <w:jc w:val="both"/>
              <w:rPr>
                <w:rFonts w:asciiTheme="minorHAnsi" w:hAnsiTheme="minorHAnsi" w:cstheme="minorHAnsi"/>
                <w:b/>
                <w:bCs/>
                <w:sz w:val="23"/>
                <w:szCs w:val="23"/>
                <w:u w:val="single"/>
              </w:rPr>
            </w:pPr>
          </w:p>
          <w:p w14:paraId="16470C84" w14:textId="0BA4C56A" w:rsidR="00763D8B" w:rsidRPr="003F6E3C" w:rsidRDefault="00763D8B" w:rsidP="00763D8B">
            <w:pPr>
              <w:spacing w:line="276" w:lineRule="auto"/>
              <w:jc w:val="both"/>
              <w:rPr>
                <w:rFonts w:asciiTheme="minorHAnsi" w:hAnsiTheme="minorHAnsi" w:cstheme="minorHAnsi"/>
                <w:sz w:val="23"/>
                <w:szCs w:val="23"/>
                <w:lang w:val="es-ES_tradnl"/>
              </w:rPr>
            </w:pPr>
            <w:r w:rsidRPr="003F6E3C">
              <w:rPr>
                <w:rFonts w:asciiTheme="minorHAnsi" w:hAnsiTheme="minorHAnsi" w:cstheme="minorHAnsi"/>
                <w:b/>
                <w:bCs/>
                <w:sz w:val="23"/>
                <w:szCs w:val="23"/>
                <w:u w:val="single"/>
                <w:lang w:val="es-ES_tradnl"/>
              </w:rPr>
              <w:t>Lucro cesante consolidado:</w:t>
            </w:r>
            <w:r w:rsidRPr="003F6E3C">
              <w:rPr>
                <w:rFonts w:asciiTheme="minorHAnsi" w:hAnsiTheme="minorHAnsi" w:cstheme="minorHAnsi"/>
                <w:sz w:val="23"/>
                <w:szCs w:val="23"/>
                <w:lang w:val="es-ES_tradnl"/>
              </w:rPr>
              <w:t xml:space="preserve"> $</w:t>
            </w:r>
            <w:r w:rsidR="005229BC" w:rsidRPr="003F6E3C">
              <w:rPr>
                <w:rFonts w:asciiTheme="minorHAnsi" w:hAnsiTheme="minorHAnsi" w:cstheme="minorHAnsi"/>
                <w:sz w:val="23"/>
                <w:szCs w:val="23"/>
                <w:lang w:val="es-ES_tradnl"/>
              </w:rPr>
              <w:t>88.782.281</w:t>
            </w:r>
          </w:p>
          <w:p w14:paraId="3EB7F434" w14:textId="77777777" w:rsidR="00763D8B" w:rsidRPr="003F6E3C" w:rsidRDefault="00763D8B" w:rsidP="00763D8B">
            <w:pPr>
              <w:spacing w:line="276" w:lineRule="auto"/>
              <w:jc w:val="both"/>
              <w:rPr>
                <w:rFonts w:asciiTheme="minorHAnsi" w:hAnsiTheme="minorHAnsi" w:cstheme="minorHAnsi"/>
                <w:sz w:val="23"/>
                <w:szCs w:val="23"/>
                <w:lang w:val="es-ES_tradnl"/>
              </w:rPr>
            </w:pPr>
          </w:p>
          <w:p w14:paraId="322036F9" w14:textId="2BC4CE58" w:rsidR="00763D8B" w:rsidRPr="003F6E3C" w:rsidRDefault="005229BC" w:rsidP="00763D8B">
            <w:pPr>
              <w:spacing w:line="276" w:lineRule="auto"/>
              <w:jc w:val="both"/>
              <w:rPr>
                <w:rFonts w:asciiTheme="minorHAnsi" w:hAnsiTheme="minorHAnsi" w:cstheme="minorHAnsi"/>
                <w:sz w:val="23"/>
                <w:szCs w:val="23"/>
              </w:rPr>
            </w:pPr>
            <w:r w:rsidRPr="003F6E3C">
              <w:rPr>
                <w:rFonts w:asciiTheme="minorHAnsi" w:hAnsiTheme="minorHAnsi" w:cstheme="minorHAnsi"/>
                <w:bCs/>
                <w:sz w:val="23"/>
                <w:szCs w:val="23"/>
              </w:rPr>
              <w:t>Se reconoce el valor de $44.391.140 a la señora Luz Eliana Lugo Quiñonez</w:t>
            </w:r>
            <w:r w:rsidR="00763D8B" w:rsidRPr="003F6E3C">
              <w:rPr>
                <w:rFonts w:asciiTheme="minorHAnsi" w:hAnsiTheme="minorHAnsi" w:cstheme="minorHAnsi"/>
                <w:bCs/>
                <w:sz w:val="23"/>
                <w:szCs w:val="23"/>
              </w:rPr>
              <w:t>,</w:t>
            </w:r>
            <w:r w:rsidRPr="003F6E3C">
              <w:rPr>
                <w:rFonts w:asciiTheme="minorHAnsi" w:hAnsiTheme="minorHAnsi" w:cstheme="minorHAnsi"/>
                <w:bCs/>
                <w:sz w:val="23"/>
                <w:szCs w:val="23"/>
              </w:rPr>
              <w:t xml:space="preserve"> e igualmente se reconoce el valor de $44.391.140 para el menor Santiago Mera Lugo. Para liquidar este perjuicio se tiene en cuenta que se aporta prueba del contrato de trabajo vigente para la época de los hechos el cual fue suscrito por el asegurado y la víctima, de esta forma, se toma la base salarial que allí se señala y se incrementa el 25% correspondiente a las prestaciones sociales, posteriormente, el resultado se indexa y de este se descuenta el 25% que se presume como gastos propios de la víctima</w:t>
            </w:r>
            <w:r w:rsidR="00452B69" w:rsidRPr="003F6E3C">
              <w:rPr>
                <w:rFonts w:asciiTheme="minorHAnsi" w:hAnsiTheme="minorHAnsi" w:cstheme="minorHAnsi"/>
                <w:bCs/>
                <w:sz w:val="23"/>
                <w:szCs w:val="23"/>
              </w:rPr>
              <w:t>, lo que da una suma líquida de $1.185.716</w:t>
            </w:r>
            <w:r w:rsidR="00763D8B" w:rsidRPr="003F6E3C">
              <w:rPr>
                <w:rFonts w:asciiTheme="minorHAnsi" w:hAnsiTheme="minorHAnsi" w:cstheme="minorHAnsi"/>
                <w:sz w:val="23"/>
                <w:szCs w:val="23"/>
              </w:rPr>
              <w:t>. Ahora bien, el lucro cesante consolidado se calcula desde la fecha de ocurrencia del accidente al momento de la presente liquidación</w:t>
            </w:r>
            <w:r w:rsidRPr="003F6E3C">
              <w:rPr>
                <w:rFonts w:asciiTheme="minorHAnsi" w:hAnsiTheme="minorHAnsi" w:cstheme="minorHAnsi"/>
                <w:sz w:val="23"/>
                <w:szCs w:val="23"/>
              </w:rPr>
              <w:t>, es decir, octubre de 2024.</w:t>
            </w:r>
          </w:p>
          <w:p w14:paraId="19E6C9AF" w14:textId="77777777" w:rsidR="005229BC" w:rsidRPr="003F6E3C" w:rsidRDefault="005229BC" w:rsidP="00763D8B">
            <w:pPr>
              <w:spacing w:line="276" w:lineRule="auto"/>
              <w:jc w:val="both"/>
              <w:rPr>
                <w:rFonts w:asciiTheme="minorHAnsi" w:hAnsiTheme="minorHAnsi" w:cstheme="minorHAnsi"/>
                <w:sz w:val="23"/>
                <w:szCs w:val="23"/>
              </w:rPr>
            </w:pPr>
          </w:p>
          <w:p w14:paraId="7312DF30" w14:textId="44D75148" w:rsidR="005229BC" w:rsidRPr="003F6E3C" w:rsidRDefault="005229BC" w:rsidP="00763D8B">
            <w:pPr>
              <w:spacing w:line="276" w:lineRule="auto"/>
              <w:jc w:val="both"/>
              <w:rPr>
                <w:rFonts w:asciiTheme="minorHAnsi" w:hAnsiTheme="minorHAnsi" w:cstheme="minorHAnsi"/>
                <w:sz w:val="23"/>
                <w:szCs w:val="23"/>
              </w:rPr>
            </w:pPr>
            <w:r w:rsidRPr="003F6E3C">
              <w:rPr>
                <w:rFonts w:asciiTheme="minorHAnsi" w:hAnsiTheme="minorHAnsi" w:cstheme="minorHAnsi"/>
                <w:sz w:val="23"/>
                <w:szCs w:val="23"/>
              </w:rPr>
              <w:t xml:space="preserve">No se reconoce suma alguna por este concepto a favor de </w:t>
            </w:r>
            <w:proofErr w:type="spellStart"/>
            <w:r w:rsidRPr="003F6E3C">
              <w:rPr>
                <w:rFonts w:asciiTheme="minorHAnsi" w:hAnsiTheme="minorHAnsi" w:cstheme="minorHAnsi"/>
                <w:sz w:val="23"/>
                <w:szCs w:val="23"/>
              </w:rPr>
              <w:t>Eilyn</w:t>
            </w:r>
            <w:proofErr w:type="spellEnd"/>
            <w:r w:rsidRPr="003F6E3C">
              <w:rPr>
                <w:rFonts w:asciiTheme="minorHAnsi" w:hAnsiTheme="minorHAnsi" w:cstheme="minorHAnsi"/>
                <w:sz w:val="23"/>
                <w:szCs w:val="23"/>
              </w:rPr>
              <w:t xml:space="preserve"> Lugo Quiñonez teniendo en cuenta que las pretensiones solicitadas a su favor se sustentan en el supuesto de ser hija de crianza de la víctima, sin embargo, hasta el momento no obra prueba alguna que dé cuenta de dicha condición. No obstante, se recomienda verificar si una vez surtida la audiencia inicial, se encuentran elementos que permitan acreditar la calidad mencionada siendo necesario modificar la liquidación de la contingencia.</w:t>
            </w:r>
          </w:p>
          <w:p w14:paraId="18E9BE42" w14:textId="77777777" w:rsidR="00763D8B" w:rsidRPr="003F6E3C" w:rsidRDefault="00763D8B" w:rsidP="00763D8B">
            <w:pPr>
              <w:spacing w:line="276" w:lineRule="auto"/>
              <w:jc w:val="both"/>
              <w:rPr>
                <w:rFonts w:asciiTheme="minorHAnsi" w:hAnsiTheme="minorHAnsi" w:cstheme="minorHAnsi"/>
                <w:sz w:val="23"/>
                <w:szCs w:val="23"/>
              </w:rPr>
            </w:pPr>
          </w:p>
          <w:p w14:paraId="5A34AE9C" w14:textId="77777777" w:rsidR="00763D8B" w:rsidRPr="003F6E3C" w:rsidRDefault="00763D8B" w:rsidP="00763D8B">
            <w:pPr>
              <w:spacing w:line="276" w:lineRule="auto"/>
              <w:jc w:val="both"/>
              <w:rPr>
                <w:rFonts w:asciiTheme="minorHAnsi" w:hAnsiTheme="minorHAnsi" w:cstheme="minorHAnsi"/>
                <w:sz w:val="23"/>
                <w:szCs w:val="23"/>
              </w:rPr>
            </w:pPr>
          </w:p>
          <w:p w14:paraId="321B7F33" w14:textId="10485133" w:rsidR="00763D8B" w:rsidRPr="003F6E3C" w:rsidRDefault="00763D8B" w:rsidP="00763D8B">
            <w:pPr>
              <w:spacing w:line="276" w:lineRule="auto"/>
              <w:jc w:val="both"/>
              <w:rPr>
                <w:rFonts w:asciiTheme="minorHAnsi" w:hAnsiTheme="minorHAnsi" w:cstheme="minorHAnsi"/>
                <w:sz w:val="23"/>
                <w:szCs w:val="23"/>
              </w:rPr>
            </w:pPr>
            <w:r w:rsidRPr="003F6E3C">
              <w:rPr>
                <w:rFonts w:asciiTheme="minorHAnsi" w:hAnsiTheme="minorHAnsi" w:cstheme="minorHAnsi"/>
                <w:b/>
                <w:bCs/>
                <w:sz w:val="23"/>
                <w:szCs w:val="23"/>
                <w:u w:val="single"/>
              </w:rPr>
              <w:t>Lucro cesante futuro</w:t>
            </w:r>
            <w:r w:rsidRPr="003F6E3C">
              <w:rPr>
                <w:rFonts w:asciiTheme="minorHAnsi" w:hAnsiTheme="minorHAnsi" w:cstheme="minorHAnsi"/>
                <w:sz w:val="23"/>
                <w:szCs w:val="23"/>
              </w:rPr>
              <w:t xml:space="preserve"> $</w:t>
            </w:r>
            <w:r w:rsidR="005229BC" w:rsidRPr="003F6E3C">
              <w:rPr>
                <w:rFonts w:asciiTheme="minorHAnsi" w:hAnsiTheme="minorHAnsi" w:cstheme="minorHAnsi"/>
                <w:sz w:val="23"/>
                <w:szCs w:val="23"/>
              </w:rPr>
              <w:t>195.930.</w:t>
            </w:r>
            <w:r w:rsidR="00452B69" w:rsidRPr="003F6E3C">
              <w:rPr>
                <w:rFonts w:asciiTheme="minorHAnsi" w:hAnsiTheme="minorHAnsi" w:cstheme="minorHAnsi"/>
                <w:sz w:val="23"/>
                <w:szCs w:val="23"/>
              </w:rPr>
              <w:t>790</w:t>
            </w:r>
          </w:p>
          <w:p w14:paraId="63EB89E9" w14:textId="77777777" w:rsidR="00763D8B" w:rsidRPr="003F6E3C" w:rsidRDefault="00763D8B" w:rsidP="00763D8B">
            <w:pPr>
              <w:spacing w:line="276" w:lineRule="auto"/>
              <w:jc w:val="both"/>
              <w:rPr>
                <w:rFonts w:asciiTheme="minorHAnsi" w:hAnsiTheme="minorHAnsi" w:cstheme="minorHAnsi"/>
                <w:sz w:val="23"/>
                <w:szCs w:val="23"/>
              </w:rPr>
            </w:pPr>
          </w:p>
          <w:p w14:paraId="5E16AD4C" w14:textId="7B250A8B" w:rsidR="00763D8B" w:rsidRPr="003F6E3C" w:rsidRDefault="00763D8B" w:rsidP="00763D8B">
            <w:pPr>
              <w:spacing w:line="276" w:lineRule="auto"/>
              <w:jc w:val="both"/>
              <w:rPr>
                <w:rFonts w:asciiTheme="minorHAnsi" w:hAnsiTheme="minorHAnsi" w:cstheme="minorHAnsi"/>
                <w:sz w:val="23"/>
                <w:szCs w:val="23"/>
              </w:rPr>
            </w:pPr>
            <w:r w:rsidRPr="003F6E3C">
              <w:rPr>
                <w:rFonts w:asciiTheme="minorHAnsi" w:hAnsiTheme="minorHAnsi" w:cstheme="minorHAnsi"/>
                <w:sz w:val="23"/>
                <w:szCs w:val="23"/>
              </w:rPr>
              <w:t>A favor de</w:t>
            </w:r>
            <w:r w:rsidR="00452B69" w:rsidRPr="003F6E3C">
              <w:rPr>
                <w:rFonts w:asciiTheme="minorHAnsi" w:hAnsiTheme="minorHAnsi" w:cstheme="minorHAnsi"/>
                <w:sz w:val="23"/>
                <w:szCs w:val="23"/>
              </w:rPr>
              <w:t xml:space="preserve"> la señora Eliana Lugo Quiñonez se reconoce el valor de $114.380.259, tomando como base el valor de $1.185.716 el cual se divide </w:t>
            </w:r>
            <w:r w:rsidR="00452B69" w:rsidRPr="003F6E3C">
              <w:rPr>
                <w:rFonts w:asciiTheme="minorHAnsi" w:hAnsiTheme="minorHAnsi" w:cstheme="minorHAnsi"/>
                <w:sz w:val="23"/>
                <w:szCs w:val="23"/>
              </w:rPr>
              <w:lastRenderedPageBreak/>
              <w:t xml:space="preserve">posteriormente entre 2, ya que este perjuicio también se solicita a favor del menor de edad. Adicionalmente, se debe tener en cuenta </w:t>
            </w:r>
            <w:proofErr w:type="gramStart"/>
            <w:r w:rsidR="00452B69" w:rsidRPr="003F6E3C">
              <w:rPr>
                <w:rFonts w:asciiTheme="minorHAnsi" w:hAnsiTheme="minorHAnsi" w:cstheme="minorHAnsi"/>
                <w:sz w:val="23"/>
                <w:szCs w:val="23"/>
              </w:rPr>
              <w:t>que</w:t>
            </w:r>
            <w:proofErr w:type="gramEnd"/>
            <w:r w:rsidR="00452B69" w:rsidRPr="003F6E3C">
              <w:rPr>
                <w:rFonts w:asciiTheme="minorHAnsi" w:hAnsiTheme="minorHAnsi" w:cstheme="minorHAnsi"/>
                <w:sz w:val="23"/>
                <w:szCs w:val="23"/>
              </w:rPr>
              <w:t xml:space="preserve"> si al momento de esta liquidación la víctima viviera, tendría 32 años de edad y su expectativa de vida sería de 576 meses, es decir menor a la de la demandante, siendo necesario tomar la misma como base de la liquidación.</w:t>
            </w:r>
          </w:p>
          <w:p w14:paraId="78E2340C" w14:textId="77777777" w:rsidR="00452B69" w:rsidRPr="003F6E3C" w:rsidRDefault="00452B69" w:rsidP="00763D8B">
            <w:pPr>
              <w:spacing w:line="276" w:lineRule="auto"/>
              <w:jc w:val="both"/>
              <w:rPr>
                <w:rFonts w:asciiTheme="minorHAnsi" w:hAnsiTheme="minorHAnsi" w:cstheme="minorHAnsi"/>
                <w:sz w:val="23"/>
                <w:szCs w:val="23"/>
              </w:rPr>
            </w:pPr>
          </w:p>
          <w:p w14:paraId="55B58E0F" w14:textId="49DA0E33" w:rsidR="00452B69" w:rsidRPr="003F6E3C" w:rsidRDefault="00452B69" w:rsidP="00763D8B">
            <w:pPr>
              <w:spacing w:line="276" w:lineRule="auto"/>
              <w:jc w:val="both"/>
              <w:rPr>
                <w:rFonts w:asciiTheme="minorHAnsi" w:hAnsiTheme="minorHAnsi" w:cstheme="minorHAnsi"/>
                <w:sz w:val="23"/>
                <w:szCs w:val="23"/>
              </w:rPr>
            </w:pPr>
            <w:r w:rsidRPr="003F6E3C">
              <w:rPr>
                <w:rFonts w:asciiTheme="minorHAnsi" w:hAnsiTheme="minorHAnsi" w:cstheme="minorHAnsi"/>
                <w:sz w:val="23"/>
                <w:szCs w:val="23"/>
              </w:rPr>
              <w:t xml:space="preserve">A favor del menor Santiago Mera Lugo se reconoce el valor de $81.550.531. En este punto se debe tener en cuenta que el hijo de la víctima tiene 6 </w:t>
            </w:r>
            <w:proofErr w:type="gramStart"/>
            <w:r w:rsidRPr="003F6E3C">
              <w:rPr>
                <w:rFonts w:asciiTheme="minorHAnsi" w:hAnsiTheme="minorHAnsi" w:cstheme="minorHAnsi"/>
                <w:sz w:val="23"/>
                <w:szCs w:val="23"/>
              </w:rPr>
              <w:t>años de edad</w:t>
            </w:r>
            <w:proofErr w:type="gramEnd"/>
            <w:r w:rsidRPr="003F6E3C">
              <w:rPr>
                <w:rFonts w:asciiTheme="minorHAnsi" w:hAnsiTheme="minorHAnsi" w:cstheme="minorHAnsi"/>
                <w:sz w:val="23"/>
                <w:szCs w:val="23"/>
              </w:rPr>
              <w:t>, siendo preciso calcular este concepto por el tiempo que le falta para cumplir los 25 años de edad conforme a lo señalado en la sentencia SC-1731 de 2021.</w:t>
            </w:r>
          </w:p>
          <w:p w14:paraId="0BE83DF3" w14:textId="77777777" w:rsidR="00452B69" w:rsidRPr="003F6E3C" w:rsidRDefault="00452B69" w:rsidP="00763D8B">
            <w:pPr>
              <w:spacing w:line="276" w:lineRule="auto"/>
              <w:jc w:val="both"/>
              <w:rPr>
                <w:rFonts w:asciiTheme="minorHAnsi" w:hAnsiTheme="minorHAnsi" w:cstheme="minorHAnsi"/>
                <w:sz w:val="23"/>
                <w:szCs w:val="23"/>
              </w:rPr>
            </w:pPr>
          </w:p>
          <w:p w14:paraId="164BBBD3" w14:textId="7FA28C39" w:rsidR="00452B69" w:rsidRPr="003F6E3C" w:rsidRDefault="00452B69" w:rsidP="00763D8B">
            <w:pPr>
              <w:spacing w:line="276" w:lineRule="auto"/>
              <w:jc w:val="both"/>
              <w:rPr>
                <w:rFonts w:asciiTheme="minorHAnsi" w:hAnsiTheme="minorHAnsi" w:cstheme="minorHAnsi"/>
                <w:sz w:val="23"/>
                <w:szCs w:val="23"/>
              </w:rPr>
            </w:pPr>
            <w:r w:rsidRPr="003F6E3C">
              <w:rPr>
                <w:rFonts w:asciiTheme="minorHAnsi" w:hAnsiTheme="minorHAnsi" w:cstheme="minorHAnsi"/>
                <w:sz w:val="23"/>
                <w:szCs w:val="23"/>
              </w:rPr>
              <w:t xml:space="preserve">No se reconoce suma alguna por este concepto a favor de </w:t>
            </w:r>
            <w:proofErr w:type="spellStart"/>
            <w:r w:rsidRPr="003F6E3C">
              <w:rPr>
                <w:rFonts w:asciiTheme="minorHAnsi" w:hAnsiTheme="minorHAnsi" w:cstheme="minorHAnsi"/>
                <w:sz w:val="23"/>
                <w:szCs w:val="23"/>
              </w:rPr>
              <w:t>Eilyn</w:t>
            </w:r>
            <w:proofErr w:type="spellEnd"/>
            <w:r w:rsidRPr="003F6E3C">
              <w:rPr>
                <w:rFonts w:asciiTheme="minorHAnsi" w:hAnsiTheme="minorHAnsi" w:cstheme="minorHAnsi"/>
                <w:sz w:val="23"/>
                <w:szCs w:val="23"/>
              </w:rPr>
              <w:t xml:space="preserve"> Lugo Quiñonez teniendo en cuenta que las pretensiones solicitadas a su favor se sustentan en el supuesto de ser hija de crianza de la víctima, sin embargo, hasta el momento no obra prueba alguna que dé cuenta de dicha condición. No obstante, se recomienda verificar si una vez surtida la audiencia inicial, se encuentran elementos que permitan acreditar la calidad mencionada siendo necesario modificar la liquidación de la contingencia.</w:t>
            </w:r>
          </w:p>
          <w:p w14:paraId="27032DE7" w14:textId="77777777" w:rsidR="00763D8B" w:rsidRPr="003F6E3C" w:rsidRDefault="00763D8B" w:rsidP="00763D8B">
            <w:pPr>
              <w:spacing w:line="276" w:lineRule="auto"/>
              <w:jc w:val="both"/>
              <w:rPr>
                <w:rFonts w:asciiTheme="minorHAnsi" w:hAnsiTheme="minorHAnsi" w:cstheme="minorHAnsi"/>
                <w:sz w:val="23"/>
                <w:szCs w:val="23"/>
              </w:rPr>
            </w:pPr>
          </w:p>
          <w:p w14:paraId="4004C2F8" w14:textId="77777777" w:rsidR="00763D8B" w:rsidRPr="003F6E3C" w:rsidRDefault="00763D8B" w:rsidP="00763D8B">
            <w:pPr>
              <w:spacing w:line="276" w:lineRule="auto"/>
              <w:jc w:val="both"/>
              <w:rPr>
                <w:rFonts w:asciiTheme="minorHAnsi" w:hAnsiTheme="minorHAnsi" w:cstheme="minorHAnsi"/>
                <w:sz w:val="23"/>
                <w:szCs w:val="23"/>
              </w:rPr>
            </w:pPr>
          </w:p>
          <w:p w14:paraId="11B88BF3" w14:textId="1F8C195F" w:rsidR="00763D8B" w:rsidRPr="003F6E3C" w:rsidRDefault="00763D8B" w:rsidP="00763D8B">
            <w:pPr>
              <w:spacing w:line="276" w:lineRule="auto"/>
              <w:jc w:val="both"/>
              <w:rPr>
                <w:rFonts w:asciiTheme="minorHAnsi" w:hAnsiTheme="minorHAnsi" w:cstheme="minorHAnsi"/>
                <w:sz w:val="23"/>
                <w:szCs w:val="23"/>
              </w:rPr>
            </w:pPr>
            <w:r w:rsidRPr="003F6E3C">
              <w:rPr>
                <w:rFonts w:asciiTheme="minorHAnsi" w:hAnsiTheme="minorHAnsi" w:cstheme="minorHAnsi"/>
                <w:b/>
                <w:bCs/>
                <w:sz w:val="23"/>
                <w:szCs w:val="23"/>
                <w:u w:val="single"/>
              </w:rPr>
              <w:t>Daño moral</w:t>
            </w:r>
            <w:r w:rsidRPr="003F6E3C">
              <w:rPr>
                <w:rFonts w:asciiTheme="minorHAnsi" w:hAnsiTheme="minorHAnsi" w:cstheme="minorHAnsi"/>
                <w:i/>
                <w:iCs/>
                <w:sz w:val="23"/>
                <w:szCs w:val="23"/>
              </w:rPr>
              <w:t xml:space="preserve">: </w:t>
            </w:r>
            <w:r w:rsidRPr="003F6E3C">
              <w:rPr>
                <w:rFonts w:asciiTheme="minorHAnsi" w:hAnsiTheme="minorHAnsi" w:cstheme="minorHAnsi"/>
                <w:sz w:val="23"/>
                <w:szCs w:val="23"/>
              </w:rPr>
              <w:t>$</w:t>
            </w:r>
            <w:r w:rsidR="001E67A3" w:rsidRPr="003F6E3C">
              <w:rPr>
                <w:rFonts w:asciiTheme="minorHAnsi" w:hAnsiTheme="minorHAnsi" w:cstheme="minorHAnsi"/>
                <w:sz w:val="23"/>
                <w:szCs w:val="23"/>
              </w:rPr>
              <w:t>12</w:t>
            </w:r>
            <w:r w:rsidRPr="003F6E3C">
              <w:rPr>
                <w:rFonts w:asciiTheme="minorHAnsi" w:hAnsiTheme="minorHAnsi" w:cstheme="minorHAnsi"/>
                <w:sz w:val="23"/>
                <w:szCs w:val="23"/>
              </w:rPr>
              <w:t>0.000.000</w:t>
            </w:r>
          </w:p>
          <w:p w14:paraId="6FDD934F" w14:textId="77777777" w:rsidR="00763D8B" w:rsidRPr="003F6E3C" w:rsidRDefault="00763D8B" w:rsidP="00763D8B">
            <w:pPr>
              <w:spacing w:line="276" w:lineRule="auto"/>
              <w:jc w:val="both"/>
              <w:rPr>
                <w:rFonts w:asciiTheme="minorHAnsi" w:hAnsiTheme="minorHAnsi" w:cstheme="minorHAnsi"/>
                <w:sz w:val="23"/>
                <w:szCs w:val="23"/>
              </w:rPr>
            </w:pPr>
          </w:p>
          <w:p w14:paraId="58A5FA39" w14:textId="0B1F2517" w:rsidR="00763D8B" w:rsidRPr="003F6E3C" w:rsidRDefault="00763D8B" w:rsidP="00763D8B">
            <w:pPr>
              <w:spacing w:line="276" w:lineRule="auto"/>
              <w:jc w:val="both"/>
              <w:rPr>
                <w:rFonts w:asciiTheme="minorHAnsi" w:hAnsiTheme="minorHAnsi" w:cstheme="minorHAnsi"/>
                <w:sz w:val="23"/>
                <w:szCs w:val="23"/>
              </w:rPr>
            </w:pPr>
            <w:r w:rsidRPr="003F6E3C">
              <w:rPr>
                <w:rFonts w:asciiTheme="minorHAnsi" w:hAnsiTheme="minorHAnsi" w:cstheme="minorHAnsi"/>
                <w:sz w:val="23"/>
                <w:szCs w:val="23"/>
              </w:rPr>
              <w:t>El valor de $</w:t>
            </w:r>
            <w:r w:rsidR="001E67A3" w:rsidRPr="003F6E3C">
              <w:rPr>
                <w:rFonts w:asciiTheme="minorHAnsi" w:hAnsiTheme="minorHAnsi" w:cstheme="minorHAnsi"/>
                <w:sz w:val="23"/>
                <w:szCs w:val="23"/>
              </w:rPr>
              <w:t>60</w:t>
            </w:r>
            <w:r w:rsidRPr="003F6E3C">
              <w:rPr>
                <w:rFonts w:asciiTheme="minorHAnsi" w:hAnsiTheme="minorHAnsi" w:cstheme="minorHAnsi"/>
                <w:sz w:val="23"/>
                <w:szCs w:val="23"/>
              </w:rPr>
              <w:t>.000.000 a favor de cada uno de los siguientes demandantes:</w:t>
            </w:r>
            <w:r w:rsidR="001E67A3" w:rsidRPr="003F6E3C">
              <w:rPr>
                <w:rFonts w:asciiTheme="minorHAnsi" w:hAnsiTheme="minorHAnsi" w:cstheme="minorHAnsi"/>
                <w:sz w:val="23"/>
                <w:szCs w:val="23"/>
              </w:rPr>
              <w:t xml:space="preserve"> Luz Eliana Lugo Quiñonez (compañera permanente) y</w:t>
            </w:r>
            <w:r w:rsidRPr="003F6E3C">
              <w:rPr>
                <w:rFonts w:asciiTheme="minorHAnsi" w:hAnsiTheme="minorHAnsi" w:cstheme="minorHAnsi"/>
                <w:sz w:val="23"/>
                <w:szCs w:val="23"/>
              </w:rPr>
              <w:t xml:space="preserve"> </w:t>
            </w:r>
            <w:r w:rsidR="001E67A3" w:rsidRPr="003F6E3C">
              <w:rPr>
                <w:rFonts w:asciiTheme="minorHAnsi" w:hAnsiTheme="minorHAnsi" w:cstheme="minorHAnsi"/>
                <w:sz w:val="23"/>
                <w:szCs w:val="23"/>
              </w:rPr>
              <w:t>Santiago Mera Lugo (Hijo de la víctima)</w:t>
            </w:r>
            <w:r w:rsidRPr="003F6E3C">
              <w:rPr>
                <w:rFonts w:asciiTheme="minorHAnsi" w:hAnsiTheme="minorHAnsi" w:cstheme="minorHAnsi"/>
                <w:sz w:val="23"/>
                <w:szCs w:val="23"/>
              </w:rPr>
              <w:t>. Si bien esta tipología de perjuicio se encuentra deferida al “</w:t>
            </w:r>
            <w:proofErr w:type="spellStart"/>
            <w:r w:rsidRPr="003F6E3C">
              <w:rPr>
                <w:rFonts w:asciiTheme="minorHAnsi" w:hAnsiTheme="minorHAnsi" w:cstheme="minorHAnsi"/>
                <w:i/>
                <w:iCs/>
                <w:sz w:val="23"/>
                <w:szCs w:val="23"/>
              </w:rPr>
              <w:t>arbitrium</w:t>
            </w:r>
            <w:proofErr w:type="spellEnd"/>
            <w:r w:rsidRPr="003F6E3C">
              <w:rPr>
                <w:rFonts w:asciiTheme="minorHAnsi" w:hAnsiTheme="minorHAnsi" w:cstheme="minorHAnsi"/>
                <w:i/>
                <w:iCs/>
                <w:sz w:val="23"/>
                <w:szCs w:val="23"/>
              </w:rPr>
              <w:t xml:space="preserve"> </w:t>
            </w:r>
            <w:proofErr w:type="spellStart"/>
            <w:r w:rsidRPr="003F6E3C">
              <w:rPr>
                <w:rFonts w:asciiTheme="minorHAnsi" w:hAnsiTheme="minorHAnsi" w:cstheme="minorHAnsi"/>
                <w:i/>
                <w:iCs/>
                <w:sz w:val="23"/>
                <w:szCs w:val="23"/>
              </w:rPr>
              <w:t>judicis</w:t>
            </w:r>
            <w:proofErr w:type="spellEnd"/>
            <w:r w:rsidRPr="003F6E3C">
              <w:rPr>
                <w:rFonts w:asciiTheme="minorHAnsi" w:hAnsiTheme="minorHAnsi" w:cstheme="minorHAnsi"/>
                <w:i/>
                <w:iCs/>
                <w:sz w:val="23"/>
                <w:szCs w:val="23"/>
              </w:rPr>
              <w:t xml:space="preserve">”, </w:t>
            </w:r>
            <w:r w:rsidRPr="003F6E3C">
              <w:rPr>
                <w:rFonts w:asciiTheme="minorHAnsi" w:hAnsiTheme="minorHAnsi" w:cstheme="minorHAnsi"/>
                <w:sz w:val="23"/>
                <w:szCs w:val="23"/>
              </w:rPr>
              <w:t>la sentencia del 23/05/2018, MP: Aroldo Wilson Quiroz ha reconocido como monto máximo por este perjuicio el valor de $60.000.000 a favor de los hijos, padres y el cónyuge en caso de que la víctima falleciera</w:t>
            </w:r>
            <w:r w:rsidR="001E67A3" w:rsidRPr="003F6E3C">
              <w:rPr>
                <w:rFonts w:asciiTheme="minorHAnsi" w:hAnsiTheme="minorHAnsi" w:cstheme="minorHAnsi"/>
                <w:sz w:val="23"/>
                <w:szCs w:val="23"/>
              </w:rPr>
              <w:t>.</w:t>
            </w:r>
          </w:p>
          <w:p w14:paraId="2C47244A" w14:textId="77777777" w:rsidR="001E67A3" w:rsidRPr="003F6E3C" w:rsidRDefault="001E67A3" w:rsidP="00763D8B">
            <w:pPr>
              <w:spacing w:line="276" w:lineRule="auto"/>
              <w:jc w:val="both"/>
              <w:rPr>
                <w:rFonts w:asciiTheme="minorHAnsi" w:hAnsiTheme="minorHAnsi" w:cstheme="minorHAnsi"/>
                <w:sz w:val="23"/>
                <w:szCs w:val="23"/>
              </w:rPr>
            </w:pPr>
          </w:p>
          <w:p w14:paraId="2662B973" w14:textId="6FA55870" w:rsidR="001E67A3" w:rsidRPr="003F6E3C" w:rsidRDefault="001E67A3" w:rsidP="00763D8B">
            <w:pPr>
              <w:spacing w:line="276" w:lineRule="auto"/>
              <w:jc w:val="both"/>
              <w:rPr>
                <w:rFonts w:asciiTheme="minorHAnsi" w:hAnsiTheme="minorHAnsi" w:cstheme="minorHAnsi"/>
                <w:sz w:val="23"/>
                <w:szCs w:val="23"/>
              </w:rPr>
            </w:pPr>
            <w:r w:rsidRPr="003F6E3C">
              <w:rPr>
                <w:rFonts w:asciiTheme="minorHAnsi" w:hAnsiTheme="minorHAnsi" w:cstheme="minorHAnsi"/>
                <w:sz w:val="23"/>
                <w:szCs w:val="23"/>
              </w:rPr>
              <w:t xml:space="preserve">No se reconoce este perjuicio a favor de la menor de edad </w:t>
            </w:r>
            <w:proofErr w:type="spellStart"/>
            <w:r w:rsidRPr="003F6E3C">
              <w:rPr>
                <w:rFonts w:asciiTheme="minorHAnsi" w:hAnsiTheme="minorHAnsi" w:cstheme="minorHAnsi"/>
                <w:sz w:val="23"/>
                <w:szCs w:val="23"/>
              </w:rPr>
              <w:t>Eilyn</w:t>
            </w:r>
            <w:proofErr w:type="spellEnd"/>
            <w:r w:rsidRPr="003F6E3C">
              <w:rPr>
                <w:rFonts w:asciiTheme="minorHAnsi" w:hAnsiTheme="minorHAnsi" w:cstheme="minorHAnsi"/>
                <w:sz w:val="23"/>
                <w:szCs w:val="23"/>
              </w:rPr>
              <w:t xml:space="preserve"> Lugo Quiñonez, ya que no se verifica ninguna prueba documental que dé cuenta de su calidad de hija de crianza de la víctima. No obstante, se anota que una vez surtida la audiencia inicial puede variar esta liquidación en caso de que durante la diligencia se logre constatar la calidad de hija de crianza de la demandante. </w:t>
            </w:r>
          </w:p>
          <w:p w14:paraId="74ECDD6E" w14:textId="77777777" w:rsidR="00763D8B" w:rsidRPr="003F6E3C" w:rsidRDefault="00763D8B" w:rsidP="00763D8B">
            <w:pPr>
              <w:spacing w:line="276" w:lineRule="auto"/>
              <w:jc w:val="both"/>
              <w:rPr>
                <w:rFonts w:asciiTheme="minorHAnsi" w:hAnsiTheme="minorHAnsi" w:cstheme="minorHAnsi"/>
                <w:sz w:val="23"/>
                <w:szCs w:val="23"/>
              </w:rPr>
            </w:pPr>
          </w:p>
          <w:p w14:paraId="3DF7B2BB" w14:textId="1BA7207E" w:rsidR="00763D8B" w:rsidRPr="003F6E3C" w:rsidRDefault="00763D8B" w:rsidP="00763D8B">
            <w:pPr>
              <w:spacing w:line="276" w:lineRule="auto"/>
              <w:jc w:val="both"/>
              <w:rPr>
                <w:rFonts w:asciiTheme="minorHAnsi" w:hAnsiTheme="minorHAnsi" w:cstheme="minorHAnsi"/>
                <w:sz w:val="23"/>
                <w:szCs w:val="23"/>
              </w:rPr>
            </w:pPr>
            <w:r w:rsidRPr="003F6E3C">
              <w:rPr>
                <w:rFonts w:asciiTheme="minorHAnsi" w:hAnsiTheme="minorHAnsi" w:cstheme="minorHAnsi"/>
                <w:b/>
                <w:bCs/>
                <w:sz w:val="23"/>
                <w:szCs w:val="23"/>
                <w:u w:val="single"/>
              </w:rPr>
              <w:t>Valor total de exposición al riesgo:</w:t>
            </w:r>
            <w:r w:rsidRPr="003F6E3C">
              <w:rPr>
                <w:rFonts w:asciiTheme="minorHAnsi" w:hAnsiTheme="minorHAnsi" w:cstheme="minorHAnsi"/>
                <w:sz w:val="23"/>
                <w:szCs w:val="23"/>
              </w:rPr>
              <w:t xml:space="preserve"> $</w:t>
            </w:r>
            <w:r w:rsidR="00FC6772" w:rsidRPr="003F6E3C">
              <w:rPr>
                <w:rFonts w:asciiTheme="minorHAnsi" w:hAnsiTheme="minorHAnsi" w:cstheme="minorHAnsi"/>
                <w:sz w:val="23"/>
                <w:szCs w:val="23"/>
              </w:rPr>
              <w:t>403.313.071.</w:t>
            </w:r>
          </w:p>
          <w:p w14:paraId="62908DD1" w14:textId="77777777" w:rsidR="00763D8B" w:rsidRPr="003F6E3C" w:rsidRDefault="00763D8B" w:rsidP="00763D8B">
            <w:pPr>
              <w:spacing w:line="276" w:lineRule="auto"/>
              <w:jc w:val="both"/>
              <w:rPr>
                <w:rFonts w:asciiTheme="minorHAnsi" w:hAnsiTheme="minorHAnsi" w:cstheme="minorHAnsi"/>
                <w:sz w:val="23"/>
                <w:szCs w:val="23"/>
              </w:rPr>
            </w:pPr>
          </w:p>
          <w:p w14:paraId="7662D052" w14:textId="583731DD" w:rsidR="00C3016C" w:rsidRPr="003F6E3C" w:rsidRDefault="00763D8B" w:rsidP="00763D8B">
            <w:pPr>
              <w:jc w:val="both"/>
              <w:rPr>
                <w:rFonts w:asciiTheme="minorHAnsi" w:hAnsiTheme="minorHAnsi" w:cstheme="minorHAnsi"/>
                <w:sz w:val="23"/>
                <w:szCs w:val="23"/>
                <w:lang w:val="es-ES_tradnl"/>
              </w:rPr>
            </w:pPr>
            <w:r w:rsidRPr="003F6E3C">
              <w:rPr>
                <w:rFonts w:asciiTheme="minorHAnsi" w:hAnsiTheme="minorHAnsi" w:cstheme="minorHAnsi"/>
                <w:sz w:val="23"/>
                <w:szCs w:val="23"/>
              </w:rPr>
              <w:lastRenderedPageBreak/>
              <w:t xml:space="preserve">Conforme a la liquidación de los conceptos anteriormente relacionados, la suma de una eventual condena asciende </w:t>
            </w:r>
            <w:r w:rsidR="00FC6772" w:rsidRPr="003F6E3C">
              <w:rPr>
                <w:rFonts w:asciiTheme="minorHAnsi" w:hAnsiTheme="minorHAnsi" w:cstheme="minorHAnsi"/>
                <w:sz w:val="23"/>
                <w:szCs w:val="23"/>
              </w:rPr>
              <w:t xml:space="preserve">inicialmente </w:t>
            </w:r>
            <w:r w:rsidRPr="003F6E3C">
              <w:rPr>
                <w:rFonts w:asciiTheme="minorHAnsi" w:hAnsiTheme="minorHAnsi" w:cstheme="minorHAnsi"/>
                <w:sz w:val="23"/>
                <w:szCs w:val="23"/>
              </w:rPr>
              <w:t>a $</w:t>
            </w:r>
            <w:r w:rsidR="00FC6772" w:rsidRPr="003F6E3C">
              <w:rPr>
                <w:rFonts w:asciiTheme="minorHAnsi" w:hAnsiTheme="minorHAnsi" w:cstheme="minorHAnsi"/>
                <w:sz w:val="23"/>
                <w:szCs w:val="23"/>
              </w:rPr>
              <w:t>404.713.071. Adicionalmente, a este valor se debe restar el deducible contemplado en la póliza equivalente a $1.400.000. Por lo tanto, el valor total de exposición de la compañía es de $403.313.071.</w:t>
            </w:r>
          </w:p>
        </w:tc>
      </w:tr>
      <w:tr w:rsidR="00C3016C" w:rsidRPr="003F6E3C" w14:paraId="3AE6DDE7" w14:textId="77777777" w:rsidTr="3452EF96">
        <w:tc>
          <w:tcPr>
            <w:tcW w:w="2518" w:type="dxa"/>
            <w:shd w:val="clear" w:color="auto" w:fill="D9D9D9" w:themeFill="background1" w:themeFillShade="D9"/>
          </w:tcPr>
          <w:p w14:paraId="49F38751"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lastRenderedPageBreak/>
              <w:t>Calificación de la contingencia:</w:t>
            </w:r>
          </w:p>
        </w:tc>
        <w:tc>
          <w:tcPr>
            <w:tcW w:w="7465" w:type="dxa"/>
          </w:tcPr>
          <w:p w14:paraId="1E9AFCF4" w14:textId="5A84A73F" w:rsidR="00C3016C" w:rsidRPr="003F6E3C" w:rsidRDefault="00E53FA5"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REMOTA</w:t>
            </w:r>
          </w:p>
        </w:tc>
      </w:tr>
      <w:tr w:rsidR="00C3016C" w:rsidRPr="003F6E3C" w14:paraId="1EDA617F" w14:textId="77777777" w:rsidTr="3452EF96">
        <w:tc>
          <w:tcPr>
            <w:tcW w:w="2518" w:type="dxa"/>
            <w:shd w:val="clear" w:color="auto" w:fill="D9D9D9" w:themeFill="background1" w:themeFillShade="D9"/>
          </w:tcPr>
          <w:p w14:paraId="45DBC8C6"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Motivos de la calificación:</w:t>
            </w:r>
          </w:p>
        </w:tc>
        <w:tc>
          <w:tcPr>
            <w:tcW w:w="7465" w:type="dxa"/>
          </w:tcPr>
          <w:p w14:paraId="37933463" w14:textId="14316853" w:rsidR="00E53FA5" w:rsidRPr="003F6E3C" w:rsidRDefault="00E53FA5" w:rsidP="00E53FA5">
            <w:pPr>
              <w:shd w:val="clear" w:color="auto" w:fill="FFFFFF"/>
              <w:jc w:val="both"/>
              <w:rPr>
                <w:rFonts w:asciiTheme="minorHAnsi" w:eastAsia="Times New Roman" w:hAnsiTheme="minorHAnsi" w:cstheme="minorHAnsi"/>
                <w:color w:val="000000"/>
                <w:sz w:val="23"/>
                <w:szCs w:val="23"/>
                <w:bdr w:val="none" w:sz="0" w:space="0" w:color="auto" w:frame="1"/>
                <w:shd w:val="clear" w:color="auto" w:fill="FFFFFF"/>
              </w:rPr>
            </w:pPr>
            <w:r w:rsidRPr="003F6E3C">
              <w:rPr>
                <w:rFonts w:asciiTheme="minorHAnsi" w:eastAsia="Times New Roman" w:hAnsiTheme="minorHAnsi" w:cstheme="minorHAnsi"/>
                <w:color w:val="000000"/>
                <w:sz w:val="23"/>
                <w:szCs w:val="23"/>
                <w:bdr w:val="none" w:sz="0" w:space="0" w:color="auto" w:frame="1"/>
                <w:shd w:val="clear" w:color="auto" w:fill="FFFFFF"/>
              </w:rPr>
              <w:t xml:space="preserve">La contingencia se califica como </w:t>
            </w:r>
            <w:r w:rsidRPr="003F6E3C">
              <w:rPr>
                <w:rFonts w:asciiTheme="minorHAnsi" w:eastAsia="Times New Roman" w:hAnsiTheme="minorHAnsi" w:cstheme="minorHAnsi"/>
                <w:b/>
                <w:bCs/>
                <w:color w:val="000000"/>
                <w:sz w:val="23"/>
                <w:szCs w:val="23"/>
                <w:bdr w:val="none" w:sz="0" w:space="0" w:color="auto" w:frame="1"/>
                <w:shd w:val="clear" w:color="auto" w:fill="FFFFFF"/>
              </w:rPr>
              <w:t>REMOTA</w:t>
            </w:r>
            <w:r w:rsidRPr="003F6E3C">
              <w:rPr>
                <w:rFonts w:asciiTheme="minorHAnsi" w:eastAsia="Times New Roman" w:hAnsiTheme="minorHAnsi" w:cstheme="minorHAnsi"/>
                <w:color w:val="000000"/>
                <w:sz w:val="23"/>
                <w:szCs w:val="23"/>
                <w:bdr w:val="none" w:sz="0" w:space="0" w:color="auto" w:frame="1"/>
                <w:shd w:val="clear" w:color="auto" w:fill="FFFFFF"/>
              </w:rPr>
              <w:t xml:space="preserve"> toda vez que</w:t>
            </w:r>
            <w:r w:rsidR="002E4042" w:rsidRPr="003F6E3C">
              <w:rPr>
                <w:rFonts w:asciiTheme="minorHAnsi" w:eastAsia="Times New Roman" w:hAnsiTheme="minorHAnsi" w:cstheme="minorHAnsi"/>
                <w:color w:val="000000"/>
                <w:sz w:val="23"/>
                <w:szCs w:val="23"/>
                <w:bdr w:val="none" w:sz="0" w:space="0" w:color="auto" w:frame="1"/>
                <w:shd w:val="clear" w:color="auto" w:fill="FFFFFF"/>
              </w:rPr>
              <w:t>, aunque</w:t>
            </w:r>
            <w:r w:rsidR="00AC687D" w:rsidRPr="003F6E3C">
              <w:rPr>
                <w:rFonts w:asciiTheme="minorHAnsi" w:eastAsia="Times New Roman" w:hAnsiTheme="minorHAnsi" w:cstheme="minorHAnsi"/>
                <w:color w:val="000000"/>
                <w:sz w:val="23"/>
                <w:szCs w:val="23"/>
                <w:bdr w:val="none" w:sz="0" w:space="0" w:color="auto" w:frame="1"/>
                <w:shd w:val="clear" w:color="auto" w:fill="FFFFFF"/>
              </w:rPr>
              <w:t xml:space="preserve"> la póliza</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presta cobertura temporal, no presta cobertura material y adicionalmente, la</w:t>
            </w:r>
            <w:r w:rsidRPr="003F6E3C">
              <w:rPr>
                <w:rFonts w:asciiTheme="minorHAnsi" w:eastAsia="Times New Roman" w:hAnsiTheme="minorHAnsi" w:cstheme="minorHAnsi"/>
                <w:color w:val="000000"/>
                <w:sz w:val="23"/>
                <w:szCs w:val="23"/>
                <w:bdr w:val="none" w:sz="0" w:space="0" w:color="auto" w:frame="1"/>
                <w:shd w:val="clear" w:color="auto" w:fill="FFFFFF"/>
              </w:rPr>
              <w:t xml:space="preserve">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la</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responsabilidad civil del asegurado no se encuentra demostrada, ya que el accidente ocurre en </w:t>
            </w:r>
            <w:r w:rsidR="002E4042" w:rsidRPr="003F6E3C">
              <w:rPr>
                <w:rFonts w:asciiTheme="minorHAnsi" w:eastAsia="Times New Roman" w:hAnsiTheme="minorHAnsi" w:cstheme="minorHAnsi"/>
                <w:color w:val="000000"/>
                <w:sz w:val="23"/>
                <w:szCs w:val="23"/>
                <w:bdr w:val="none" w:sz="0" w:space="0" w:color="auto" w:frame="1"/>
                <w:shd w:val="clear" w:color="auto" w:fill="FFFFFF"/>
              </w:rPr>
              <w:t>el marco</w:t>
            </w:r>
            <w:r w:rsidRPr="003F6E3C">
              <w:rPr>
                <w:rFonts w:asciiTheme="minorHAnsi" w:eastAsia="Times New Roman" w:hAnsiTheme="minorHAnsi" w:cstheme="minorHAnsi"/>
                <w:color w:val="000000"/>
                <w:sz w:val="23"/>
                <w:szCs w:val="23"/>
                <w:bdr w:val="none" w:sz="0" w:space="0" w:color="auto" w:frame="1"/>
                <w:shd w:val="clear" w:color="auto" w:fill="FFFFFF"/>
              </w:rPr>
              <w:t xml:space="preserve"> de un contrato de trabajo del cual debe partir el análisis de la responsabilidad patronal.</w:t>
            </w:r>
          </w:p>
          <w:p w14:paraId="254D7948" w14:textId="77777777" w:rsidR="00E53FA5" w:rsidRPr="003F6E3C" w:rsidRDefault="00E53FA5" w:rsidP="00E53FA5">
            <w:pPr>
              <w:shd w:val="clear" w:color="auto" w:fill="FFFFFF"/>
              <w:jc w:val="both"/>
              <w:rPr>
                <w:rFonts w:asciiTheme="minorHAnsi" w:eastAsia="Times New Roman" w:hAnsiTheme="minorHAnsi" w:cstheme="minorHAnsi"/>
                <w:color w:val="000000"/>
                <w:sz w:val="23"/>
                <w:szCs w:val="23"/>
                <w:bdr w:val="none" w:sz="0" w:space="0" w:color="auto" w:frame="1"/>
                <w:shd w:val="clear" w:color="auto" w:fill="FFFFFF"/>
              </w:rPr>
            </w:pPr>
          </w:p>
          <w:p w14:paraId="2832854A" w14:textId="529FC49D" w:rsidR="00E53FA5" w:rsidRPr="003F6E3C" w:rsidRDefault="00AC687D" w:rsidP="00E53FA5">
            <w:pPr>
              <w:shd w:val="clear" w:color="auto" w:fill="FFFFFF"/>
              <w:jc w:val="both"/>
              <w:rPr>
                <w:rFonts w:asciiTheme="minorHAnsi" w:eastAsia="Times New Roman" w:hAnsiTheme="minorHAnsi" w:cstheme="minorHAnsi"/>
                <w:color w:val="000000"/>
                <w:sz w:val="23"/>
                <w:szCs w:val="23"/>
                <w:bdr w:val="none" w:sz="0" w:space="0" w:color="auto" w:frame="1"/>
                <w:shd w:val="clear" w:color="auto" w:fill="FFFFFF"/>
              </w:rPr>
            </w:pPr>
            <w:r w:rsidRPr="003F6E3C">
              <w:rPr>
                <w:rFonts w:asciiTheme="minorHAnsi" w:eastAsia="Times New Roman" w:hAnsiTheme="minorHAnsi" w:cstheme="minorHAnsi"/>
                <w:color w:val="000000"/>
                <w:sz w:val="23"/>
                <w:szCs w:val="23"/>
                <w:bdr w:val="none" w:sz="0" w:space="0" w:color="auto" w:frame="1"/>
                <w:shd w:val="clear" w:color="auto" w:fill="FFFFFF"/>
              </w:rPr>
              <w:t>L</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o primero </w:t>
            </w:r>
            <w:r w:rsidRPr="003F6E3C">
              <w:rPr>
                <w:rFonts w:asciiTheme="minorHAnsi" w:eastAsia="Times New Roman" w:hAnsiTheme="minorHAnsi" w:cstheme="minorHAnsi"/>
                <w:color w:val="000000"/>
                <w:sz w:val="23"/>
                <w:szCs w:val="23"/>
                <w:bdr w:val="none" w:sz="0" w:space="0" w:color="auto" w:frame="1"/>
                <w:shd w:val="clear" w:color="auto" w:fill="FFFFFF"/>
              </w:rPr>
              <w:t xml:space="preserve">a </w:t>
            </w:r>
            <w:r w:rsidR="002E4042" w:rsidRPr="003F6E3C">
              <w:rPr>
                <w:rFonts w:asciiTheme="minorHAnsi" w:eastAsia="Times New Roman" w:hAnsiTheme="minorHAnsi" w:cstheme="minorHAnsi"/>
                <w:color w:val="000000"/>
                <w:sz w:val="23"/>
                <w:szCs w:val="23"/>
                <w:bdr w:val="none" w:sz="0" w:space="0" w:color="auto" w:frame="1"/>
                <w:shd w:val="clear" w:color="auto" w:fill="FFFFFF"/>
              </w:rPr>
              <w:t>considerar</w:t>
            </w:r>
            <w:r w:rsidRPr="003F6E3C">
              <w:rPr>
                <w:rFonts w:asciiTheme="minorHAnsi" w:eastAsia="Times New Roman" w:hAnsiTheme="minorHAnsi" w:cstheme="minorHAnsi"/>
                <w:color w:val="000000"/>
                <w:sz w:val="23"/>
                <w:szCs w:val="23"/>
                <w:bdr w:val="none" w:sz="0" w:space="0" w:color="auto" w:frame="1"/>
                <w:shd w:val="clear" w:color="auto" w:fill="FFFFFF"/>
              </w:rPr>
              <w:t xml:space="preserve"> es que la compañía</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fue vinculada por</w:t>
            </w:r>
            <w:r w:rsidRPr="003F6E3C">
              <w:rPr>
                <w:rFonts w:asciiTheme="minorHAnsi" w:eastAsia="Times New Roman" w:hAnsiTheme="minorHAnsi" w:cstheme="minorHAnsi"/>
                <w:color w:val="000000"/>
                <w:sz w:val="23"/>
                <w:szCs w:val="23"/>
                <w:bdr w:val="none" w:sz="0" w:space="0" w:color="auto" w:frame="1"/>
                <w:shd w:val="clear" w:color="auto" w:fill="FFFFFF"/>
              </w:rPr>
              <w:t xml:space="preserve"> la póliza de automóviles No. 4059853,</w:t>
            </w:r>
            <w:r w:rsidR="00097EA2"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Pr="003F6E3C">
              <w:rPr>
                <w:rFonts w:asciiTheme="minorHAnsi" w:eastAsia="Times New Roman" w:hAnsiTheme="minorHAnsi" w:cstheme="minorHAnsi"/>
                <w:color w:val="000000"/>
                <w:sz w:val="23"/>
                <w:szCs w:val="23"/>
                <w:bdr w:val="none" w:sz="0" w:space="0" w:color="auto" w:frame="1"/>
                <w:shd w:val="clear" w:color="auto" w:fill="FFFFFF"/>
              </w:rPr>
              <w:t>cuyo asegurado es el Banco Finandina S.A.</w:t>
            </w:r>
            <w:r w:rsidR="002C7B4D" w:rsidRPr="003F6E3C">
              <w:rPr>
                <w:rFonts w:asciiTheme="minorHAnsi" w:eastAsia="Times New Roman" w:hAnsiTheme="minorHAnsi" w:cstheme="minorHAnsi"/>
                <w:color w:val="000000"/>
                <w:sz w:val="23"/>
                <w:szCs w:val="23"/>
                <w:bdr w:val="none" w:sz="0" w:space="0" w:color="auto" w:frame="1"/>
                <w:shd w:val="clear" w:color="auto" w:fill="FFFFFF"/>
              </w:rPr>
              <w:t>,</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002C7B4D" w:rsidRPr="003F6E3C">
              <w:rPr>
                <w:rFonts w:asciiTheme="minorHAnsi" w:eastAsia="Times New Roman" w:hAnsiTheme="minorHAnsi" w:cstheme="minorHAnsi"/>
                <w:color w:val="000000"/>
                <w:sz w:val="23"/>
                <w:szCs w:val="23"/>
                <w:bdr w:val="none" w:sz="0" w:space="0" w:color="auto" w:frame="1"/>
                <w:shd w:val="clear" w:color="auto" w:fill="FFFFFF"/>
              </w:rPr>
              <w:t>la cual</w:t>
            </w:r>
            <w:r w:rsidR="005F0A44">
              <w:rPr>
                <w:rFonts w:asciiTheme="minorHAnsi" w:eastAsia="Times New Roman" w:hAnsiTheme="minorHAnsi" w:cstheme="minorHAnsi"/>
                <w:color w:val="000000"/>
                <w:sz w:val="23"/>
                <w:szCs w:val="23"/>
                <w:bdr w:val="none" w:sz="0" w:space="0" w:color="auto" w:frame="1"/>
                <w:shd w:val="clear" w:color="auto" w:fill="FFFFFF"/>
              </w:rPr>
              <w:t xml:space="preserve"> </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presta cobertura </w:t>
            </w:r>
            <w:r w:rsidR="002C7B4D" w:rsidRPr="003F6E3C">
              <w:rPr>
                <w:rFonts w:asciiTheme="minorHAnsi" w:eastAsia="Times New Roman" w:hAnsiTheme="minorHAnsi" w:cstheme="minorHAnsi"/>
                <w:color w:val="000000"/>
                <w:sz w:val="23"/>
                <w:szCs w:val="23"/>
                <w:bdr w:val="none" w:sz="0" w:space="0" w:color="auto" w:frame="1"/>
                <w:shd w:val="clear" w:color="auto" w:fill="FFFFFF"/>
              </w:rPr>
              <w:t xml:space="preserve">temporal </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pero no </w:t>
            </w:r>
            <w:r w:rsidR="002C7B4D" w:rsidRPr="003F6E3C">
              <w:rPr>
                <w:rFonts w:asciiTheme="minorHAnsi" w:eastAsia="Times New Roman" w:hAnsiTheme="minorHAnsi" w:cstheme="minorHAnsi"/>
                <w:color w:val="000000"/>
                <w:sz w:val="23"/>
                <w:szCs w:val="23"/>
                <w:bdr w:val="none" w:sz="0" w:space="0" w:color="auto" w:frame="1"/>
                <w:shd w:val="clear" w:color="auto" w:fill="FFFFFF"/>
              </w:rPr>
              <w:t>material</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para</w:t>
            </w:r>
            <w:r w:rsidR="002C7B4D" w:rsidRPr="003F6E3C">
              <w:rPr>
                <w:rFonts w:asciiTheme="minorHAnsi" w:eastAsia="Times New Roman" w:hAnsiTheme="minorHAnsi" w:cstheme="minorHAnsi"/>
                <w:color w:val="000000"/>
                <w:sz w:val="23"/>
                <w:szCs w:val="23"/>
                <w:bdr w:val="none" w:sz="0" w:space="0" w:color="auto" w:frame="1"/>
                <w:shd w:val="clear" w:color="auto" w:fill="FFFFFF"/>
              </w:rPr>
              <w:t xml:space="preserve"> las</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pretensiones y hechos de</w:t>
            </w:r>
            <w:r w:rsidR="005F0A44">
              <w:rPr>
                <w:rFonts w:asciiTheme="minorHAnsi" w:eastAsia="Times New Roman" w:hAnsiTheme="minorHAnsi" w:cstheme="minorHAnsi"/>
                <w:color w:val="000000"/>
                <w:sz w:val="23"/>
                <w:szCs w:val="23"/>
                <w:bdr w:val="none" w:sz="0" w:space="0" w:color="auto" w:frame="1"/>
                <w:shd w:val="clear" w:color="auto" w:fill="FFFFFF"/>
              </w:rPr>
              <w:t xml:space="preserve"> la</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demanda</w:t>
            </w:r>
            <w:r w:rsidR="002C7B4D" w:rsidRPr="003F6E3C">
              <w:rPr>
                <w:rFonts w:asciiTheme="minorHAnsi" w:eastAsia="Times New Roman" w:hAnsiTheme="minorHAnsi" w:cstheme="minorHAnsi"/>
                <w:color w:val="000000"/>
                <w:sz w:val="23"/>
                <w:szCs w:val="23"/>
                <w:bdr w:val="none" w:sz="0" w:space="0" w:color="auto" w:frame="1"/>
                <w:shd w:val="clear" w:color="auto" w:fill="FFFFFF"/>
              </w:rPr>
              <w:t>.</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005F0A44">
              <w:rPr>
                <w:rFonts w:asciiTheme="minorHAnsi" w:eastAsia="Times New Roman" w:hAnsiTheme="minorHAnsi" w:cstheme="minorHAnsi"/>
                <w:color w:val="000000"/>
                <w:sz w:val="23"/>
                <w:szCs w:val="23"/>
                <w:bdr w:val="none" w:sz="0" w:space="0" w:color="auto" w:frame="1"/>
                <w:shd w:val="clear" w:color="auto" w:fill="FFFFFF"/>
              </w:rPr>
              <w:t xml:space="preserve">Frente a la cobertura temporal debe señalarse que, el accidente ocurrió el 20 de junio de 2019, esto es, dentro de la vigencia de la póliza comprendida entre el </w:t>
            </w:r>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25 de enero de 2019 al 25 de enero de 2020; sin embargo, la póliza </w:t>
            </w:r>
            <w:r w:rsidR="00E53FA5" w:rsidRPr="003F6E3C">
              <w:rPr>
                <w:rFonts w:asciiTheme="minorHAnsi" w:eastAsia="Times New Roman" w:hAnsiTheme="minorHAnsi" w:cstheme="minorHAnsi"/>
                <w:color w:val="000000"/>
                <w:sz w:val="23"/>
                <w:szCs w:val="23"/>
                <w:u w:val="single"/>
                <w:bdr w:val="none" w:sz="0" w:space="0" w:color="auto" w:frame="1"/>
                <w:shd w:val="clear" w:color="auto" w:fill="FFFFFF"/>
              </w:rPr>
              <w:t>no</w:t>
            </w:r>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00E53FA5" w:rsidRPr="003F6E3C">
              <w:rPr>
                <w:rFonts w:asciiTheme="minorHAnsi" w:eastAsia="Times New Roman" w:hAnsiTheme="minorHAnsi" w:cstheme="minorHAnsi"/>
                <w:color w:val="000000"/>
                <w:sz w:val="23"/>
                <w:szCs w:val="23"/>
                <w:u w:val="single"/>
                <w:bdr w:val="none" w:sz="0" w:space="0" w:color="auto" w:frame="1"/>
                <w:shd w:val="clear" w:color="auto" w:fill="FFFFFF"/>
              </w:rPr>
              <w:t>presta cobertura material</w:t>
            </w:r>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 debido a que</w:t>
            </w:r>
            <w:r w:rsidR="00727489">
              <w:rPr>
                <w:rFonts w:asciiTheme="minorHAnsi" w:eastAsia="Times New Roman" w:hAnsiTheme="minorHAnsi" w:cstheme="minorHAnsi"/>
                <w:color w:val="000000"/>
                <w:sz w:val="23"/>
                <w:szCs w:val="23"/>
                <w:bdr w:val="none" w:sz="0" w:space="0" w:color="auto" w:frame="1"/>
                <w:shd w:val="clear" w:color="auto" w:fill="FFFFFF"/>
              </w:rPr>
              <w:t xml:space="preserve"> aparentemente el accidente ocurrió mientras el señor </w:t>
            </w:r>
            <w:proofErr w:type="spellStart"/>
            <w:r w:rsidR="00727489">
              <w:rPr>
                <w:rFonts w:asciiTheme="minorHAnsi" w:eastAsia="Times New Roman" w:hAnsiTheme="minorHAnsi" w:cstheme="minorHAnsi"/>
                <w:color w:val="000000"/>
                <w:sz w:val="23"/>
                <w:szCs w:val="23"/>
                <w:bdr w:val="none" w:sz="0" w:space="0" w:color="auto" w:frame="1"/>
                <w:shd w:val="clear" w:color="auto" w:fill="FFFFFF"/>
              </w:rPr>
              <w:t>Jhon</w:t>
            </w:r>
            <w:proofErr w:type="spellEnd"/>
            <w:r w:rsidR="00727489">
              <w:rPr>
                <w:rFonts w:asciiTheme="minorHAnsi" w:eastAsia="Times New Roman" w:hAnsiTheme="minorHAnsi" w:cstheme="minorHAnsi"/>
                <w:color w:val="000000"/>
                <w:sz w:val="23"/>
                <w:szCs w:val="23"/>
                <w:bdr w:val="none" w:sz="0" w:space="0" w:color="auto" w:frame="1"/>
                <w:shd w:val="clear" w:color="auto" w:fill="FFFFFF"/>
              </w:rPr>
              <w:t xml:space="preserve"> Alejandro Mera y el conductor de nuestro vehículo asegurado ejercían labores en el marco del contrato que tenían con</w:t>
            </w:r>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 Transportes Velásquez S.A.</w:t>
            </w:r>
            <w:r w:rsidR="00727489">
              <w:rPr>
                <w:rFonts w:asciiTheme="minorHAnsi" w:eastAsia="Times New Roman" w:hAnsiTheme="minorHAnsi" w:cstheme="minorHAnsi"/>
                <w:color w:val="000000"/>
                <w:sz w:val="23"/>
                <w:szCs w:val="23"/>
                <w:bdr w:val="none" w:sz="0" w:space="0" w:color="auto" w:frame="1"/>
                <w:shd w:val="clear" w:color="auto" w:fill="FFFFFF"/>
              </w:rPr>
              <w:t xml:space="preserve"> en las instalaciones de la empresa Johnson &amp; Johnson de Colombia</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002C7B4D" w:rsidRPr="003F6E3C">
              <w:rPr>
                <w:rFonts w:asciiTheme="minorHAnsi" w:eastAsia="Times New Roman" w:hAnsiTheme="minorHAnsi" w:cstheme="minorHAnsi"/>
                <w:color w:val="000000"/>
                <w:sz w:val="23"/>
                <w:szCs w:val="23"/>
                <w:bdr w:val="none" w:sz="0" w:space="0" w:color="auto" w:frame="1"/>
                <w:shd w:val="clear" w:color="auto" w:fill="FFFFFF"/>
              </w:rPr>
              <w:t xml:space="preserve">lo que </w:t>
            </w:r>
            <w:r w:rsidR="002E4042" w:rsidRPr="003F6E3C">
              <w:rPr>
                <w:rFonts w:asciiTheme="minorHAnsi" w:eastAsia="Times New Roman" w:hAnsiTheme="minorHAnsi" w:cstheme="minorHAnsi"/>
                <w:color w:val="000000"/>
                <w:sz w:val="23"/>
                <w:szCs w:val="23"/>
                <w:bdr w:val="none" w:sz="0" w:space="0" w:color="auto" w:frame="1"/>
                <w:shd w:val="clear" w:color="auto" w:fill="FFFFFF"/>
              </w:rPr>
              <w:t>se traduc</w:t>
            </w:r>
            <w:r w:rsidR="00727489">
              <w:rPr>
                <w:rFonts w:asciiTheme="minorHAnsi" w:eastAsia="Times New Roman" w:hAnsiTheme="minorHAnsi" w:cstheme="minorHAnsi"/>
                <w:color w:val="000000"/>
                <w:sz w:val="23"/>
                <w:szCs w:val="23"/>
                <w:bdr w:val="none" w:sz="0" w:space="0" w:color="auto" w:frame="1"/>
                <w:shd w:val="clear" w:color="auto" w:fill="FFFFFF"/>
              </w:rPr>
              <w:t>iría</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 en una posible responsabili</w:t>
            </w:r>
            <w:r w:rsidR="002C7B4D" w:rsidRPr="003F6E3C">
              <w:rPr>
                <w:rFonts w:asciiTheme="minorHAnsi" w:eastAsia="Times New Roman" w:hAnsiTheme="minorHAnsi" w:cstheme="minorHAnsi"/>
                <w:color w:val="000000"/>
                <w:sz w:val="23"/>
                <w:szCs w:val="23"/>
                <w:bdr w:val="none" w:sz="0" w:space="0" w:color="auto" w:frame="1"/>
                <w:shd w:val="clear" w:color="auto" w:fill="FFFFFF"/>
              </w:rPr>
              <w:t>da</w:t>
            </w:r>
            <w:r w:rsidR="002E4042" w:rsidRPr="003F6E3C">
              <w:rPr>
                <w:rFonts w:asciiTheme="minorHAnsi" w:eastAsia="Times New Roman" w:hAnsiTheme="minorHAnsi" w:cstheme="minorHAnsi"/>
                <w:color w:val="000000"/>
                <w:sz w:val="23"/>
                <w:szCs w:val="23"/>
                <w:bdr w:val="none" w:sz="0" w:space="0" w:color="auto" w:frame="1"/>
                <w:shd w:val="clear" w:color="auto" w:fill="FFFFFF"/>
              </w:rPr>
              <w:t xml:space="preserve">d patronal no amparada en </w:t>
            </w:r>
            <w:r w:rsidR="003F6E3C" w:rsidRPr="003F6E3C">
              <w:rPr>
                <w:rFonts w:asciiTheme="minorHAnsi" w:eastAsia="Times New Roman" w:hAnsiTheme="minorHAnsi" w:cstheme="minorHAnsi"/>
                <w:color w:val="000000"/>
                <w:sz w:val="23"/>
                <w:szCs w:val="23"/>
                <w:bdr w:val="none" w:sz="0" w:space="0" w:color="auto" w:frame="1"/>
                <w:shd w:val="clear" w:color="auto" w:fill="FFFFFF"/>
              </w:rPr>
              <w:t xml:space="preserve">la </w:t>
            </w:r>
            <w:r w:rsidR="002E4042" w:rsidRPr="003F6E3C">
              <w:rPr>
                <w:rFonts w:asciiTheme="minorHAnsi" w:eastAsia="Times New Roman" w:hAnsiTheme="minorHAnsi" w:cstheme="minorHAnsi"/>
                <w:color w:val="000000"/>
                <w:sz w:val="23"/>
                <w:szCs w:val="23"/>
                <w:bdr w:val="none" w:sz="0" w:space="0" w:color="auto" w:frame="1"/>
                <w:shd w:val="clear" w:color="auto" w:fill="FFFFFF"/>
              </w:rPr>
              <w:t>póliza.</w:t>
            </w:r>
          </w:p>
          <w:p w14:paraId="35304252" w14:textId="77777777" w:rsidR="00E53FA5" w:rsidRPr="003F6E3C" w:rsidRDefault="00E53FA5" w:rsidP="00E53FA5">
            <w:pPr>
              <w:shd w:val="clear" w:color="auto" w:fill="FFFFFF"/>
              <w:jc w:val="both"/>
              <w:rPr>
                <w:rFonts w:asciiTheme="minorHAnsi" w:eastAsia="Times New Roman" w:hAnsiTheme="minorHAnsi" w:cstheme="minorHAnsi"/>
                <w:color w:val="000000"/>
                <w:sz w:val="23"/>
                <w:szCs w:val="23"/>
                <w:bdr w:val="none" w:sz="0" w:space="0" w:color="auto" w:frame="1"/>
                <w:shd w:val="clear" w:color="auto" w:fill="FFFFFF"/>
              </w:rPr>
            </w:pPr>
          </w:p>
          <w:p w14:paraId="2219F78C" w14:textId="0E46A4CA" w:rsidR="00C3016C" w:rsidRPr="003F6E3C" w:rsidRDefault="00161005" w:rsidP="00E53FA5">
            <w:pPr>
              <w:jc w:val="both"/>
              <w:rPr>
                <w:rFonts w:asciiTheme="minorHAnsi" w:eastAsia="Times New Roman" w:hAnsiTheme="minorHAnsi" w:cstheme="minorHAnsi"/>
                <w:color w:val="000000"/>
                <w:sz w:val="23"/>
                <w:szCs w:val="23"/>
                <w:bdr w:val="none" w:sz="0" w:space="0" w:color="auto" w:frame="1"/>
                <w:shd w:val="clear" w:color="auto" w:fill="FFFFFF"/>
              </w:rPr>
            </w:pPr>
            <w:r w:rsidRPr="003F6E3C">
              <w:rPr>
                <w:rFonts w:asciiTheme="minorHAnsi" w:eastAsia="Times New Roman" w:hAnsiTheme="minorHAnsi" w:cstheme="minorHAnsi"/>
                <w:color w:val="000000"/>
                <w:sz w:val="23"/>
                <w:szCs w:val="23"/>
                <w:bdr w:val="none" w:sz="0" w:space="0" w:color="auto" w:frame="1"/>
                <w:shd w:val="clear" w:color="auto" w:fill="FFFFFF"/>
              </w:rPr>
              <w:t>Conforme a lo manifestado, se considera que nos encontramos ante la discusión de la existencia de responsabilidad patronal</w:t>
            </w:r>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 conforme al siguiente análisis: i) </w:t>
            </w:r>
            <w:r w:rsidRPr="003F6E3C">
              <w:rPr>
                <w:rFonts w:asciiTheme="minorHAnsi" w:eastAsia="Times New Roman" w:hAnsiTheme="minorHAnsi" w:cstheme="minorHAnsi"/>
                <w:color w:val="000000"/>
                <w:sz w:val="23"/>
                <w:szCs w:val="23"/>
                <w:bdr w:val="none" w:sz="0" w:space="0" w:color="auto" w:frame="1"/>
                <w:shd w:val="clear" w:color="auto" w:fill="FFFFFF"/>
              </w:rPr>
              <w:t xml:space="preserve">obra en los anexos de la demanda el contrato de trabajo a término fijo con fecha de inicio 29 de abril de 2019 y término de 4 meses, el cual fue suscrito por Transporte Velásquez S.A. y el señor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Jhon</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Alejandro Mera Figueroa </w:t>
            </w:r>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 </w:t>
            </w:r>
            <w:proofErr w:type="spellStart"/>
            <w:r w:rsidR="00E53FA5" w:rsidRPr="003F6E3C">
              <w:rPr>
                <w:rFonts w:asciiTheme="minorHAnsi" w:eastAsia="Times New Roman" w:hAnsiTheme="minorHAnsi" w:cstheme="minorHAnsi"/>
                <w:color w:val="000000"/>
                <w:sz w:val="23"/>
                <w:szCs w:val="23"/>
                <w:bdr w:val="none" w:sz="0" w:space="0" w:color="auto" w:frame="1"/>
                <w:shd w:val="clear" w:color="auto" w:fill="FFFFFF"/>
              </w:rPr>
              <w:t>ii</w:t>
            </w:r>
            <w:proofErr w:type="spellEnd"/>
            <w:r w:rsidR="00E53FA5"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Pr="003F6E3C">
              <w:rPr>
                <w:rFonts w:asciiTheme="minorHAnsi" w:eastAsia="Times New Roman" w:hAnsiTheme="minorHAnsi" w:cstheme="minorHAnsi"/>
                <w:color w:val="000000"/>
                <w:sz w:val="23"/>
                <w:szCs w:val="23"/>
                <w:bdr w:val="none" w:sz="0" w:space="0" w:color="auto" w:frame="1"/>
                <w:shd w:val="clear" w:color="auto" w:fill="FFFFFF"/>
              </w:rPr>
              <w:t xml:space="preserve">Mediante respuesta del 24 de julio de 2019 de </w:t>
            </w:r>
            <w:r w:rsidR="00727489" w:rsidRPr="003F6E3C">
              <w:rPr>
                <w:rFonts w:asciiTheme="minorHAnsi" w:eastAsia="Times New Roman" w:hAnsiTheme="minorHAnsi" w:cstheme="minorHAnsi"/>
                <w:color w:val="000000"/>
                <w:sz w:val="23"/>
                <w:szCs w:val="23"/>
                <w:bdr w:val="none" w:sz="0" w:space="0" w:color="auto" w:frame="1"/>
                <w:shd w:val="clear" w:color="auto" w:fill="FFFFFF"/>
              </w:rPr>
              <w:t>Jonhson</w:t>
            </w:r>
            <w:r w:rsidRPr="003F6E3C">
              <w:rPr>
                <w:rFonts w:asciiTheme="minorHAnsi" w:eastAsia="Times New Roman" w:hAnsiTheme="minorHAnsi" w:cstheme="minorHAnsi"/>
                <w:color w:val="000000"/>
                <w:sz w:val="23"/>
                <w:szCs w:val="23"/>
                <w:bdr w:val="none" w:sz="0" w:space="0" w:color="auto" w:frame="1"/>
                <w:shd w:val="clear" w:color="auto" w:fill="FFFFFF"/>
              </w:rPr>
              <w:t xml:space="preserve"> &amp; </w:t>
            </w:r>
            <w:r w:rsidR="00727489" w:rsidRPr="003F6E3C">
              <w:rPr>
                <w:rFonts w:asciiTheme="minorHAnsi" w:eastAsia="Times New Roman" w:hAnsiTheme="minorHAnsi" w:cstheme="minorHAnsi"/>
                <w:color w:val="000000"/>
                <w:sz w:val="23"/>
                <w:szCs w:val="23"/>
                <w:bdr w:val="none" w:sz="0" w:space="0" w:color="auto" w:frame="1"/>
                <w:shd w:val="clear" w:color="auto" w:fill="FFFFFF"/>
              </w:rPr>
              <w:t>Jonhson</w:t>
            </w:r>
            <w:r w:rsidRPr="003F6E3C">
              <w:rPr>
                <w:rFonts w:asciiTheme="minorHAnsi" w:eastAsia="Times New Roman" w:hAnsiTheme="minorHAnsi" w:cstheme="minorHAnsi"/>
                <w:color w:val="000000"/>
                <w:sz w:val="23"/>
                <w:szCs w:val="23"/>
                <w:bdr w:val="none" w:sz="0" w:space="0" w:color="auto" w:frame="1"/>
                <w:shd w:val="clear" w:color="auto" w:fill="FFFFFF"/>
              </w:rPr>
              <w:t xml:space="preserve"> de Colombia .S.A.,</w:t>
            </w:r>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 frente al oficio remitido por el fiscal seccional 156, manifiesta que el resultado de la investigación interna da cuenta que los empleados de la empresa contratista decidieron remolcar el vehículo dañado de placas VMU-749 incumpliendo las normas de tránsito de Colombia y los protocolos internos de </w:t>
            </w:r>
            <w:r w:rsidR="00727489" w:rsidRPr="003F6E3C">
              <w:rPr>
                <w:rFonts w:asciiTheme="minorHAnsi" w:eastAsia="Times New Roman" w:hAnsiTheme="minorHAnsi" w:cstheme="minorHAnsi"/>
                <w:color w:val="000000"/>
                <w:sz w:val="23"/>
                <w:szCs w:val="23"/>
                <w:bdr w:val="none" w:sz="0" w:space="0" w:color="auto" w:frame="1"/>
                <w:shd w:val="clear" w:color="auto" w:fill="FFFFFF"/>
              </w:rPr>
              <w:t>Jonhson</w:t>
            </w:r>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 &amp; </w:t>
            </w:r>
            <w:r w:rsidR="00727489" w:rsidRPr="003F6E3C">
              <w:rPr>
                <w:rFonts w:asciiTheme="minorHAnsi" w:eastAsia="Times New Roman" w:hAnsiTheme="minorHAnsi" w:cstheme="minorHAnsi"/>
                <w:color w:val="000000"/>
                <w:sz w:val="23"/>
                <w:szCs w:val="23"/>
                <w:bdr w:val="none" w:sz="0" w:space="0" w:color="auto" w:frame="1"/>
                <w:shd w:val="clear" w:color="auto" w:fill="FFFFFF"/>
              </w:rPr>
              <w:t>Jonhson</w:t>
            </w:r>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 los cuales indican que dentro de la compañía se encuentra prohibido realizar reparación de algún tipo y es necesario llamar a una grúa para movilizar los vehículos; </w:t>
            </w:r>
            <w:proofErr w:type="spellStart"/>
            <w:r w:rsidR="009E7FDB" w:rsidRPr="003F6E3C">
              <w:rPr>
                <w:rFonts w:asciiTheme="minorHAnsi" w:eastAsia="Times New Roman" w:hAnsiTheme="minorHAnsi" w:cstheme="minorHAnsi"/>
                <w:color w:val="000000"/>
                <w:sz w:val="23"/>
                <w:szCs w:val="23"/>
                <w:bdr w:val="none" w:sz="0" w:space="0" w:color="auto" w:frame="1"/>
                <w:shd w:val="clear" w:color="auto" w:fill="FFFFFF"/>
              </w:rPr>
              <w:t>iii</w:t>
            </w:r>
            <w:proofErr w:type="spellEnd"/>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 Lo anterior implica, consecuentemente, una falta de competencia del juez de conocimiento quien al carecer de la misma debe remitir el proceso a los juzgados laborales del circuito de Cali. Ahora bien, no fue posible alegar esta situación como excepción toda vez que la aseguradora no contestó la demanda dentro de término, sin embargo se considera posible poner de presente dicha situación mediante la solicitud de un control de legalidad; </w:t>
            </w:r>
            <w:proofErr w:type="spellStart"/>
            <w:r w:rsidR="009E7FDB" w:rsidRPr="003F6E3C">
              <w:rPr>
                <w:rFonts w:asciiTheme="minorHAnsi" w:eastAsia="Times New Roman" w:hAnsiTheme="minorHAnsi" w:cstheme="minorHAnsi"/>
                <w:color w:val="000000"/>
                <w:sz w:val="23"/>
                <w:szCs w:val="23"/>
                <w:bdr w:val="none" w:sz="0" w:space="0" w:color="auto" w:frame="1"/>
                <w:shd w:val="clear" w:color="auto" w:fill="FFFFFF"/>
              </w:rPr>
              <w:t>iv</w:t>
            </w:r>
            <w:proofErr w:type="spellEnd"/>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 Si bien la demanda solo fue interpuesta hasta </w:t>
            </w:r>
            <w:r w:rsidR="00727489">
              <w:rPr>
                <w:rFonts w:asciiTheme="minorHAnsi" w:eastAsia="Times New Roman" w:hAnsiTheme="minorHAnsi" w:cstheme="minorHAnsi"/>
                <w:color w:val="000000"/>
                <w:sz w:val="23"/>
                <w:szCs w:val="23"/>
                <w:bdr w:val="none" w:sz="0" w:space="0" w:color="auto" w:frame="1"/>
                <w:shd w:val="clear" w:color="auto" w:fill="FFFFFF"/>
              </w:rPr>
              <w:t xml:space="preserve">abril del </w:t>
            </w:r>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año 2023, esto es más de 3 años después de la </w:t>
            </w:r>
            <w:r w:rsidR="009E7FDB" w:rsidRPr="003F6E3C">
              <w:rPr>
                <w:rFonts w:asciiTheme="minorHAnsi" w:eastAsia="Times New Roman" w:hAnsiTheme="minorHAnsi" w:cstheme="minorHAnsi"/>
                <w:color w:val="000000"/>
                <w:sz w:val="23"/>
                <w:szCs w:val="23"/>
                <w:bdr w:val="none" w:sz="0" w:space="0" w:color="auto" w:frame="1"/>
                <w:shd w:val="clear" w:color="auto" w:fill="FFFFFF"/>
              </w:rPr>
              <w:lastRenderedPageBreak/>
              <w:t xml:space="preserve">ocurrencia de los hechos, no es posible alegar la prescripción conforme a lo establecido en el artículo 488 del CST ya que la demanda no se contestó en término y la prescripción se entiende renunciada al no alegarse oportunamente en las excepciones, y; v) Conforme a lo manifestado, el hecho base de la demanda excede la cobertura material de la póliza la cual, en virtud del artículo 1056 del </w:t>
            </w:r>
            <w:proofErr w:type="spellStart"/>
            <w:r w:rsidR="009E7FDB" w:rsidRPr="003F6E3C">
              <w:rPr>
                <w:rFonts w:asciiTheme="minorHAnsi" w:eastAsia="Times New Roman" w:hAnsiTheme="minorHAnsi" w:cstheme="minorHAnsi"/>
                <w:color w:val="000000"/>
                <w:sz w:val="23"/>
                <w:szCs w:val="23"/>
                <w:bdr w:val="none" w:sz="0" w:space="0" w:color="auto" w:frame="1"/>
                <w:shd w:val="clear" w:color="auto" w:fill="FFFFFF"/>
              </w:rPr>
              <w:t>C</w:t>
            </w:r>
            <w:r w:rsidR="004F1B8D" w:rsidRPr="003F6E3C">
              <w:rPr>
                <w:rFonts w:asciiTheme="minorHAnsi" w:eastAsia="Times New Roman" w:hAnsiTheme="minorHAnsi" w:cstheme="minorHAnsi"/>
                <w:color w:val="000000"/>
                <w:sz w:val="23"/>
                <w:szCs w:val="23"/>
                <w:bdr w:val="none" w:sz="0" w:space="0" w:color="auto" w:frame="1"/>
                <w:shd w:val="clear" w:color="auto" w:fill="FFFFFF"/>
              </w:rPr>
              <w:t>.Co</w:t>
            </w:r>
            <w:proofErr w:type="spellEnd"/>
            <w:r w:rsidR="004F1B8D" w:rsidRPr="003F6E3C">
              <w:rPr>
                <w:rFonts w:asciiTheme="minorHAnsi" w:eastAsia="Times New Roman" w:hAnsiTheme="minorHAnsi" w:cstheme="minorHAnsi"/>
                <w:color w:val="000000"/>
                <w:sz w:val="23"/>
                <w:szCs w:val="23"/>
                <w:bdr w:val="none" w:sz="0" w:space="0" w:color="auto" w:frame="1"/>
                <w:shd w:val="clear" w:color="auto" w:fill="FFFFFF"/>
              </w:rPr>
              <w:t>., ampara la responsabilidad civil extracontractual, más no la responsabilidad patronal derivada de accidentes de trabajo.</w:t>
            </w:r>
            <w:r w:rsidR="009E7FDB" w:rsidRPr="003F6E3C">
              <w:rPr>
                <w:rFonts w:asciiTheme="minorHAnsi" w:eastAsia="Times New Roman" w:hAnsiTheme="minorHAnsi" w:cstheme="minorHAnsi"/>
                <w:color w:val="000000"/>
                <w:sz w:val="23"/>
                <w:szCs w:val="23"/>
                <w:bdr w:val="none" w:sz="0" w:space="0" w:color="auto" w:frame="1"/>
                <w:shd w:val="clear" w:color="auto" w:fill="FFFFFF"/>
              </w:rPr>
              <w:t xml:space="preserve"> </w:t>
            </w:r>
          </w:p>
          <w:p w14:paraId="34A22EFB" w14:textId="77777777" w:rsidR="003F6E3C" w:rsidRPr="003F6E3C" w:rsidRDefault="003F6E3C" w:rsidP="00E53FA5">
            <w:pPr>
              <w:jc w:val="both"/>
              <w:rPr>
                <w:rFonts w:asciiTheme="minorHAnsi" w:hAnsiTheme="minorHAnsi" w:cstheme="minorHAnsi"/>
                <w:sz w:val="23"/>
                <w:szCs w:val="23"/>
                <w:lang w:val="es-ES_tradnl"/>
              </w:rPr>
            </w:pPr>
          </w:p>
          <w:p w14:paraId="7D1B49B9" w14:textId="77777777" w:rsidR="003F6E3C" w:rsidRDefault="003F6E3C" w:rsidP="00E53FA5">
            <w:pPr>
              <w:jc w:val="both"/>
              <w:rPr>
                <w:rFonts w:asciiTheme="minorHAnsi" w:eastAsia="Times New Roman" w:hAnsiTheme="minorHAnsi" w:cstheme="minorHAnsi"/>
                <w:color w:val="000000"/>
                <w:sz w:val="23"/>
                <w:szCs w:val="23"/>
                <w:bdr w:val="none" w:sz="0" w:space="0" w:color="auto" w:frame="1"/>
                <w:shd w:val="clear" w:color="auto" w:fill="FFFFFF"/>
              </w:rPr>
            </w:pPr>
            <w:r w:rsidRPr="003F6E3C">
              <w:rPr>
                <w:rFonts w:asciiTheme="minorHAnsi" w:hAnsiTheme="minorHAnsi" w:cstheme="minorHAnsi"/>
                <w:sz w:val="23"/>
                <w:szCs w:val="23"/>
                <w:lang w:val="es-ES_tradnl"/>
              </w:rPr>
              <w:t xml:space="preserve">Ahora bien, sin perjuicio de lo manifestado, se realiza el análisis de la responsabilidad de Transportes Velásquez S.A. de cara a las pruebas existentes en el plenario: </w:t>
            </w:r>
            <w:r w:rsidRPr="003F6E3C">
              <w:rPr>
                <w:rFonts w:asciiTheme="minorHAnsi" w:eastAsia="Times New Roman" w:hAnsiTheme="minorHAnsi" w:cstheme="minorHAnsi"/>
                <w:color w:val="000000"/>
                <w:sz w:val="23"/>
                <w:szCs w:val="23"/>
                <w:bdr w:val="none" w:sz="0" w:space="0" w:color="auto" w:frame="1"/>
                <w:shd w:val="clear" w:color="auto" w:fill="FFFFFF"/>
              </w:rPr>
              <w:t xml:space="preserve">i) El IPAT aportado con la demanda establece la hipótesis No. 134 consistente en reverso imprudente atribuible al vehículo asegurado;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ii</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Igualmente, en las observaciones del informe policial mencionado, se señalan que el señor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Jhon</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Mera Figueroa fue víctima del accidente y falleció en la clínica Nuestra Señora de los Remedios;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iii</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Se verifica en el informe del grupo de criminalística de tránsito las fotografías de la posición del vehículo asegurado involucrado en el accidente de tránsito y el hundimiento de la parte frontal del vehículo de placas VMU-749 contra el cual habría sido aplastada la víctima, coincidiendo con el relato realizado en la demanda;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iv</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w:t>
            </w:r>
            <w:r w:rsidR="00727489">
              <w:rPr>
                <w:rFonts w:asciiTheme="minorHAnsi" w:eastAsia="Times New Roman" w:hAnsiTheme="minorHAnsi" w:cstheme="minorHAnsi"/>
                <w:color w:val="000000"/>
                <w:sz w:val="23"/>
                <w:szCs w:val="23"/>
                <w:bdr w:val="none" w:sz="0" w:space="0" w:color="auto" w:frame="1"/>
                <w:shd w:val="clear" w:color="auto" w:fill="FFFFFF"/>
              </w:rPr>
              <w:t>En e</w:t>
            </w:r>
            <w:r w:rsidRPr="003F6E3C">
              <w:rPr>
                <w:rFonts w:asciiTheme="minorHAnsi" w:eastAsia="Times New Roman" w:hAnsiTheme="minorHAnsi" w:cstheme="minorHAnsi"/>
                <w:color w:val="000000"/>
                <w:sz w:val="23"/>
                <w:szCs w:val="23"/>
                <w:bdr w:val="none" w:sz="0" w:space="0" w:color="auto" w:frame="1"/>
                <w:shd w:val="clear" w:color="auto" w:fill="FFFFFF"/>
              </w:rPr>
              <w:t>l informe pericial de necropsia No. 201901017600100327</w:t>
            </w:r>
            <w:r w:rsidR="00727489">
              <w:rPr>
                <w:rFonts w:asciiTheme="minorHAnsi" w:eastAsia="Times New Roman" w:hAnsiTheme="minorHAnsi" w:cstheme="minorHAnsi"/>
                <w:color w:val="000000"/>
                <w:sz w:val="23"/>
                <w:szCs w:val="23"/>
                <w:bdr w:val="none" w:sz="0" w:space="0" w:color="auto" w:frame="1"/>
                <w:shd w:val="clear" w:color="auto" w:fill="FFFFFF"/>
              </w:rPr>
              <w:t xml:space="preserve"> se estableció que</w:t>
            </w:r>
            <w:r w:rsidRPr="003F6E3C">
              <w:rPr>
                <w:rFonts w:asciiTheme="minorHAnsi" w:eastAsia="Times New Roman" w:hAnsiTheme="minorHAnsi" w:cstheme="minorHAnsi"/>
                <w:color w:val="000000"/>
                <w:sz w:val="23"/>
                <w:szCs w:val="23"/>
                <w:bdr w:val="none" w:sz="0" w:space="0" w:color="auto" w:frame="1"/>
                <w:shd w:val="clear" w:color="auto" w:fill="FFFFFF"/>
              </w:rPr>
              <w:t xml:space="preserve"> la víctima falleció por un trauma en tórax y abdomen producto del accidente de tránsito; v) Si bien </w:t>
            </w:r>
            <w:r w:rsidR="00B82205">
              <w:rPr>
                <w:rFonts w:asciiTheme="minorHAnsi" w:eastAsia="Times New Roman" w:hAnsiTheme="minorHAnsi" w:cstheme="minorHAnsi"/>
                <w:color w:val="000000"/>
                <w:sz w:val="23"/>
                <w:szCs w:val="23"/>
                <w:bdr w:val="none" w:sz="0" w:space="0" w:color="auto" w:frame="1"/>
                <w:shd w:val="clear" w:color="auto" w:fill="FFFFFF"/>
              </w:rPr>
              <w:t>Transportes Velásquez S.A. como demandado</w:t>
            </w:r>
            <w:r w:rsidRPr="003F6E3C">
              <w:rPr>
                <w:rFonts w:asciiTheme="minorHAnsi" w:eastAsia="Times New Roman" w:hAnsiTheme="minorHAnsi" w:cstheme="minorHAnsi"/>
                <w:color w:val="000000"/>
                <w:sz w:val="23"/>
                <w:szCs w:val="23"/>
                <w:bdr w:val="none" w:sz="0" w:space="0" w:color="auto" w:frame="1"/>
                <w:shd w:val="clear" w:color="auto" w:fill="FFFFFF"/>
              </w:rPr>
              <w:t xml:space="preserve"> aportó</w:t>
            </w:r>
            <w:r w:rsidR="00B82205">
              <w:rPr>
                <w:rFonts w:asciiTheme="minorHAnsi" w:eastAsia="Times New Roman" w:hAnsiTheme="minorHAnsi" w:cstheme="minorHAnsi"/>
                <w:color w:val="000000"/>
                <w:sz w:val="23"/>
                <w:szCs w:val="23"/>
                <w:bdr w:val="none" w:sz="0" w:space="0" w:color="auto" w:frame="1"/>
                <w:shd w:val="clear" w:color="auto" w:fill="FFFFFF"/>
              </w:rPr>
              <w:t xml:space="preserve"> </w:t>
            </w:r>
            <w:proofErr w:type="spellStart"/>
            <w:r w:rsidR="00B82205">
              <w:rPr>
                <w:rFonts w:asciiTheme="minorHAnsi" w:eastAsia="Times New Roman" w:hAnsiTheme="minorHAnsi" w:cstheme="minorHAnsi"/>
                <w:color w:val="000000"/>
                <w:sz w:val="23"/>
                <w:szCs w:val="23"/>
                <w:bdr w:val="none" w:sz="0" w:space="0" w:color="auto" w:frame="1"/>
                <w:shd w:val="clear" w:color="auto" w:fill="FFFFFF"/>
              </w:rPr>
              <w:t>al</w:t>
            </w:r>
            <w:proofErr w:type="spellEnd"/>
            <w:r w:rsidR="00B82205">
              <w:rPr>
                <w:rFonts w:asciiTheme="minorHAnsi" w:eastAsia="Times New Roman" w:hAnsiTheme="minorHAnsi" w:cstheme="minorHAnsi"/>
                <w:color w:val="000000"/>
                <w:sz w:val="23"/>
                <w:szCs w:val="23"/>
                <w:bdr w:val="none" w:sz="0" w:space="0" w:color="auto" w:frame="1"/>
                <w:shd w:val="clear" w:color="auto" w:fill="FFFFFF"/>
              </w:rPr>
              <w:t xml:space="preserve"> proceso</w:t>
            </w:r>
            <w:r w:rsidRPr="003F6E3C">
              <w:rPr>
                <w:rFonts w:asciiTheme="minorHAnsi" w:eastAsia="Times New Roman" w:hAnsiTheme="minorHAnsi" w:cstheme="minorHAnsi"/>
                <w:color w:val="000000"/>
                <w:sz w:val="23"/>
                <w:szCs w:val="23"/>
                <w:bdr w:val="none" w:sz="0" w:space="0" w:color="auto" w:frame="1"/>
                <w:shd w:val="clear" w:color="auto" w:fill="FFFFFF"/>
              </w:rPr>
              <w:t xml:space="preserve"> un dictamen </w:t>
            </w:r>
            <w:r w:rsidR="00B82205">
              <w:rPr>
                <w:rFonts w:asciiTheme="minorHAnsi" w:eastAsia="Times New Roman" w:hAnsiTheme="minorHAnsi" w:cstheme="minorHAnsi"/>
                <w:color w:val="000000"/>
                <w:sz w:val="23"/>
                <w:szCs w:val="23"/>
                <w:bdr w:val="none" w:sz="0" w:space="0" w:color="auto" w:frame="1"/>
                <w:shd w:val="clear" w:color="auto" w:fill="FFFFFF"/>
              </w:rPr>
              <w:t xml:space="preserve">pericial </w:t>
            </w:r>
            <w:r w:rsidRPr="003F6E3C">
              <w:rPr>
                <w:rFonts w:asciiTheme="minorHAnsi" w:eastAsia="Times New Roman" w:hAnsiTheme="minorHAnsi" w:cstheme="minorHAnsi"/>
                <w:color w:val="000000"/>
                <w:sz w:val="23"/>
                <w:szCs w:val="23"/>
                <w:bdr w:val="none" w:sz="0" w:space="0" w:color="auto" w:frame="1"/>
                <w:shd w:val="clear" w:color="auto" w:fill="FFFFFF"/>
              </w:rPr>
              <w:t xml:space="preserve">RAT en el que dice que la causa del accidente es atribuible al peatón por encontrarse detrás del vehículo asegurado, lo cierto es que ello no obsta para que el señor </w:t>
            </w:r>
            <w:proofErr w:type="spellStart"/>
            <w:r w:rsidRPr="003F6E3C">
              <w:rPr>
                <w:rFonts w:asciiTheme="minorHAnsi" w:eastAsia="Times New Roman" w:hAnsiTheme="minorHAnsi" w:cstheme="minorHAnsi"/>
                <w:color w:val="000000"/>
                <w:sz w:val="23"/>
                <w:szCs w:val="23"/>
                <w:bdr w:val="none" w:sz="0" w:space="0" w:color="auto" w:frame="1"/>
                <w:shd w:val="clear" w:color="auto" w:fill="FFFFFF"/>
              </w:rPr>
              <w:t>Atanael</w:t>
            </w:r>
            <w:proofErr w:type="spellEnd"/>
            <w:r w:rsidRPr="003F6E3C">
              <w:rPr>
                <w:rFonts w:asciiTheme="minorHAnsi" w:eastAsia="Times New Roman" w:hAnsiTheme="minorHAnsi" w:cstheme="minorHAnsi"/>
                <w:color w:val="000000"/>
                <w:sz w:val="23"/>
                <w:szCs w:val="23"/>
                <w:bdr w:val="none" w:sz="0" w:space="0" w:color="auto" w:frame="1"/>
                <w:shd w:val="clear" w:color="auto" w:fill="FFFFFF"/>
              </w:rPr>
              <w:t xml:space="preserve"> Hernández haya tenido que maniobrar el vehículo con especial cuidado teniendo en cuenta que desempeñaba una actividad peligrosa</w:t>
            </w:r>
            <w:r w:rsidR="00B82205">
              <w:rPr>
                <w:rFonts w:asciiTheme="minorHAnsi" w:eastAsia="Times New Roman" w:hAnsiTheme="minorHAnsi" w:cstheme="minorHAnsi"/>
                <w:color w:val="000000"/>
                <w:sz w:val="23"/>
                <w:szCs w:val="23"/>
                <w:bdr w:val="none" w:sz="0" w:space="0" w:color="auto" w:frame="1"/>
                <w:shd w:val="clear" w:color="auto" w:fill="FFFFFF"/>
              </w:rPr>
              <w:t>.</w:t>
            </w:r>
          </w:p>
          <w:p w14:paraId="5B97E957" w14:textId="77777777" w:rsidR="00B82205" w:rsidRDefault="00B82205" w:rsidP="00E53FA5">
            <w:pPr>
              <w:jc w:val="both"/>
              <w:rPr>
                <w:rFonts w:asciiTheme="minorHAnsi" w:hAnsiTheme="minorHAnsi" w:cstheme="minorHAnsi"/>
                <w:sz w:val="23"/>
                <w:szCs w:val="23"/>
                <w:lang w:val="es-ES_tradnl"/>
              </w:rPr>
            </w:pPr>
          </w:p>
          <w:p w14:paraId="1BB23650" w14:textId="26A7DFEF" w:rsidR="00B82205" w:rsidRPr="003F6E3C" w:rsidRDefault="00B82205" w:rsidP="00E53FA5">
            <w:pPr>
              <w:jc w:val="both"/>
              <w:rPr>
                <w:rFonts w:asciiTheme="minorHAnsi" w:hAnsiTheme="minorHAnsi" w:cstheme="minorHAnsi"/>
                <w:sz w:val="23"/>
                <w:szCs w:val="23"/>
                <w:lang w:val="es-ES_tradnl"/>
              </w:rPr>
            </w:pPr>
            <w:r>
              <w:rPr>
                <w:rFonts w:asciiTheme="minorHAnsi" w:hAnsiTheme="minorHAnsi" w:cstheme="minorHAnsi"/>
                <w:sz w:val="23"/>
                <w:szCs w:val="23"/>
                <w:lang w:val="es-ES_tradnl"/>
              </w:rPr>
              <w:t>Lo anterior sin perjuicio del carácter contingente del proceso.</w:t>
            </w:r>
          </w:p>
        </w:tc>
      </w:tr>
      <w:tr w:rsidR="00C3016C" w:rsidRPr="003F6E3C" w14:paraId="73F5D798" w14:textId="77777777" w:rsidTr="3452EF96">
        <w:tc>
          <w:tcPr>
            <w:tcW w:w="2518" w:type="dxa"/>
            <w:shd w:val="clear" w:color="auto" w:fill="D9D9D9" w:themeFill="background1" w:themeFillShade="D9"/>
          </w:tcPr>
          <w:p w14:paraId="3ADB1516"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lastRenderedPageBreak/>
              <w:t>Excepciones propuestas:</w:t>
            </w:r>
          </w:p>
        </w:tc>
        <w:tc>
          <w:tcPr>
            <w:tcW w:w="7465" w:type="dxa"/>
          </w:tcPr>
          <w:p w14:paraId="01C4BF91" w14:textId="3B7B1564" w:rsidR="00C3016C" w:rsidRPr="003F6E3C" w:rsidRDefault="00DF30BD" w:rsidP="00DF30BD">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NA</w:t>
            </w:r>
          </w:p>
        </w:tc>
      </w:tr>
      <w:tr w:rsidR="00C3016C" w:rsidRPr="003F6E3C" w14:paraId="7B9E12F7" w14:textId="77777777" w:rsidTr="3452EF96">
        <w:tc>
          <w:tcPr>
            <w:tcW w:w="2518" w:type="dxa"/>
            <w:shd w:val="clear" w:color="auto" w:fill="D9D9D9" w:themeFill="background1" w:themeFillShade="D9"/>
          </w:tcPr>
          <w:p w14:paraId="395CCBB9"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Concepto del abogado sobre la posibilidad de conciliar el caso y valor de una propuesta conciliatoria:</w:t>
            </w:r>
          </w:p>
        </w:tc>
        <w:tc>
          <w:tcPr>
            <w:tcW w:w="7465" w:type="dxa"/>
          </w:tcPr>
          <w:p w14:paraId="19611152" w14:textId="77777777" w:rsidR="00C3016C" w:rsidRDefault="00DF30BD"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 xml:space="preserve">Se sugiere no tener ánimo conciliatorio en consideración a que los hechos narrados en la demanda y la prueba aportada con la misma dan cuenta que el accidente tuvo lugar en el marco de un contrato de trabajo, siendo inviable que se declare la responsabilidad civil del asegurado y, consecuentemente, </w:t>
            </w:r>
            <w:r w:rsidR="00532B28" w:rsidRPr="003F6E3C">
              <w:rPr>
                <w:rFonts w:asciiTheme="minorHAnsi" w:hAnsiTheme="minorHAnsi" w:cstheme="minorHAnsi"/>
                <w:sz w:val="23"/>
                <w:szCs w:val="23"/>
                <w:lang w:val="es-ES_tradnl"/>
              </w:rPr>
              <w:t>imposibilitando la afectación de la póliza vinculada.</w:t>
            </w:r>
          </w:p>
          <w:p w14:paraId="6EB5C1C9" w14:textId="77777777" w:rsidR="00B82205" w:rsidRDefault="00B82205" w:rsidP="00C359FA">
            <w:pPr>
              <w:jc w:val="both"/>
              <w:rPr>
                <w:rFonts w:asciiTheme="minorHAnsi" w:hAnsiTheme="minorHAnsi" w:cstheme="minorHAnsi"/>
                <w:sz w:val="23"/>
                <w:szCs w:val="23"/>
                <w:lang w:val="es-ES_tradnl"/>
              </w:rPr>
            </w:pPr>
          </w:p>
          <w:p w14:paraId="40EAFE03" w14:textId="77777777" w:rsidR="00B82205" w:rsidRDefault="00B82205" w:rsidP="00C359FA">
            <w:pPr>
              <w:jc w:val="both"/>
              <w:rPr>
                <w:rFonts w:asciiTheme="minorHAnsi" w:hAnsiTheme="minorHAnsi" w:cstheme="minorHAnsi"/>
                <w:sz w:val="23"/>
                <w:szCs w:val="23"/>
                <w:lang w:val="es-ES_tradnl"/>
              </w:rPr>
            </w:pPr>
            <w:r>
              <w:rPr>
                <w:rFonts w:asciiTheme="minorHAnsi" w:hAnsiTheme="minorHAnsi" w:cstheme="minorHAnsi"/>
                <w:sz w:val="23"/>
                <w:szCs w:val="23"/>
                <w:lang w:val="es-ES_tradnl"/>
              </w:rPr>
              <w:t xml:space="preserve">Nota: Por estos mismos hechos existe otro proceso con radicado </w:t>
            </w:r>
            <w:r w:rsidR="00293526" w:rsidRPr="00293526">
              <w:rPr>
                <w:rFonts w:asciiTheme="minorHAnsi" w:hAnsiTheme="minorHAnsi" w:cstheme="minorHAnsi"/>
                <w:sz w:val="23"/>
                <w:szCs w:val="23"/>
              </w:rPr>
              <w:t>76001310301520230016100</w:t>
            </w:r>
            <w:r>
              <w:rPr>
                <w:rFonts w:asciiTheme="minorHAnsi" w:hAnsiTheme="minorHAnsi" w:cstheme="minorHAnsi"/>
                <w:sz w:val="23"/>
                <w:szCs w:val="23"/>
                <w:lang w:val="es-ES_tradnl"/>
              </w:rPr>
              <w:t xml:space="preserve"> ante el </w:t>
            </w:r>
            <w:r w:rsidR="00293526">
              <w:rPr>
                <w:rFonts w:asciiTheme="minorHAnsi" w:hAnsiTheme="minorHAnsi" w:cstheme="minorHAnsi"/>
                <w:sz w:val="23"/>
                <w:szCs w:val="23"/>
                <w:lang w:val="es-ES_tradnl"/>
              </w:rPr>
              <w:t>J</w:t>
            </w:r>
            <w:r>
              <w:rPr>
                <w:rFonts w:asciiTheme="minorHAnsi" w:hAnsiTheme="minorHAnsi" w:cstheme="minorHAnsi"/>
                <w:sz w:val="23"/>
                <w:szCs w:val="23"/>
                <w:lang w:val="es-ES_tradnl"/>
              </w:rPr>
              <w:t xml:space="preserve">uez </w:t>
            </w:r>
            <w:r w:rsidR="00293526">
              <w:rPr>
                <w:rFonts w:asciiTheme="minorHAnsi" w:hAnsiTheme="minorHAnsi" w:cstheme="minorHAnsi"/>
                <w:sz w:val="23"/>
                <w:szCs w:val="23"/>
                <w:lang w:val="es-ES_tradnl"/>
              </w:rPr>
              <w:t>15 Civil del Circuito de Cali,</w:t>
            </w:r>
            <w:r>
              <w:rPr>
                <w:rFonts w:asciiTheme="minorHAnsi" w:hAnsiTheme="minorHAnsi" w:cstheme="minorHAnsi"/>
                <w:sz w:val="23"/>
                <w:szCs w:val="23"/>
                <w:lang w:val="es-ES_tradnl"/>
              </w:rPr>
              <w:t xml:space="preserve"> que fue remitido a la especialidad laboral al encontrarse hallada la falta de competencia del juez civil para resolver el asunto que se discute</w:t>
            </w:r>
            <w:r w:rsidR="00293526">
              <w:rPr>
                <w:rFonts w:asciiTheme="minorHAnsi" w:hAnsiTheme="minorHAnsi" w:cstheme="minorHAnsi"/>
                <w:sz w:val="23"/>
                <w:szCs w:val="23"/>
                <w:lang w:val="es-ES_tradnl"/>
              </w:rPr>
              <w:t>.</w:t>
            </w:r>
          </w:p>
          <w:p w14:paraId="60F85EC2" w14:textId="77777777" w:rsidR="00293526" w:rsidRDefault="00293526" w:rsidP="00C359FA">
            <w:pPr>
              <w:jc w:val="both"/>
              <w:rPr>
                <w:rFonts w:asciiTheme="minorHAnsi" w:hAnsiTheme="minorHAnsi" w:cstheme="minorHAnsi"/>
                <w:sz w:val="23"/>
                <w:szCs w:val="23"/>
                <w:lang w:val="es-ES_tradnl"/>
              </w:rPr>
            </w:pPr>
          </w:p>
          <w:p w14:paraId="3800392C" w14:textId="2DA416B1" w:rsidR="00293526" w:rsidRPr="003F6E3C" w:rsidRDefault="00293526" w:rsidP="00C359FA">
            <w:pPr>
              <w:jc w:val="both"/>
              <w:rPr>
                <w:rFonts w:asciiTheme="minorHAnsi" w:hAnsiTheme="minorHAnsi" w:cstheme="minorHAnsi"/>
                <w:sz w:val="23"/>
                <w:szCs w:val="23"/>
                <w:lang w:val="es-ES_tradnl"/>
              </w:rPr>
            </w:pPr>
            <w:r>
              <w:rPr>
                <w:rFonts w:asciiTheme="minorHAnsi" w:hAnsiTheme="minorHAnsi" w:cstheme="minorHAnsi"/>
                <w:sz w:val="23"/>
                <w:szCs w:val="23"/>
                <w:lang w:val="es-ES_tradnl"/>
              </w:rPr>
              <w:t>Se aclara que</w:t>
            </w:r>
            <w:r w:rsidR="00033FB7">
              <w:rPr>
                <w:rFonts w:asciiTheme="minorHAnsi" w:hAnsiTheme="minorHAnsi" w:cstheme="minorHAnsi"/>
                <w:sz w:val="23"/>
                <w:szCs w:val="23"/>
                <w:lang w:val="es-ES_tradnl"/>
              </w:rPr>
              <w:t xml:space="preserve"> ante esta</w:t>
            </w:r>
            <w:r>
              <w:rPr>
                <w:rFonts w:asciiTheme="minorHAnsi" w:hAnsiTheme="minorHAnsi" w:cstheme="minorHAnsi"/>
                <w:sz w:val="23"/>
                <w:szCs w:val="23"/>
                <w:lang w:val="es-ES_tradnl"/>
              </w:rPr>
              <w:t xml:space="preserve"> decisión</w:t>
            </w:r>
            <w:r w:rsidR="00033FB7">
              <w:rPr>
                <w:rFonts w:asciiTheme="minorHAnsi" w:hAnsiTheme="minorHAnsi" w:cstheme="minorHAnsi"/>
                <w:sz w:val="23"/>
                <w:szCs w:val="23"/>
                <w:lang w:val="es-ES_tradnl"/>
              </w:rPr>
              <w:t xml:space="preserve"> se interpusieron los recursos de reposición y en subsidio de apelación,</w:t>
            </w:r>
            <w:r>
              <w:rPr>
                <w:rFonts w:asciiTheme="minorHAnsi" w:hAnsiTheme="minorHAnsi" w:cstheme="minorHAnsi"/>
                <w:sz w:val="23"/>
                <w:szCs w:val="23"/>
                <w:lang w:val="es-ES_tradnl"/>
              </w:rPr>
              <w:t xml:space="preserve"> por</w:t>
            </w:r>
            <w:r w:rsidR="00033FB7">
              <w:rPr>
                <w:rFonts w:asciiTheme="minorHAnsi" w:hAnsiTheme="minorHAnsi" w:cstheme="minorHAnsi"/>
                <w:sz w:val="23"/>
                <w:szCs w:val="23"/>
                <w:lang w:val="es-ES_tradnl"/>
              </w:rPr>
              <w:t xml:space="preserve"> parte</w:t>
            </w:r>
            <w:r>
              <w:rPr>
                <w:rFonts w:asciiTheme="minorHAnsi" w:hAnsiTheme="minorHAnsi" w:cstheme="minorHAnsi"/>
                <w:sz w:val="23"/>
                <w:szCs w:val="23"/>
                <w:lang w:val="es-ES_tradnl"/>
              </w:rPr>
              <w:t xml:space="preserve"> </w:t>
            </w:r>
            <w:r w:rsidR="00033FB7">
              <w:rPr>
                <w:rFonts w:asciiTheme="minorHAnsi" w:hAnsiTheme="minorHAnsi" w:cstheme="minorHAnsi"/>
                <w:sz w:val="23"/>
                <w:szCs w:val="23"/>
                <w:lang w:val="es-ES_tradnl"/>
              </w:rPr>
              <w:t>d</w:t>
            </w:r>
            <w:r>
              <w:rPr>
                <w:rFonts w:asciiTheme="minorHAnsi" w:hAnsiTheme="minorHAnsi" w:cstheme="minorHAnsi"/>
                <w:sz w:val="23"/>
                <w:szCs w:val="23"/>
                <w:lang w:val="es-ES_tradnl"/>
              </w:rPr>
              <w:t>el extremo activo y el extremo pasivo de la litis</w:t>
            </w:r>
            <w:r w:rsidR="00033FB7">
              <w:rPr>
                <w:rFonts w:asciiTheme="minorHAnsi" w:hAnsiTheme="minorHAnsi" w:cstheme="minorHAnsi"/>
                <w:sz w:val="23"/>
                <w:szCs w:val="23"/>
                <w:lang w:val="es-ES_tradnl"/>
              </w:rPr>
              <w:t>,</w:t>
            </w:r>
            <w:r>
              <w:rPr>
                <w:rFonts w:asciiTheme="minorHAnsi" w:hAnsiTheme="minorHAnsi" w:cstheme="minorHAnsi"/>
                <w:sz w:val="23"/>
                <w:szCs w:val="23"/>
                <w:lang w:val="es-ES_tradnl"/>
              </w:rPr>
              <w:t xml:space="preserve"> encontrándose pendiente </w:t>
            </w:r>
            <w:r w:rsidR="00033FB7">
              <w:rPr>
                <w:rFonts w:asciiTheme="minorHAnsi" w:hAnsiTheme="minorHAnsi" w:cstheme="minorHAnsi"/>
                <w:sz w:val="23"/>
                <w:szCs w:val="23"/>
                <w:lang w:val="es-ES_tradnl"/>
              </w:rPr>
              <w:t>su resolución.</w:t>
            </w:r>
          </w:p>
        </w:tc>
      </w:tr>
      <w:tr w:rsidR="00C3016C" w:rsidRPr="003F6E3C" w14:paraId="4885AFEF" w14:textId="77777777" w:rsidTr="3452EF96">
        <w:tc>
          <w:tcPr>
            <w:tcW w:w="2518" w:type="dxa"/>
            <w:shd w:val="clear" w:color="auto" w:fill="D9D9D9" w:themeFill="background1" w:themeFillShade="D9"/>
          </w:tcPr>
          <w:p w14:paraId="7A4A8098"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lastRenderedPageBreak/>
              <w:t>Fecha de asignación del caso</w:t>
            </w:r>
          </w:p>
        </w:tc>
        <w:tc>
          <w:tcPr>
            <w:tcW w:w="7465" w:type="dxa"/>
          </w:tcPr>
          <w:p w14:paraId="17343298" w14:textId="68727E5E" w:rsidR="00C3016C" w:rsidRPr="003F6E3C" w:rsidRDefault="00532B28"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18 de septiembre de 2024</w:t>
            </w:r>
          </w:p>
        </w:tc>
      </w:tr>
      <w:tr w:rsidR="00C3016C" w:rsidRPr="003F6E3C" w14:paraId="2EE1817E" w14:textId="77777777" w:rsidTr="3452EF96">
        <w:tc>
          <w:tcPr>
            <w:tcW w:w="2518" w:type="dxa"/>
            <w:shd w:val="clear" w:color="auto" w:fill="D9D9D9" w:themeFill="background1" w:themeFillShade="D9"/>
          </w:tcPr>
          <w:p w14:paraId="4BBB3EF0" w14:textId="48FAB88E" w:rsidR="00C3016C" w:rsidRPr="003F6E3C" w:rsidRDefault="00C3016C" w:rsidP="01B774E0">
            <w:pPr>
              <w:rPr>
                <w:rFonts w:asciiTheme="minorHAnsi" w:hAnsiTheme="minorHAnsi" w:cstheme="minorHAnsi"/>
                <w:b/>
                <w:bCs/>
                <w:sz w:val="23"/>
                <w:szCs w:val="23"/>
                <w:lang w:val="es-ES"/>
              </w:rPr>
            </w:pPr>
            <w:r w:rsidRPr="003F6E3C">
              <w:rPr>
                <w:rFonts w:asciiTheme="minorHAnsi" w:hAnsiTheme="minorHAnsi" w:cstheme="minorHAnsi"/>
                <w:b/>
                <w:bCs/>
                <w:sz w:val="23"/>
                <w:szCs w:val="23"/>
                <w:lang w:val="es-ES"/>
              </w:rPr>
              <w:t xml:space="preserve">Fecha de admisión de la vinculación de </w:t>
            </w:r>
            <w:r w:rsidR="1D5C43AD" w:rsidRPr="003F6E3C">
              <w:rPr>
                <w:rFonts w:asciiTheme="minorHAnsi" w:hAnsiTheme="minorHAnsi" w:cstheme="minorHAnsi"/>
                <w:b/>
                <w:bCs/>
                <w:sz w:val="23"/>
                <w:szCs w:val="23"/>
                <w:lang w:val="es-ES"/>
              </w:rPr>
              <w:t>HDI</w:t>
            </w:r>
          </w:p>
        </w:tc>
        <w:tc>
          <w:tcPr>
            <w:tcW w:w="7465" w:type="dxa"/>
          </w:tcPr>
          <w:p w14:paraId="696A523B" w14:textId="32A63493" w:rsidR="00C3016C" w:rsidRPr="003F6E3C" w:rsidRDefault="00532B28"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15 de mayo de 2023</w:t>
            </w:r>
          </w:p>
        </w:tc>
      </w:tr>
      <w:tr w:rsidR="00C3016C" w:rsidRPr="003F6E3C" w14:paraId="5D5354CC" w14:textId="77777777" w:rsidTr="3452EF96">
        <w:tc>
          <w:tcPr>
            <w:tcW w:w="2518" w:type="dxa"/>
            <w:shd w:val="clear" w:color="auto" w:fill="D9D9D9" w:themeFill="background1" w:themeFillShade="D9"/>
          </w:tcPr>
          <w:p w14:paraId="1C31935F" w14:textId="699D1516" w:rsidR="00C3016C" w:rsidRPr="003F6E3C" w:rsidRDefault="00C3016C" w:rsidP="01B774E0">
            <w:pPr>
              <w:rPr>
                <w:rFonts w:asciiTheme="minorHAnsi" w:hAnsiTheme="minorHAnsi" w:cstheme="minorHAnsi"/>
                <w:b/>
                <w:bCs/>
                <w:sz w:val="23"/>
                <w:szCs w:val="23"/>
                <w:lang w:val="es-ES"/>
              </w:rPr>
            </w:pPr>
            <w:r w:rsidRPr="003F6E3C">
              <w:rPr>
                <w:rFonts w:asciiTheme="minorHAnsi" w:hAnsiTheme="minorHAnsi" w:cstheme="minorHAnsi"/>
                <w:b/>
                <w:bCs/>
                <w:sz w:val="23"/>
                <w:szCs w:val="23"/>
                <w:lang w:val="es-ES"/>
              </w:rPr>
              <w:t xml:space="preserve">Fecha de notificación de la vinculación a </w:t>
            </w:r>
            <w:r w:rsidR="3C4442AC" w:rsidRPr="003F6E3C">
              <w:rPr>
                <w:rFonts w:asciiTheme="minorHAnsi" w:hAnsiTheme="minorHAnsi" w:cstheme="minorHAnsi"/>
                <w:b/>
                <w:bCs/>
                <w:sz w:val="23"/>
                <w:szCs w:val="23"/>
                <w:lang w:val="es-ES"/>
              </w:rPr>
              <w:t>HDI</w:t>
            </w:r>
          </w:p>
        </w:tc>
        <w:tc>
          <w:tcPr>
            <w:tcW w:w="7465" w:type="dxa"/>
          </w:tcPr>
          <w:p w14:paraId="34EF59C3" w14:textId="60FC6FD5" w:rsidR="00C3016C" w:rsidRPr="003F6E3C" w:rsidRDefault="00532B28"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18 de mayo de 2023</w:t>
            </w:r>
          </w:p>
        </w:tc>
      </w:tr>
      <w:tr w:rsidR="00C3016C" w:rsidRPr="003F6E3C" w14:paraId="2F193EE7" w14:textId="77777777" w:rsidTr="3452EF96">
        <w:tc>
          <w:tcPr>
            <w:tcW w:w="2518" w:type="dxa"/>
            <w:shd w:val="clear" w:color="auto" w:fill="D9D9D9" w:themeFill="background1" w:themeFillShade="D9"/>
          </w:tcPr>
          <w:p w14:paraId="60E8F079" w14:textId="77777777" w:rsidR="00C3016C" w:rsidRPr="003F6E3C" w:rsidRDefault="00C3016C" w:rsidP="00C359FA">
            <w:pPr>
              <w:rPr>
                <w:rFonts w:asciiTheme="minorHAnsi" w:hAnsiTheme="minorHAnsi" w:cstheme="minorHAnsi"/>
                <w:b/>
                <w:sz w:val="23"/>
                <w:szCs w:val="23"/>
                <w:lang w:val="es-ES_tradnl"/>
              </w:rPr>
            </w:pPr>
            <w:r w:rsidRPr="003F6E3C">
              <w:rPr>
                <w:rFonts w:asciiTheme="minorHAnsi" w:hAnsiTheme="minorHAnsi" w:cstheme="minorHAnsi"/>
                <w:b/>
                <w:sz w:val="23"/>
                <w:szCs w:val="23"/>
                <w:lang w:val="es-ES_tradnl"/>
              </w:rPr>
              <w:t>Fecha de contestación del caso</w:t>
            </w:r>
          </w:p>
        </w:tc>
        <w:tc>
          <w:tcPr>
            <w:tcW w:w="7465" w:type="dxa"/>
          </w:tcPr>
          <w:p w14:paraId="635E2E0B" w14:textId="7840A589" w:rsidR="00C3016C" w:rsidRPr="003F6E3C" w:rsidRDefault="00532B28" w:rsidP="00C359FA">
            <w:pPr>
              <w:jc w:val="both"/>
              <w:rPr>
                <w:rFonts w:asciiTheme="minorHAnsi" w:hAnsiTheme="minorHAnsi" w:cstheme="minorHAnsi"/>
                <w:sz w:val="23"/>
                <w:szCs w:val="23"/>
                <w:lang w:val="es-ES_tradnl"/>
              </w:rPr>
            </w:pPr>
            <w:r w:rsidRPr="003F6E3C">
              <w:rPr>
                <w:rFonts w:asciiTheme="minorHAnsi" w:hAnsiTheme="minorHAnsi" w:cstheme="minorHAnsi"/>
                <w:sz w:val="23"/>
                <w:szCs w:val="23"/>
                <w:lang w:val="es-ES_tradnl"/>
              </w:rPr>
              <w:t>NA</w:t>
            </w:r>
          </w:p>
        </w:tc>
      </w:tr>
    </w:tbl>
    <w:p w14:paraId="6550DCAA" w14:textId="7A482D36" w:rsidR="00C3016C" w:rsidRPr="003F6E3C" w:rsidRDefault="00C3016C" w:rsidP="01B774E0">
      <w:pPr>
        <w:spacing w:after="160" w:line="259" w:lineRule="auto"/>
        <w:jc w:val="both"/>
        <w:rPr>
          <w:rFonts w:asciiTheme="minorHAnsi" w:hAnsiTheme="minorHAnsi" w:cstheme="minorHAnsi"/>
          <w:sz w:val="23"/>
          <w:szCs w:val="23"/>
        </w:rPr>
      </w:pPr>
    </w:p>
    <w:sectPr w:rsidR="00C3016C" w:rsidRPr="003F6E3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B1131"/>
    <w:multiLevelType w:val="hybridMultilevel"/>
    <w:tmpl w:val="0C685F1A"/>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D774A2E"/>
    <w:multiLevelType w:val="hybridMultilevel"/>
    <w:tmpl w:val="D206D2E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 w15:restartNumberingAfterBreak="0">
    <w:nsid w:val="5656609E"/>
    <w:multiLevelType w:val="multilevel"/>
    <w:tmpl w:val="BF887E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5291710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84891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34045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6C"/>
    <w:rsid w:val="00033FB7"/>
    <w:rsid w:val="00097EA2"/>
    <w:rsid w:val="00161005"/>
    <w:rsid w:val="00172433"/>
    <w:rsid w:val="001E67A3"/>
    <w:rsid w:val="00203F47"/>
    <w:rsid w:val="002362C1"/>
    <w:rsid w:val="00293526"/>
    <w:rsid w:val="002C7B4D"/>
    <w:rsid w:val="002E4042"/>
    <w:rsid w:val="002F112A"/>
    <w:rsid w:val="003F5769"/>
    <w:rsid w:val="003F6E3C"/>
    <w:rsid w:val="00452B69"/>
    <w:rsid w:val="004F1B8D"/>
    <w:rsid w:val="005229BC"/>
    <w:rsid w:val="00532B28"/>
    <w:rsid w:val="005D7B82"/>
    <w:rsid w:val="005F0A44"/>
    <w:rsid w:val="007260B0"/>
    <w:rsid w:val="00727489"/>
    <w:rsid w:val="00731C3A"/>
    <w:rsid w:val="00763D8B"/>
    <w:rsid w:val="00840DBE"/>
    <w:rsid w:val="00865F0D"/>
    <w:rsid w:val="00891F78"/>
    <w:rsid w:val="009B0208"/>
    <w:rsid w:val="009E7FDB"/>
    <w:rsid w:val="00A81EA9"/>
    <w:rsid w:val="00AC0786"/>
    <w:rsid w:val="00AC687D"/>
    <w:rsid w:val="00B82205"/>
    <w:rsid w:val="00C3016C"/>
    <w:rsid w:val="00C35645"/>
    <w:rsid w:val="00D94902"/>
    <w:rsid w:val="00DF30BD"/>
    <w:rsid w:val="00E53FA5"/>
    <w:rsid w:val="00E8173D"/>
    <w:rsid w:val="00FC6772"/>
    <w:rsid w:val="01B774E0"/>
    <w:rsid w:val="1D5C43AD"/>
    <w:rsid w:val="3452EF96"/>
    <w:rsid w:val="3C4442AC"/>
    <w:rsid w:val="76B58E5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8117D"/>
  <w15:chartTrackingRefBased/>
  <w15:docId w15:val="{91C82478-2B87-4CDF-BEA0-8F429874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6C"/>
    <w:pPr>
      <w:spacing w:after="0" w:line="240" w:lineRule="auto"/>
    </w:pPr>
    <w:rPr>
      <w:rFonts w:ascii="Calibri" w:hAnsi="Calibri" w:cs="Calibri"/>
      <w:kern w:val="0"/>
      <w:lang w:eastAsia="es-CO"/>
      <w14:ligatures w14:val="none"/>
    </w:rPr>
  </w:style>
  <w:style w:type="paragraph" w:styleId="Ttulo3">
    <w:name w:val="heading 3"/>
    <w:basedOn w:val="Normal"/>
    <w:next w:val="Normal"/>
    <w:link w:val="Ttulo3Car"/>
    <w:uiPriority w:val="9"/>
    <w:semiHidden/>
    <w:unhideWhenUsed/>
    <w:qFormat/>
    <w:rsid w:val="002F112A"/>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C3016C"/>
    <w:rPr>
      <w:b/>
      <w:bCs/>
    </w:rPr>
  </w:style>
  <w:style w:type="character" w:styleId="nfasis">
    <w:name w:val="Emphasis"/>
    <w:basedOn w:val="Fuentedeprrafopredeter"/>
    <w:uiPriority w:val="20"/>
    <w:qFormat/>
    <w:rsid w:val="00C3016C"/>
    <w:rPr>
      <w:i/>
      <w:iCs/>
    </w:rPr>
  </w:style>
  <w:style w:type="paragraph" w:styleId="Prrafodelista">
    <w:name w:val="List Paragraph"/>
    <w:basedOn w:val="Normal"/>
    <w:uiPriority w:val="34"/>
    <w:qFormat/>
    <w:rsid w:val="00C3016C"/>
    <w:pPr>
      <w:ind w:left="720"/>
      <w:contextualSpacing/>
    </w:pPr>
    <w:rPr>
      <w:rFonts w:ascii="Times New Roman" w:eastAsia="Times New Roman" w:hAnsi="Times New Roman" w:cs="Times New Roman"/>
      <w:sz w:val="24"/>
      <w:szCs w:val="24"/>
      <w:lang w:val="es-ES" w:eastAsia="es-ES"/>
    </w:rPr>
  </w:style>
  <w:style w:type="table" w:styleId="Tablaconcuadrcula">
    <w:name w:val="Table Grid"/>
    <w:basedOn w:val="Tablanormal"/>
    <w:uiPriority w:val="39"/>
    <w:rsid w:val="00C3016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uiPriority w:val="9"/>
    <w:semiHidden/>
    <w:rsid w:val="002F112A"/>
    <w:rPr>
      <w:rFonts w:eastAsiaTheme="majorEastAsia" w:cstheme="majorBidi"/>
      <w:color w:val="2F5496"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4266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C92A54D8AB3014FADD0201C99992F62" ma:contentTypeVersion="15" ma:contentTypeDescription="Crear nuevo documento." ma:contentTypeScope="" ma:versionID="921a0aa7d8c8617b2721df5c5c57a593">
  <xsd:schema xmlns:xsd="http://www.w3.org/2001/XMLSchema" xmlns:xs="http://www.w3.org/2001/XMLSchema" xmlns:p="http://schemas.microsoft.com/office/2006/metadata/properties" xmlns:ns2="4382931b-6036-484b-ad41-6810b26eb986" xmlns:ns3="e7d3d6e7-89cb-4750-b948-5e984f176bb6" targetNamespace="http://schemas.microsoft.com/office/2006/metadata/properties" ma:root="true" ma:fieldsID="818c9feefa8ae38270db774d4535f1af" ns2:_="" ns3:_="">
    <xsd:import namespace="4382931b-6036-484b-ad41-6810b26eb986"/>
    <xsd:import namespace="e7d3d6e7-89cb-4750-b948-5e984f176bb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82931b-6036-484b-ad41-6810b26eb9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Etiquetas de imagen"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d3d6e7-89cb-4750-b948-5e984f176bb6"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TaxCatchAll" ma:index="20" nillable="true" ma:displayName="Taxonomy Catch All Column" ma:hidden="true" ma:list="{9dfa8756-8f0c-4e49-8bb0-7f65aba9cf84}" ma:internalName="TaxCatchAll" ma:showField="CatchAllData" ma:web="e7d3d6e7-89cb-4750-b948-5e984f176b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7d3d6e7-89cb-4750-b948-5e984f176bb6" xsi:nil="true"/>
    <lcf76f155ced4ddcb4097134ff3c332f xmlns="4382931b-6036-484b-ad41-6810b26eb98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6DEFD4-D167-484B-8EB4-BD721508B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82931b-6036-484b-ad41-6810b26eb986"/>
    <ds:schemaRef ds:uri="e7d3d6e7-89cb-4750-b948-5e984f176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56D0E5-F1B0-4C4B-BAFD-ED8BD82B5AF6}">
  <ds:schemaRefs>
    <ds:schemaRef ds:uri="http://schemas.microsoft.com/office/2006/metadata/properties"/>
    <ds:schemaRef ds:uri="http://schemas.microsoft.com/office/infopath/2007/PartnerControls"/>
    <ds:schemaRef ds:uri="e7d3d6e7-89cb-4750-b948-5e984f176bb6"/>
    <ds:schemaRef ds:uri="4382931b-6036-484b-ad41-6810b26eb986"/>
  </ds:schemaRefs>
</ds:datastoreItem>
</file>

<file path=customXml/itemProps3.xml><?xml version="1.0" encoding="utf-8"?>
<ds:datastoreItem xmlns:ds="http://schemas.openxmlformats.org/officeDocument/2006/customXml" ds:itemID="{15FE3974-9AC8-4D29-8935-4A887F1F4F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6</Pages>
  <Words>2015</Words>
  <Characters>11087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Liberty Mutual</Company>
  <LinksUpToDate>false</LinksUpToDate>
  <CharactersWithSpaces>13076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DAVID</dc:creator>
  <cp:keywords/>
  <dc:description/>
  <cp:lastModifiedBy>Daniel Lozano Villota</cp:lastModifiedBy>
  <cp:revision>17</cp:revision>
  <dcterms:created xsi:type="dcterms:W3CDTF">2024-01-23T16:50:00Z</dcterms:created>
  <dcterms:modified xsi:type="dcterms:W3CDTF">2024-10-25T23:17:00Z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c67084c-8a81-449f-bca2-f89308e24664_Enabled">
    <vt:lpwstr>true</vt:lpwstr>
  </property>
  <property fmtid="{D5CDD505-2E9C-101B-9397-08002B2CF9AE}" pid="3" name="MSIP_Label_cc67084c-8a81-449f-bca2-f89308e24664_SetDate">
    <vt:lpwstr>2024-01-23T17:12:53Z</vt:lpwstr>
  </property>
  <property fmtid="{D5CDD505-2E9C-101B-9397-08002B2CF9AE}" pid="4" name="MSIP_Label_cc67084c-8a81-449f-bca2-f89308e24664_Method">
    <vt:lpwstr>Standard</vt:lpwstr>
  </property>
  <property fmtid="{D5CDD505-2E9C-101B-9397-08002B2CF9AE}" pid="5" name="MSIP_Label_cc67084c-8a81-449f-bca2-f89308e24664_Name">
    <vt:lpwstr>Restricted - Labeled by Automation</vt:lpwstr>
  </property>
  <property fmtid="{D5CDD505-2E9C-101B-9397-08002B2CF9AE}" pid="6" name="MSIP_Label_cc67084c-8a81-449f-bca2-f89308e24664_SiteId">
    <vt:lpwstr>08a83339-90e7-49bf-9075-957ccd561bf1</vt:lpwstr>
  </property>
  <property fmtid="{D5CDD505-2E9C-101B-9397-08002B2CF9AE}" pid="7" name="MSIP_Label_cc67084c-8a81-449f-bca2-f89308e24664_ActionId">
    <vt:lpwstr>90c0c75f-1eca-49c4-ac7b-34e35c662a49</vt:lpwstr>
  </property>
  <property fmtid="{D5CDD505-2E9C-101B-9397-08002B2CF9AE}" pid="8" name="MSIP_Label_cc67084c-8a81-449f-bca2-f89308e24664_ContentBits">
    <vt:lpwstr>0</vt:lpwstr>
  </property>
  <property fmtid="{D5CDD505-2E9C-101B-9397-08002B2CF9AE}" pid="9" name="ContentTypeId">
    <vt:lpwstr>0x0101002C92A54D8AB3014FADD0201C99992F62</vt:lpwstr>
  </property>
  <property fmtid="{D5CDD505-2E9C-101B-9397-08002B2CF9AE}" pid="10" name="MediaServiceImageTags">
    <vt:lpwstr/>
  </property>
</Properties>
</file>