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57ABB" w14:textId="13F43F4C" w:rsidR="00C3016C" w:rsidRDefault="00C3016C" w:rsidP="00C3016C">
      <w:pPr>
        <w:spacing w:line="254" w:lineRule="auto"/>
        <w:jc w:val="both"/>
        <w:rPr>
          <w:sz w:val="23"/>
          <w:szCs w:val="23"/>
        </w:rPr>
      </w:pPr>
    </w:p>
    <w:tbl>
      <w:tblPr>
        <w:tblStyle w:val="Tablaconcuadrcula"/>
        <w:tblW w:w="9983" w:type="dxa"/>
        <w:tblLook w:val="04A0" w:firstRow="1" w:lastRow="0" w:firstColumn="1" w:lastColumn="0" w:noHBand="0" w:noVBand="1"/>
      </w:tblPr>
      <w:tblGrid>
        <w:gridCol w:w="2518"/>
        <w:gridCol w:w="7465"/>
      </w:tblGrid>
      <w:tr w:rsidR="00C3016C" w:rsidRPr="00EB141E" w14:paraId="680EB41E" w14:textId="77777777" w:rsidTr="3452EF96">
        <w:tc>
          <w:tcPr>
            <w:tcW w:w="9983" w:type="dxa"/>
            <w:gridSpan w:val="2"/>
            <w:shd w:val="clear" w:color="auto" w:fill="1F3864" w:themeFill="accent1" w:themeFillShade="80"/>
          </w:tcPr>
          <w:p w14:paraId="2A6B0E42" w14:textId="09A01D5F" w:rsidR="00C3016C" w:rsidRPr="00C3016C" w:rsidRDefault="00C3016C" w:rsidP="00C3016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EB141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INFORME INICIAL DEL PROCESO</w:t>
            </w:r>
          </w:p>
        </w:tc>
      </w:tr>
      <w:tr w:rsidR="00C3016C" w:rsidRPr="00EB141E" w14:paraId="4BC558F4" w14:textId="77777777" w:rsidTr="3452EF96">
        <w:tc>
          <w:tcPr>
            <w:tcW w:w="2518" w:type="dxa"/>
            <w:shd w:val="clear" w:color="auto" w:fill="D9D9D9" w:themeFill="background1" w:themeFillShade="D9"/>
          </w:tcPr>
          <w:p w14:paraId="28F99CFA" w14:textId="77777777" w:rsidR="00C3016C" w:rsidRPr="00EB141E" w:rsidRDefault="00C3016C" w:rsidP="00C359F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EB141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Apoderado:</w:t>
            </w:r>
          </w:p>
        </w:tc>
        <w:tc>
          <w:tcPr>
            <w:tcW w:w="7465" w:type="dxa"/>
          </w:tcPr>
          <w:p w14:paraId="0B07F818" w14:textId="7300B0BE" w:rsidR="00C3016C" w:rsidRPr="00EB141E" w:rsidRDefault="003639AE" w:rsidP="00C359F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3639A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GUSTAVO ALBERTO HERRERA AVILA</w:t>
            </w:r>
          </w:p>
        </w:tc>
      </w:tr>
      <w:tr w:rsidR="00C3016C" w:rsidRPr="00EB141E" w14:paraId="05CE423E" w14:textId="77777777" w:rsidTr="3452EF96">
        <w:tc>
          <w:tcPr>
            <w:tcW w:w="2518" w:type="dxa"/>
            <w:shd w:val="clear" w:color="auto" w:fill="D9D9D9" w:themeFill="background1" w:themeFillShade="D9"/>
          </w:tcPr>
          <w:p w14:paraId="6CF2773B" w14:textId="77777777" w:rsidR="00C3016C" w:rsidRPr="00EB141E" w:rsidRDefault="00C3016C" w:rsidP="00C359F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EB141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Tipo y # de Póliza:</w:t>
            </w:r>
          </w:p>
        </w:tc>
        <w:tc>
          <w:tcPr>
            <w:tcW w:w="7465" w:type="dxa"/>
          </w:tcPr>
          <w:p w14:paraId="2CD51689" w14:textId="1991ADAB" w:rsidR="00C3016C" w:rsidRPr="00E229D2" w:rsidRDefault="00A1464C" w:rsidP="00C359F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 w:rsidRPr="00E229D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>RCE 420-80-994000000109</w:t>
            </w:r>
          </w:p>
        </w:tc>
      </w:tr>
      <w:tr w:rsidR="00C3016C" w:rsidRPr="00EB141E" w14:paraId="3EA02A2A" w14:textId="77777777" w:rsidTr="3452EF96">
        <w:tc>
          <w:tcPr>
            <w:tcW w:w="2518" w:type="dxa"/>
            <w:shd w:val="clear" w:color="auto" w:fill="D9D9D9" w:themeFill="background1" w:themeFillShade="D9"/>
          </w:tcPr>
          <w:p w14:paraId="54CFE80A" w14:textId="77777777" w:rsidR="00C3016C" w:rsidRPr="00EB141E" w:rsidRDefault="00C3016C" w:rsidP="00C359F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EB141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Amparos afectados:</w:t>
            </w:r>
          </w:p>
        </w:tc>
        <w:tc>
          <w:tcPr>
            <w:tcW w:w="7465" w:type="dxa"/>
          </w:tcPr>
          <w:p w14:paraId="4705A538" w14:textId="012818BE" w:rsidR="00C3016C" w:rsidRPr="00EB141E" w:rsidRDefault="00A1464C" w:rsidP="00C359FA">
            <w:pPr>
              <w:tabs>
                <w:tab w:val="left" w:pos="5740"/>
              </w:tabs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PATRIMONIO DEL ASEGURADO, PREDIOS, LABORES Y OPERACIONES</w:t>
            </w:r>
          </w:p>
        </w:tc>
      </w:tr>
      <w:tr w:rsidR="00C3016C" w:rsidRPr="00EB141E" w14:paraId="6EEEE1EE" w14:textId="77777777" w:rsidTr="3452EF96">
        <w:tc>
          <w:tcPr>
            <w:tcW w:w="2518" w:type="dxa"/>
            <w:shd w:val="clear" w:color="auto" w:fill="D9D9D9" w:themeFill="background1" w:themeFillShade="D9"/>
          </w:tcPr>
          <w:p w14:paraId="217E586A" w14:textId="77777777" w:rsidR="00C3016C" w:rsidRPr="00EB141E" w:rsidRDefault="00C3016C" w:rsidP="00C359F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EB141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Tomador:</w:t>
            </w:r>
          </w:p>
        </w:tc>
        <w:tc>
          <w:tcPr>
            <w:tcW w:w="7465" w:type="dxa"/>
          </w:tcPr>
          <w:p w14:paraId="0712951B" w14:textId="69C0D5A8" w:rsidR="00C3016C" w:rsidRPr="00EB141E" w:rsidRDefault="00A1464C" w:rsidP="00C359F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DISTRITO ESPECIAL DE SANTIAGO DE CALI</w:t>
            </w:r>
          </w:p>
        </w:tc>
      </w:tr>
      <w:tr w:rsidR="00C3016C" w:rsidRPr="00EB141E" w14:paraId="30CA897D" w14:textId="77777777" w:rsidTr="3452EF96">
        <w:tc>
          <w:tcPr>
            <w:tcW w:w="2518" w:type="dxa"/>
            <w:shd w:val="clear" w:color="auto" w:fill="D9D9D9" w:themeFill="background1" w:themeFillShade="D9"/>
          </w:tcPr>
          <w:p w14:paraId="5D5E5F58" w14:textId="77777777" w:rsidR="00C3016C" w:rsidRPr="00EB141E" w:rsidRDefault="00C3016C" w:rsidP="00C359F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EB141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Asegurado:</w:t>
            </w:r>
          </w:p>
        </w:tc>
        <w:tc>
          <w:tcPr>
            <w:tcW w:w="7465" w:type="dxa"/>
          </w:tcPr>
          <w:p w14:paraId="087CA4CA" w14:textId="6C791505" w:rsidR="00C3016C" w:rsidRPr="00EB141E" w:rsidRDefault="00A1464C" w:rsidP="00C359F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DISTRITO ESPECIAL DE SANTIAGO DE CALI</w:t>
            </w:r>
          </w:p>
        </w:tc>
      </w:tr>
      <w:tr w:rsidR="00C3016C" w:rsidRPr="00EB141E" w14:paraId="5D17C2C5" w14:textId="77777777" w:rsidTr="3452EF96">
        <w:tc>
          <w:tcPr>
            <w:tcW w:w="2518" w:type="dxa"/>
            <w:shd w:val="clear" w:color="auto" w:fill="D9D9D9" w:themeFill="background1" w:themeFillShade="D9"/>
          </w:tcPr>
          <w:p w14:paraId="65094B69" w14:textId="77777777" w:rsidR="00C3016C" w:rsidRPr="00EB141E" w:rsidRDefault="00C3016C" w:rsidP="00C359F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EB141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Tipo de Proceso:</w:t>
            </w:r>
          </w:p>
        </w:tc>
        <w:tc>
          <w:tcPr>
            <w:tcW w:w="7465" w:type="dxa"/>
          </w:tcPr>
          <w:p w14:paraId="309EF488" w14:textId="4F65A99D" w:rsidR="00C3016C" w:rsidRPr="00EB141E" w:rsidRDefault="00A1464C" w:rsidP="00C359F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REPARACIÓN DIRECTA</w:t>
            </w:r>
          </w:p>
        </w:tc>
      </w:tr>
      <w:tr w:rsidR="00C3016C" w:rsidRPr="00EB141E" w14:paraId="5DB3C2DA" w14:textId="77777777" w:rsidTr="3452EF96">
        <w:tc>
          <w:tcPr>
            <w:tcW w:w="2518" w:type="dxa"/>
            <w:shd w:val="clear" w:color="auto" w:fill="D9D9D9" w:themeFill="background1" w:themeFillShade="D9"/>
          </w:tcPr>
          <w:p w14:paraId="7397F6B3" w14:textId="77777777" w:rsidR="00C3016C" w:rsidRPr="00EB141E" w:rsidRDefault="00C3016C" w:rsidP="00C359F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EB141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Jurisdicción:</w:t>
            </w:r>
          </w:p>
        </w:tc>
        <w:tc>
          <w:tcPr>
            <w:tcW w:w="7465" w:type="dxa"/>
          </w:tcPr>
          <w:p w14:paraId="27E029E3" w14:textId="691784F1" w:rsidR="00C3016C" w:rsidRPr="00EB141E" w:rsidRDefault="00A1464C" w:rsidP="00C359F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CONTENCIOSO ADMINISTRATIVA</w:t>
            </w:r>
          </w:p>
        </w:tc>
      </w:tr>
      <w:tr w:rsidR="00C3016C" w:rsidRPr="00EB141E" w14:paraId="28C51AE9" w14:textId="77777777" w:rsidTr="3452EF96">
        <w:tc>
          <w:tcPr>
            <w:tcW w:w="2518" w:type="dxa"/>
            <w:shd w:val="clear" w:color="auto" w:fill="D9D9D9" w:themeFill="background1" w:themeFillShade="D9"/>
          </w:tcPr>
          <w:p w14:paraId="544719C8" w14:textId="77777777" w:rsidR="00C3016C" w:rsidRPr="00EB141E" w:rsidRDefault="00C3016C" w:rsidP="00C359F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EB141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Despacho:</w:t>
            </w:r>
          </w:p>
        </w:tc>
        <w:tc>
          <w:tcPr>
            <w:tcW w:w="7465" w:type="dxa"/>
          </w:tcPr>
          <w:p w14:paraId="46B4FFC6" w14:textId="2AE400D7" w:rsidR="00C3016C" w:rsidRPr="00EB141E" w:rsidRDefault="00A1464C" w:rsidP="00C359F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JUZGADO 17 ADMINISTRATIVO ORAL DEL CIRCUITO DE CALI</w:t>
            </w:r>
          </w:p>
        </w:tc>
      </w:tr>
      <w:tr w:rsidR="00C3016C" w:rsidRPr="00EB141E" w14:paraId="1E19F9F0" w14:textId="77777777" w:rsidTr="3452EF96">
        <w:tc>
          <w:tcPr>
            <w:tcW w:w="2518" w:type="dxa"/>
            <w:shd w:val="clear" w:color="auto" w:fill="D9D9D9" w:themeFill="background1" w:themeFillShade="D9"/>
          </w:tcPr>
          <w:p w14:paraId="2CA6172A" w14:textId="77777777" w:rsidR="00C3016C" w:rsidRPr="00EB141E" w:rsidRDefault="00C3016C" w:rsidP="00C359F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EB141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Ciudad:</w:t>
            </w:r>
          </w:p>
        </w:tc>
        <w:tc>
          <w:tcPr>
            <w:tcW w:w="7465" w:type="dxa"/>
          </w:tcPr>
          <w:p w14:paraId="7AD37AC6" w14:textId="457F9878" w:rsidR="00C3016C" w:rsidRPr="00EB141E" w:rsidRDefault="00A1464C" w:rsidP="00C359F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CALI VALLE DEL CAUCA</w:t>
            </w:r>
          </w:p>
        </w:tc>
      </w:tr>
      <w:tr w:rsidR="00C3016C" w:rsidRPr="00EB141E" w14:paraId="7ED4A0CC" w14:textId="77777777" w:rsidTr="3452EF96">
        <w:tc>
          <w:tcPr>
            <w:tcW w:w="2518" w:type="dxa"/>
            <w:shd w:val="clear" w:color="auto" w:fill="D9D9D9" w:themeFill="background1" w:themeFillShade="D9"/>
          </w:tcPr>
          <w:p w14:paraId="65963757" w14:textId="77777777" w:rsidR="00C3016C" w:rsidRPr="00EB141E" w:rsidRDefault="00C3016C" w:rsidP="00C359F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EB141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Radicado (23 dígitos):</w:t>
            </w:r>
          </w:p>
        </w:tc>
        <w:tc>
          <w:tcPr>
            <w:tcW w:w="7465" w:type="dxa"/>
          </w:tcPr>
          <w:p w14:paraId="4ED5E590" w14:textId="39A7AA9D" w:rsidR="00C3016C" w:rsidRPr="00E229D2" w:rsidRDefault="00A1464C" w:rsidP="00C359F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</w:pPr>
            <w:r w:rsidRPr="00E229D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>76001333301720220009100</w:t>
            </w:r>
          </w:p>
        </w:tc>
      </w:tr>
      <w:tr w:rsidR="00C3016C" w:rsidRPr="00EB141E" w14:paraId="365EB3D3" w14:textId="77777777" w:rsidTr="3452EF96">
        <w:tc>
          <w:tcPr>
            <w:tcW w:w="2518" w:type="dxa"/>
            <w:shd w:val="clear" w:color="auto" w:fill="D9D9D9" w:themeFill="background1" w:themeFillShade="D9"/>
          </w:tcPr>
          <w:p w14:paraId="3E29A9FF" w14:textId="77777777" w:rsidR="00C3016C" w:rsidRPr="00EB141E" w:rsidRDefault="00C3016C" w:rsidP="00C359F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EB141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Demandantes:</w:t>
            </w:r>
          </w:p>
        </w:tc>
        <w:tc>
          <w:tcPr>
            <w:tcW w:w="7465" w:type="dxa"/>
          </w:tcPr>
          <w:p w14:paraId="5F6B6717" w14:textId="408B4B25" w:rsidR="00C3016C" w:rsidRPr="00EB141E" w:rsidRDefault="00A1464C" w:rsidP="00A1464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A1464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DAVID CAICEDO GARZON, ISABEL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A1464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CAROLINA MEDINA, SIGIFREDO CAICEDO y ADÍELA GARZÓN GRAJALES</w:t>
            </w:r>
          </w:p>
        </w:tc>
      </w:tr>
      <w:tr w:rsidR="00C3016C" w:rsidRPr="00EB141E" w14:paraId="26F1C674" w14:textId="77777777" w:rsidTr="3452EF96">
        <w:tc>
          <w:tcPr>
            <w:tcW w:w="2518" w:type="dxa"/>
            <w:shd w:val="clear" w:color="auto" w:fill="D9D9D9" w:themeFill="background1" w:themeFillShade="D9"/>
          </w:tcPr>
          <w:p w14:paraId="6A2570A7" w14:textId="77777777" w:rsidR="00C3016C" w:rsidRPr="00EB141E" w:rsidRDefault="00C3016C" w:rsidP="00C359F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EB141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Demandados:</w:t>
            </w:r>
          </w:p>
        </w:tc>
        <w:tc>
          <w:tcPr>
            <w:tcW w:w="7465" w:type="dxa"/>
          </w:tcPr>
          <w:p w14:paraId="395FB00D" w14:textId="69C2F33A" w:rsidR="00C3016C" w:rsidRPr="00EB141E" w:rsidRDefault="00A1464C" w:rsidP="00C359F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A1464C">
              <w:rPr>
                <w:rFonts w:asciiTheme="minorHAnsi" w:hAnsiTheme="minorHAnsi" w:cstheme="minorHAnsi"/>
                <w:sz w:val="20"/>
                <w:szCs w:val="20"/>
              </w:rPr>
              <w:t>DISTRITO DE SANTIAGO DE CALI</w:t>
            </w:r>
          </w:p>
        </w:tc>
      </w:tr>
      <w:tr w:rsidR="00C3016C" w:rsidRPr="00EB141E" w14:paraId="737C3CF7" w14:textId="77777777" w:rsidTr="3452EF96">
        <w:tc>
          <w:tcPr>
            <w:tcW w:w="2518" w:type="dxa"/>
            <w:shd w:val="clear" w:color="auto" w:fill="D9D9D9" w:themeFill="background1" w:themeFillShade="D9"/>
          </w:tcPr>
          <w:p w14:paraId="245720EA" w14:textId="0EE18B14" w:rsidR="00C3016C" w:rsidRPr="00EB141E" w:rsidRDefault="00C3016C" w:rsidP="3452EF96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s-ES"/>
              </w:rPr>
            </w:pPr>
            <w:r w:rsidRPr="3452EF96">
              <w:rPr>
                <w:rFonts w:asciiTheme="minorHAnsi" w:hAnsiTheme="minorHAnsi" w:cstheme="minorBidi"/>
                <w:b/>
                <w:bCs/>
                <w:sz w:val="20"/>
                <w:szCs w:val="20"/>
                <w:lang w:val="es-ES"/>
              </w:rPr>
              <w:t xml:space="preserve">Tipo de vinculación de </w:t>
            </w:r>
            <w:r w:rsidR="76B58E53" w:rsidRPr="3452EF96">
              <w:rPr>
                <w:rFonts w:asciiTheme="minorHAnsi" w:hAnsiTheme="minorHAnsi" w:cstheme="minorBidi"/>
                <w:b/>
                <w:bCs/>
                <w:sz w:val="20"/>
                <w:szCs w:val="20"/>
                <w:lang w:val="es-ES"/>
              </w:rPr>
              <w:t>HDI</w:t>
            </w:r>
            <w:r w:rsidRPr="3452EF96">
              <w:rPr>
                <w:rFonts w:asciiTheme="minorHAnsi" w:hAnsiTheme="minorHAnsi" w:cstheme="minorBidi"/>
                <w:b/>
                <w:bCs/>
                <w:sz w:val="20"/>
                <w:szCs w:val="20"/>
                <w:lang w:val="es-ES"/>
              </w:rPr>
              <w:t xml:space="preserve"> (directa, llamamiento en garantía, litisconsorte):</w:t>
            </w:r>
          </w:p>
        </w:tc>
        <w:tc>
          <w:tcPr>
            <w:tcW w:w="7465" w:type="dxa"/>
          </w:tcPr>
          <w:p w14:paraId="3D968381" w14:textId="77777777" w:rsidR="00C3016C" w:rsidRPr="00EB141E" w:rsidRDefault="00C3016C" w:rsidP="00C359F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523FC52D" w14:textId="747DB7D0" w:rsidR="00C3016C" w:rsidRPr="00EB141E" w:rsidRDefault="00A1464C" w:rsidP="00C359F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LLAMAMIENTO EN GARANTÍA</w:t>
            </w:r>
          </w:p>
        </w:tc>
      </w:tr>
      <w:tr w:rsidR="00C3016C" w:rsidRPr="00EB141E" w14:paraId="310FFED0" w14:textId="77777777" w:rsidTr="3452EF96">
        <w:tc>
          <w:tcPr>
            <w:tcW w:w="2518" w:type="dxa"/>
            <w:shd w:val="clear" w:color="auto" w:fill="D9D9D9" w:themeFill="background1" w:themeFillShade="D9"/>
          </w:tcPr>
          <w:p w14:paraId="003BC5F9" w14:textId="77777777" w:rsidR="00C3016C" w:rsidRPr="00EB141E" w:rsidRDefault="00C3016C" w:rsidP="00C359F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EB141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Resumen de los hechos:</w:t>
            </w:r>
          </w:p>
        </w:tc>
        <w:tc>
          <w:tcPr>
            <w:tcW w:w="7465" w:type="dxa"/>
          </w:tcPr>
          <w:p w14:paraId="7F5A426D" w14:textId="44B35C76" w:rsidR="00532AB0" w:rsidRPr="00A1464C" w:rsidRDefault="00A1464C" w:rsidP="00A1464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Se presentó un a</w:t>
            </w:r>
            <w:r w:rsidRPr="00A1464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ccidente de tránsito el 03 de febrero de 2020 en la Avenida 2 con Calle 12 Norte de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Cali</w:t>
            </w:r>
            <w:r w:rsidRPr="00A1464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cuando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el señor David Caicedo </w:t>
            </w:r>
            <w:r w:rsidRPr="00A1464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conducía su motocicleta </w:t>
            </w:r>
            <w:r w:rsidR="00262FF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y pasó</w:t>
            </w:r>
            <w:r w:rsidRPr="00A1464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="00262FF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la avenida mientras se</w:t>
            </w:r>
            <w:r w:rsidRPr="00A1464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encontr</w:t>
            </w:r>
            <w:r w:rsidR="00262FF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aba</w:t>
            </w:r>
            <w:r w:rsidRPr="00A1464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el semáforo en luz verde pegada,</w:t>
            </w:r>
            <w:r w:rsidR="00262FF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de otra parte, </w:t>
            </w:r>
            <w:r w:rsidR="00262FFF" w:rsidRPr="00A1464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un peatón se</w:t>
            </w:r>
            <w:r w:rsidRPr="00A1464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="00262FF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atravesó la avenida mientras </w:t>
            </w:r>
            <w:r w:rsidR="00262FFF" w:rsidRPr="00A1464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la intersección semaforizada </w:t>
            </w:r>
            <w:r w:rsidR="00262FF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se encontraba en rojo, </w:t>
            </w:r>
            <w:r w:rsidRPr="00A1464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resultando gravemente lesionados el motociclista y el peatón.</w:t>
            </w:r>
          </w:p>
          <w:p w14:paraId="102686D9" w14:textId="5B118373" w:rsidR="00C3016C" w:rsidRPr="00A1464C" w:rsidRDefault="00A1464C" w:rsidP="00A1464C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A1464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Teoría</w:t>
            </w:r>
            <w:r w:rsidR="00262FF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de los demandantes</w:t>
            </w:r>
            <w:r w:rsidRPr="00A1464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: El suceso se presentó por falla del servicio</w:t>
            </w:r>
            <w:r w:rsidR="00262FF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de</w:t>
            </w:r>
            <w:r w:rsidRPr="00A1464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la administración debido al deficiente mantenimiento en la señalización de la vía </w:t>
            </w:r>
            <w:r w:rsidR="00262FF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resultando viable la</w:t>
            </w:r>
            <w:r w:rsidRPr="00A1464C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responsabilidad del estado por omisión de sus deberes frente a los ciudadanos.</w:t>
            </w:r>
          </w:p>
        </w:tc>
      </w:tr>
      <w:tr w:rsidR="00C3016C" w:rsidRPr="00EB141E" w14:paraId="0E406DF4" w14:textId="77777777" w:rsidTr="0055689E">
        <w:trPr>
          <w:trHeight w:val="1113"/>
        </w:trPr>
        <w:tc>
          <w:tcPr>
            <w:tcW w:w="2518" w:type="dxa"/>
            <w:shd w:val="clear" w:color="auto" w:fill="D9D9D9" w:themeFill="background1" w:themeFillShade="D9"/>
          </w:tcPr>
          <w:p w14:paraId="4DAF3A73" w14:textId="77777777" w:rsidR="00C3016C" w:rsidRPr="00EB141E" w:rsidRDefault="00C3016C" w:rsidP="00C359F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EB141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Descripción de las pretensiones:</w:t>
            </w:r>
          </w:p>
        </w:tc>
        <w:tc>
          <w:tcPr>
            <w:tcW w:w="7465" w:type="dxa"/>
          </w:tcPr>
          <w:p w14:paraId="5B1C531E" w14:textId="21381453" w:rsidR="00F31A86" w:rsidRDefault="00F31A86" w:rsidP="00262FFF">
            <w:pPr>
              <w:jc w:val="both"/>
            </w:pPr>
            <w:r>
              <w:t>Lucro cesante: Sin cuantificación</w:t>
            </w:r>
          </w:p>
          <w:p w14:paraId="177FBEA3" w14:textId="358C1C09" w:rsidR="00C3016C" w:rsidRDefault="00262FFF" w:rsidP="00262FFF">
            <w:pPr>
              <w:jc w:val="both"/>
              <w:rPr>
                <w:b/>
                <w:bCs/>
              </w:rPr>
            </w:pPr>
            <w:r>
              <w:t xml:space="preserve">Daño emergente: </w:t>
            </w:r>
            <w:r w:rsidRPr="007F0A91">
              <w:rPr>
                <w:b/>
                <w:bCs/>
              </w:rPr>
              <w:t>$10.244.500</w:t>
            </w:r>
          </w:p>
          <w:p w14:paraId="5DCBFB74" w14:textId="5A465B24" w:rsidR="00262FFF" w:rsidRDefault="00262FFF" w:rsidP="00262FFF">
            <w:pPr>
              <w:jc w:val="both"/>
              <w:rPr>
                <w:b/>
                <w:bCs/>
              </w:rPr>
            </w:pPr>
            <w:r>
              <w:t xml:space="preserve">Daño a la salud y vida en relación: </w:t>
            </w:r>
            <w:r w:rsidRPr="007246B7">
              <w:rPr>
                <w:b/>
                <w:bCs/>
              </w:rPr>
              <w:t>$</w:t>
            </w:r>
            <w:r w:rsidR="00DF0946">
              <w:rPr>
                <w:b/>
                <w:bCs/>
              </w:rPr>
              <w:t>65</w:t>
            </w:r>
            <w:r w:rsidRPr="007246B7">
              <w:rPr>
                <w:b/>
                <w:bCs/>
              </w:rPr>
              <w:t>.000.000</w:t>
            </w:r>
            <w:r w:rsidR="00DF0946">
              <w:rPr>
                <w:b/>
                <w:bCs/>
              </w:rPr>
              <w:t xml:space="preserve"> </w:t>
            </w:r>
            <w:r w:rsidR="00DF0946">
              <w:t xml:space="preserve">50 SMMLV de 2024 </w:t>
            </w:r>
            <w:r w:rsidR="0055689E">
              <w:t>(</w:t>
            </w:r>
            <w:r w:rsidR="00DF0946">
              <w:t>para la víctima)</w:t>
            </w:r>
          </w:p>
          <w:p w14:paraId="5662255E" w14:textId="09CABFF4" w:rsidR="00262FFF" w:rsidRPr="00262FFF" w:rsidRDefault="00262FFF" w:rsidP="00262FFF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262FFF">
              <w:t>Perjuicios morales</w:t>
            </w:r>
            <w:r>
              <w:t xml:space="preserve">: </w:t>
            </w:r>
            <w:r w:rsidRPr="00262FFF">
              <w:rPr>
                <w:b/>
                <w:bCs/>
              </w:rPr>
              <w:t>$</w:t>
            </w:r>
            <w:r w:rsidRPr="00D06F73"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  <w:r w:rsidRPr="00D06F73">
              <w:rPr>
                <w:b/>
                <w:bCs/>
              </w:rPr>
              <w:t>0.000.000</w:t>
            </w:r>
            <w:r w:rsidRPr="00262FFF">
              <w:t xml:space="preserve"> </w:t>
            </w:r>
            <w:r>
              <w:t>(50 SMMLV de 2024 para cada demandante, en total son 4 demandantes)</w:t>
            </w:r>
          </w:p>
        </w:tc>
      </w:tr>
      <w:tr w:rsidR="00C3016C" w:rsidRPr="00EB141E" w14:paraId="704DFB9E" w14:textId="77777777" w:rsidTr="3452EF96">
        <w:tc>
          <w:tcPr>
            <w:tcW w:w="2518" w:type="dxa"/>
            <w:shd w:val="clear" w:color="auto" w:fill="D9D9D9" w:themeFill="background1" w:themeFillShade="D9"/>
          </w:tcPr>
          <w:p w14:paraId="58C6E535" w14:textId="77777777" w:rsidR="00C3016C" w:rsidRPr="00EB141E" w:rsidRDefault="00C3016C" w:rsidP="00C359F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EB141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Pretensiones cuantificadas ($):</w:t>
            </w:r>
          </w:p>
        </w:tc>
        <w:tc>
          <w:tcPr>
            <w:tcW w:w="7465" w:type="dxa"/>
          </w:tcPr>
          <w:p w14:paraId="513594D3" w14:textId="6E9B394B" w:rsidR="00532AB0" w:rsidRPr="00532AB0" w:rsidRDefault="00532AB0" w:rsidP="0055689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532A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>Perjuicios morales:</w:t>
            </w:r>
            <w:r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="0055689E"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Teniendo en cuenta que el daño está probado a causa de la pérdida de capacidad laboral de 31,7% del señor Caicedo, en caso de que el Distrito Especial de Santiago de Cali sea condenado,</w:t>
            </w:r>
            <w:r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de acuerdo con los baremos establecidos por el Consejo de Estado, le</w:t>
            </w:r>
            <w:r w:rsidR="0055689E"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correspondería</w:t>
            </w:r>
            <w:r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a la víctima directa y sus padres la suma de 60</w:t>
            </w:r>
            <w:r w:rsidR="00F31A8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SMMLV. Sin embargo, en el presente asunto, se solicitaron únicamente 50</w:t>
            </w:r>
            <w:r w:rsidR="00F31A8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SMMLV, de modo que, comoquiera que el juez administrativo no tiene facultades ultra y extrapetita, se deben reconocer los perjuicios en la cantidad solicitada, esto es,</w:t>
            </w:r>
            <w:r w:rsidR="00F31A8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="0055689E"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a: DAVID CAICEDO GARZON (victima)</w:t>
            </w:r>
            <w:r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50</w:t>
            </w:r>
            <w:r w:rsidR="00F31A8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SMMLV</w:t>
            </w:r>
            <w:r w:rsidR="0055689E"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 SIGIFREDO CAICEDO (padre</w:t>
            </w:r>
            <w:r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) 50</w:t>
            </w:r>
            <w:r w:rsidR="00F31A8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SMMLV,</w:t>
            </w:r>
            <w:r w:rsidR="0055689E"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y ADÍELA GARZÓN GRAJALES (madre)</w:t>
            </w:r>
            <w:r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50</w:t>
            </w:r>
            <w:r w:rsidR="00F31A8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SMMLV</w:t>
            </w:r>
            <w:r w:rsidR="0055689E"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para un total de 150 SMMLV</w:t>
            </w:r>
            <w:r w:rsidR="0043422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($195.000.000)</w:t>
            </w:r>
            <w:r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. No se reconocen perjuicios morales a la señora ISABEL CAROLINA MEDINA (compañera permanente), por no acreditar dicha relación con la víctima directa. </w:t>
            </w:r>
          </w:p>
          <w:p w14:paraId="6C152F0A" w14:textId="492CFB7A" w:rsidR="00532AB0" w:rsidRDefault="0055689E" w:rsidP="0055689E">
            <w:pPr>
              <w:jc w:val="both"/>
              <w:rPr>
                <w:sz w:val="20"/>
                <w:szCs w:val="20"/>
              </w:rPr>
            </w:pPr>
            <w:r w:rsidRPr="00532AB0">
              <w:rPr>
                <w:b/>
                <w:bCs/>
                <w:sz w:val="20"/>
                <w:szCs w:val="20"/>
              </w:rPr>
              <w:t>Daño a la salud y vida en relación:</w:t>
            </w:r>
            <w:r w:rsidRPr="00532AB0">
              <w:rPr>
                <w:sz w:val="20"/>
                <w:szCs w:val="20"/>
              </w:rPr>
              <w:t xml:space="preserve"> </w:t>
            </w:r>
            <w:r w:rsidRPr="0043422B">
              <w:rPr>
                <w:sz w:val="20"/>
                <w:szCs w:val="20"/>
              </w:rPr>
              <w:t xml:space="preserve">$65.000.000 </w:t>
            </w:r>
            <w:r w:rsidR="0043422B" w:rsidRPr="0043422B">
              <w:rPr>
                <w:sz w:val="20"/>
                <w:szCs w:val="20"/>
              </w:rPr>
              <w:t>o</w:t>
            </w:r>
            <w:r w:rsidR="0043422B">
              <w:rPr>
                <w:b/>
                <w:bCs/>
                <w:sz w:val="20"/>
                <w:szCs w:val="20"/>
              </w:rPr>
              <w:t xml:space="preserve"> </w:t>
            </w:r>
            <w:r w:rsidRPr="00532AB0">
              <w:rPr>
                <w:sz w:val="20"/>
                <w:szCs w:val="20"/>
              </w:rPr>
              <w:t>50 SMMLV de 2024 (para la víctima),</w:t>
            </w:r>
            <w:r w:rsidR="00532AB0">
              <w:rPr>
                <w:sz w:val="20"/>
                <w:szCs w:val="20"/>
              </w:rPr>
              <w:t xml:space="preserve"> comoquiera que pese a corresponderle una suma mayor por el dictamen de PCL, únicamente solicitaron dicha suma. </w:t>
            </w:r>
          </w:p>
          <w:p w14:paraId="158C0F7A" w14:textId="5526EC88" w:rsidR="0043422B" w:rsidRDefault="0043422B" w:rsidP="0055689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43422B">
              <w:rPr>
                <w:b/>
                <w:bCs/>
                <w:sz w:val="20"/>
                <w:szCs w:val="20"/>
              </w:rPr>
              <w:t>Daño emergente:</w:t>
            </w:r>
            <w:r w:rsidR="0055689E"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No se reconoce daño emergente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</w:t>
            </w:r>
            <w:r w:rsidR="0055689E"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porque no se han acreditado los gastos en que se incurrió por el demandant</w:t>
            </w:r>
            <w:r w:rsidR="00B904AB"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e, así como tampoco que los valores alegados hayan sido efectivamente pagados por él</w:t>
            </w:r>
            <w:r w:rsidR="0055689E"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. </w:t>
            </w:r>
          </w:p>
          <w:p w14:paraId="0EDA133A" w14:textId="000C6446" w:rsidR="0043422B" w:rsidRDefault="0043422B" w:rsidP="0055689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4342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>Lucro cesante: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No se reconoce, en la medida que únicamente se aportó un contrato de aprendizaje que tenía un plazo de tan solo 6 meses, de modo que no hay certeza si </w:t>
            </w:r>
            <w:r w:rsidR="00F31A8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el </w:t>
            </w:r>
            <w:r w:rsidR="00F31A8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lastRenderedPageBreak/>
              <w:t>demandante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continuaba laborando, y mucho menos sus ingresos. Aunado a ello, no se calculó el lucro cesante en las pretensiones. </w:t>
            </w:r>
          </w:p>
          <w:p w14:paraId="732A809C" w14:textId="77777777" w:rsidR="0043422B" w:rsidRDefault="0043422B" w:rsidP="0055689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61540B9A" w14:textId="4FE064EE" w:rsidR="0055689E" w:rsidRPr="003B399E" w:rsidRDefault="0055689E" w:rsidP="0055689E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Para un total de perjuicios inmateriales de: </w:t>
            </w:r>
            <w:r w:rsidRPr="00532A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>2</w:t>
            </w:r>
            <w:r w:rsidR="004342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>0</w:t>
            </w:r>
            <w:r w:rsidRPr="00532A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>0 SMMLV</w:t>
            </w:r>
            <w:r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</w:t>
            </w:r>
            <w:r w:rsidR="00B904AB"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As</w:t>
            </w:r>
            <w:r w:rsidR="003B399E"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í</w:t>
            </w:r>
            <w:r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entonces, al valor de </w:t>
            </w:r>
            <w:r w:rsidR="003B399E" w:rsidRPr="00532A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>$</w:t>
            </w:r>
            <w:r w:rsidR="004342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 xml:space="preserve">260.000.000. </w:t>
            </w:r>
            <w:r w:rsidR="0043422B" w:rsidRPr="0043422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Se calcula</w:t>
            </w:r>
            <w:r w:rsidR="004342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 xml:space="preserve"> </w:t>
            </w:r>
            <w:r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el % de coaseguro: en este caso, </w:t>
            </w:r>
            <w:r w:rsidR="003B399E"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HDI</w:t>
            </w:r>
            <w:r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: (</w:t>
            </w:r>
            <w:r w:rsidR="003B399E"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1</w:t>
            </w:r>
            <w:r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0%), para un resultado total de </w:t>
            </w:r>
            <w:r w:rsidR="003B399E"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$</w:t>
            </w:r>
            <w:r w:rsidR="00F31A8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26</w:t>
            </w:r>
            <w:r w:rsidR="003B399E"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</w:t>
            </w:r>
            <w:r w:rsidR="00F31A8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  <w:r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00</w:t>
            </w:r>
            <w:r w:rsidR="003B399E"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.00</w:t>
            </w:r>
            <w:r w:rsidRPr="00532AB0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0. Total: </w:t>
            </w:r>
            <w:r w:rsidR="003B399E" w:rsidRPr="00532A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>$</w:t>
            </w:r>
            <w:r w:rsidR="004342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>26.0</w:t>
            </w:r>
            <w:r w:rsidR="003B399E" w:rsidRPr="00532AB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>00.000</w:t>
            </w:r>
          </w:p>
        </w:tc>
      </w:tr>
      <w:tr w:rsidR="00C3016C" w:rsidRPr="00EB141E" w14:paraId="0B60EBC1" w14:textId="77777777" w:rsidTr="3452EF96">
        <w:tc>
          <w:tcPr>
            <w:tcW w:w="2518" w:type="dxa"/>
            <w:shd w:val="clear" w:color="auto" w:fill="D9D9D9" w:themeFill="background1" w:themeFillShade="D9"/>
          </w:tcPr>
          <w:p w14:paraId="7ABAD315" w14:textId="77777777" w:rsidR="00C3016C" w:rsidRPr="00EB141E" w:rsidRDefault="00C3016C" w:rsidP="00C359F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EB141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lastRenderedPageBreak/>
              <w:t>Valor asegurado amparos afectados:</w:t>
            </w:r>
          </w:p>
        </w:tc>
        <w:tc>
          <w:tcPr>
            <w:tcW w:w="7465" w:type="dxa"/>
          </w:tcPr>
          <w:p w14:paraId="6C40C20A" w14:textId="4B4CED69" w:rsidR="00C3016C" w:rsidRPr="00EB141E" w:rsidRDefault="00C3016C" w:rsidP="00C359F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EB141E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="00E229D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$7.000.000.000 PATRIMONIO DEL ASEGURADO, PREDIOS, LABORES Y OPERACIONES</w:t>
            </w:r>
          </w:p>
        </w:tc>
      </w:tr>
      <w:tr w:rsidR="00C3016C" w:rsidRPr="00EB141E" w14:paraId="47DED08D" w14:textId="77777777" w:rsidTr="3452EF96">
        <w:tc>
          <w:tcPr>
            <w:tcW w:w="2518" w:type="dxa"/>
            <w:shd w:val="clear" w:color="auto" w:fill="D9D9D9" w:themeFill="background1" w:themeFillShade="D9"/>
          </w:tcPr>
          <w:p w14:paraId="2040F0CE" w14:textId="77777777" w:rsidR="00C3016C" w:rsidRPr="00EB141E" w:rsidRDefault="00C3016C" w:rsidP="00C359F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EB141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Valoración objetiva de las pretensiones:</w:t>
            </w:r>
          </w:p>
        </w:tc>
        <w:tc>
          <w:tcPr>
            <w:tcW w:w="7465" w:type="dxa"/>
          </w:tcPr>
          <w:p w14:paraId="7662D052" w14:textId="1791C1AE" w:rsidR="00C3016C" w:rsidRPr="00EB141E" w:rsidRDefault="003B399E" w:rsidP="00E229D2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3B39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>$</w:t>
            </w:r>
            <w:r w:rsidR="004342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_tradnl"/>
              </w:rPr>
              <w:t>26.000.000</w:t>
            </w:r>
          </w:p>
        </w:tc>
      </w:tr>
      <w:tr w:rsidR="00C3016C" w:rsidRPr="00EB141E" w14:paraId="3AE6DDE7" w14:textId="77777777" w:rsidTr="3452EF96">
        <w:tc>
          <w:tcPr>
            <w:tcW w:w="2518" w:type="dxa"/>
            <w:shd w:val="clear" w:color="auto" w:fill="D9D9D9" w:themeFill="background1" w:themeFillShade="D9"/>
          </w:tcPr>
          <w:p w14:paraId="49F38751" w14:textId="77777777" w:rsidR="00C3016C" w:rsidRPr="00EB141E" w:rsidRDefault="00C3016C" w:rsidP="00C359F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EB141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Calificación de la contingencia:</w:t>
            </w:r>
          </w:p>
        </w:tc>
        <w:tc>
          <w:tcPr>
            <w:tcW w:w="7465" w:type="dxa"/>
          </w:tcPr>
          <w:p w14:paraId="1E9AFCF4" w14:textId="01492528" w:rsidR="00C3016C" w:rsidRPr="00EB141E" w:rsidRDefault="00E229D2" w:rsidP="00C359F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REMOTA</w:t>
            </w:r>
          </w:p>
        </w:tc>
      </w:tr>
      <w:tr w:rsidR="00C3016C" w:rsidRPr="00EB141E" w14:paraId="1EDA617F" w14:textId="77777777" w:rsidTr="00656A60">
        <w:trPr>
          <w:trHeight w:val="3826"/>
        </w:trPr>
        <w:tc>
          <w:tcPr>
            <w:tcW w:w="2518" w:type="dxa"/>
            <w:shd w:val="clear" w:color="auto" w:fill="D9D9D9" w:themeFill="background1" w:themeFillShade="D9"/>
          </w:tcPr>
          <w:p w14:paraId="45DBC8C6" w14:textId="77777777" w:rsidR="00C3016C" w:rsidRPr="00EB141E" w:rsidRDefault="00C3016C" w:rsidP="00C359F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EB141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Motivos de la calificación:</w:t>
            </w:r>
          </w:p>
        </w:tc>
        <w:tc>
          <w:tcPr>
            <w:tcW w:w="7465" w:type="dxa"/>
          </w:tcPr>
          <w:p w14:paraId="1BB23650" w14:textId="6D6B5FF8" w:rsidR="00C3016C" w:rsidRPr="00EB141E" w:rsidRDefault="00E229D2" w:rsidP="00C359F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E229D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Se califica como REMOTO, teniendo en cuenta que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</w:t>
            </w:r>
            <w:r w:rsidRPr="00E229D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si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bien</w:t>
            </w:r>
            <w:r w:rsidRPr="00E229D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la p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ó</w:t>
            </w:r>
            <w:r w:rsidRPr="00E229D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liza presta cobertura tem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</w:t>
            </w:r>
            <w:r w:rsidRPr="00E229D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oral y material, en el caso se presenta una evidente intervención determinante de un tercero, pues el IPAT contempla como hipótesis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que un peatón se atravesó la avenida cuando su semáforo estaba en rojo ocasionando el escenario para el accidente</w:t>
            </w:r>
            <w:r w:rsidRPr="00E229D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 de lo que se extrae que el hecho lo causa un tercero, y que existe prueba documental que da indicio de ello. En relación a la p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ó</w:t>
            </w:r>
            <w:r w:rsidRPr="00E229D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liza, la misma presta cobertura temporal y material, pues ampara la responsabilidad civil extracontractual del asegurado en donde se encuentra</w:t>
            </w:r>
            <w:r w:rsidR="0043422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n</w:t>
            </w:r>
            <w:r w:rsidRPr="00E229D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incluida</w:t>
            </w:r>
            <w:r w:rsidR="0043422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</w:t>
            </w:r>
            <w:r w:rsidRPr="00E229D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la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</w:t>
            </w:r>
            <w:r w:rsidRPr="00E229D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lesiones</w:t>
            </w:r>
            <w:r w:rsidRPr="00E229D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</w:t>
            </w:r>
            <w:r w:rsidRPr="00E229D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terceros, p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or</w:t>
            </w:r>
            <w:r w:rsidRPr="00E229D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su parte la cobertura temporal se presenta debido a que se trata de una p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ó</w:t>
            </w:r>
            <w:r w:rsidRPr="00E229D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liza cuya modalidad es de ocurrencia y tenemos del caso que el hecho ocurrió el </w:t>
            </w:r>
            <w:r w:rsidR="00391E4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3</w:t>
            </w:r>
            <w:r w:rsidRPr="00E229D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de </w:t>
            </w:r>
            <w:r w:rsidR="00391E4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febrero</w:t>
            </w:r>
            <w:r w:rsidRPr="00E229D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de 202</w:t>
            </w:r>
            <w:r w:rsidR="00391E4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  <w:r w:rsidRPr="00E229D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y la vigencia de la póliza se pact</w:t>
            </w:r>
            <w:r w:rsidR="00391E4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ó</w:t>
            </w:r>
            <w:r w:rsidRPr="00E229D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entre el </w:t>
            </w:r>
            <w:r w:rsidR="00391E4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29</w:t>
            </w:r>
            <w:r w:rsidRPr="00E229D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de </w:t>
            </w:r>
            <w:r w:rsidR="00391E4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mayo</w:t>
            </w:r>
            <w:r w:rsidRPr="00E229D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de 20</w:t>
            </w:r>
            <w:r w:rsidR="00391E4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19 </w:t>
            </w:r>
            <w:r w:rsidRPr="00E229D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y el </w:t>
            </w:r>
            <w:r w:rsidR="00391E4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23</w:t>
            </w:r>
            <w:r w:rsidRPr="00E229D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de </w:t>
            </w:r>
            <w:r w:rsidR="00391E4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abril</w:t>
            </w:r>
            <w:r w:rsidRPr="00E229D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de 202</w:t>
            </w:r>
            <w:r w:rsidR="00391E4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</w:t>
            </w:r>
            <w:r w:rsidRPr="00E229D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 por lo tanto el hecho ocurrió dentro de la vigencia de la p</w:t>
            </w:r>
            <w:r w:rsidR="00391E4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ó</w:t>
            </w:r>
            <w:r w:rsidRPr="00E229D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liza. De todo lo anterior se extrae que en el caso se presenta determinante la existencia de la hipótesis del IPAT que señala a un tercero del causante del accidente, motivo por el </w:t>
            </w:r>
            <w:r w:rsidR="00391E4F" w:rsidRPr="00E229D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cual,</w:t>
            </w:r>
            <w:r w:rsidRPr="00E229D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a pesar de la cobertura </w:t>
            </w:r>
            <w:r w:rsidR="00391E4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material y temporal </w:t>
            </w:r>
            <w:r w:rsidRPr="00E229D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de la p</w:t>
            </w:r>
            <w:r w:rsidR="00391E4F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ó</w:t>
            </w:r>
            <w:r w:rsidRPr="00E229D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liza, se califica remota la contingencia.</w:t>
            </w:r>
            <w:r w:rsidR="0043422B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Lo anterior, sin perjuicio del carácter contingente del proceso. </w:t>
            </w:r>
          </w:p>
        </w:tc>
      </w:tr>
      <w:tr w:rsidR="00C3016C" w:rsidRPr="00EB141E" w14:paraId="73F5D798" w14:textId="77777777" w:rsidTr="3452EF96">
        <w:tc>
          <w:tcPr>
            <w:tcW w:w="2518" w:type="dxa"/>
            <w:shd w:val="clear" w:color="auto" w:fill="D9D9D9" w:themeFill="background1" w:themeFillShade="D9"/>
          </w:tcPr>
          <w:p w14:paraId="3ADB1516" w14:textId="77777777" w:rsidR="00C3016C" w:rsidRPr="00EB141E" w:rsidRDefault="00C3016C" w:rsidP="00C359F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EB141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Excepciones propuestas:</w:t>
            </w:r>
          </w:p>
        </w:tc>
        <w:tc>
          <w:tcPr>
            <w:tcW w:w="7465" w:type="dxa"/>
          </w:tcPr>
          <w:p w14:paraId="4D3A33E3" w14:textId="7CE0F5B3" w:rsidR="00134DC6" w:rsidRPr="00134DC6" w:rsidRDefault="00134DC6" w:rsidP="00134DC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Frente a la demanda:</w:t>
            </w:r>
          </w:p>
          <w:p w14:paraId="68C80DCE" w14:textId="220FA503" w:rsidR="00134DC6" w:rsidRPr="00134DC6" w:rsidRDefault="00134DC6" w:rsidP="00134DC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134DC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HECHO EXCLUSIVO Y DETERMINANTE DE UN TERCERO COMO CAUSAL EXIMENTE</w:t>
            </w:r>
          </w:p>
          <w:p w14:paraId="418F44BD" w14:textId="5DC68CB9" w:rsidR="00134DC6" w:rsidRDefault="00134DC6" w:rsidP="00134DC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134DC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DE RESPONSABILIDAD</w:t>
            </w:r>
          </w:p>
          <w:p w14:paraId="6A4362D0" w14:textId="10485270" w:rsidR="00134DC6" w:rsidRDefault="00134DC6" w:rsidP="00134DC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134DC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INEXISTENCIA DE FALLA EN LA PRESTACIÓN DEL SERVICIO</w:t>
            </w:r>
          </w:p>
          <w:p w14:paraId="3926E9F5" w14:textId="77777777" w:rsidR="00134DC6" w:rsidRDefault="00134DC6" w:rsidP="00134DC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134DC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INEXISTENCIA DE RESPONSABILIDAD POR FALTA DE ACREDITACIÓN DEL NEXO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134DC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CAUSAL ENTRE EL ACTUAR DEL DISTRITO DE SANTIAGO DE CALI Y EL DAÑO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134DC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CAUSADO</w:t>
            </w:r>
          </w:p>
          <w:p w14:paraId="7B8B0C01" w14:textId="77777777" w:rsidR="00134DC6" w:rsidRDefault="00134DC6" w:rsidP="00134DC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134DC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CONCURRENCIA DE CULPAS</w:t>
            </w:r>
          </w:p>
          <w:p w14:paraId="571245E1" w14:textId="77777777" w:rsidR="00134DC6" w:rsidRDefault="00134DC6" w:rsidP="00134DC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134DC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FALTA DE ACREDITACIÓN PROBATORIA DE LOS PERJUICIOS Y EXAGERADA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134DC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TASACIÓN DE ESTOS</w:t>
            </w:r>
          </w:p>
          <w:p w14:paraId="0E20DFAE" w14:textId="77777777" w:rsidR="00134DC6" w:rsidRDefault="00134DC6" w:rsidP="00134DC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61F35A52" w14:textId="77777777" w:rsidR="00134DC6" w:rsidRDefault="00134DC6" w:rsidP="00134DC6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Frente al llamamiento en garantía:</w:t>
            </w:r>
          </w:p>
          <w:p w14:paraId="1F30E2F9" w14:textId="7A33FA80" w:rsidR="00134DC6" w:rsidRDefault="00134DC6" w:rsidP="00134DC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134DC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INEXISTENCIA DE LA OBLIGACIÓN INDEMNIZATORIA A CARGO DE LA COMPAÑÍA ASEGURADORA AL NO REALIZARSE EL RIESGO ASEGURADO EN LA PÓLIZA</w:t>
            </w:r>
          </w:p>
          <w:p w14:paraId="0EB4951E" w14:textId="726B733D" w:rsidR="00134DC6" w:rsidRDefault="00134DC6" w:rsidP="00134DC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134DC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LA EVENTUAL OBLIGACIÓN DE LA COMPAÑÍA ASEGURADORA NO PUEDE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134DC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EXCEDER EL LÍMITE DEL VALOR ASEGURADO EN LA PÓLIZA</w:t>
            </w:r>
          </w:p>
          <w:p w14:paraId="388556E0" w14:textId="77777777" w:rsidR="00134DC6" w:rsidRDefault="00134DC6" w:rsidP="00134DC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134DC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LA RESPONSABILIDAD DE LA ASEGURADORA SE CIRCUNSCRIBE AL PORCENTAJE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134DC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DE PARTICIPACIÓN CONFORME AL COASEGURO PACTADO - INEXISTENCIA DE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134DC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SOLIDARIDAD</w:t>
            </w:r>
          </w:p>
          <w:p w14:paraId="7798CEBA" w14:textId="77777777" w:rsidR="00134DC6" w:rsidRDefault="00134DC6" w:rsidP="00134DC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134DC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LAS EXCLUSIONES DE AMPARO CONCERTADAS EN LA PÓLIZA DE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134DC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RESPONSABILIDAD CIVIL EXTRACONTRACTUAL No. 420-80-994000000109</w:t>
            </w:r>
          </w:p>
          <w:p w14:paraId="42C947F7" w14:textId="77777777" w:rsidR="00134DC6" w:rsidRDefault="00134DC6" w:rsidP="00134DC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134DC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DISPONIBILIDAD DEL VALOR ASEGURADO</w:t>
            </w:r>
          </w:p>
          <w:p w14:paraId="73AC0325" w14:textId="77777777" w:rsidR="00134DC6" w:rsidRDefault="00134DC6" w:rsidP="00134DC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134DC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CARÁCTER MERAMENTE INDEMNIZATORIO DE LOS CONTRATOS DE SEGUROS</w:t>
            </w:r>
          </w:p>
          <w:p w14:paraId="460BAD2D" w14:textId="77777777" w:rsidR="00134DC6" w:rsidRDefault="00134DC6" w:rsidP="00134DC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134DC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PAGO POR REEMBOLSO</w:t>
            </w:r>
          </w:p>
          <w:p w14:paraId="0E3F29A4" w14:textId="77777777" w:rsidR="00134DC6" w:rsidRDefault="00134DC6" w:rsidP="00134DC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134DC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lastRenderedPageBreak/>
              <w:t>AUSENCIA DE SOLIDARIDAD ENTRE MI MANDANTE Y EL DISTRITO ESPECIAL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 w:rsidRPr="00134DC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DE SANTIAGO DE CALI</w:t>
            </w:r>
          </w:p>
          <w:p w14:paraId="01C4BF91" w14:textId="2C9DEAAD" w:rsidR="00134DC6" w:rsidRPr="00134DC6" w:rsidRDefault="00134DC6" w:rsidP="00134DC6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134DC6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GENÉRICA O INNOMINADA</w:t>
            </w:r>
          </w:p>
        </w:tc>
      </w:tr>
      <w:tr w:rsidR="00C3016C" w:rsidRPr="00EB141E" w14:paraId="7B9E12F7" w14:textId="77777777" w:rsidTr="3452EF96">
        <w:tc>
          <w:tcPr>
            <w:tcW w:w="2518" w:type="dxa"/>
            <w:shd w:val="clear" w:color="auto" w:fill="D9D9D9" w:themeFill="background1" w:themeFillShade="D9"/>
          </w:tcPr>
          <w:p w14:paraId="395CCBB9" w14:textId="77777777" w:rsidR="00C3016C" w:rsidRPr="00EB141E" w:rsidRDefault="00C3016C" w:rsidP="00C359F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EB141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lastRenderedPageBreak/>
              <w:t>Concepto del abogado sobre la posibilidad de conciliar el caso y valor de una propuesta conciliatoria:</w:t>
            </w:r>
          </w:p>
        </w:tc>
        <w:tc>
          <w:tcPr>
            <w:tcW w:w="7465" w:type="dxa"/>
          </w:tcPr>
          <w:p w14:paraId="3800392C" w14:textId="41C054A5" w:rsidR="00C3016C" w:rsidRPr="00EB141E" w:rsidRDefault="00134DC6" w:rsidP="00C359F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Teniendo en cuenta la configuración de un eximente de responsabilidad a favor de la entidad demandada, como es el hecho determinante de un tercero, consideramos oportuno en esta etapa del proceso, no presentar formula conciliatoria</w:t>
            </w:r>
            <w:r w:rsidR="002E39A2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.</w:t>
            </w:r>
          </w:p>
        </w:tc>
      </w:tr>
      <w:tr w:rsidR="00C3016C" w:rsidRPr="00EB141E" w14:paraId="4885AFEF" w14:textId="77777777" w:rsidTr="3452EF96">
        <w:tc>
          <w:tcPr>
            <w:tcW w:w="2518" w:type="dxa"/>
            <w:shd w:val="clear" w:color="auto" w:fill="D9D9D9" w:themeFill="background1" w:themeFillShade="D9"/>
          </w:tcPr>
          <w:p w14:paraId="7A4A8098" w14:textId="77777777" w:rsidR="00C3016C" w:rsidRPr="00EB141E" w:rsidRDefault="00C3016C" w:rsidP="00C359F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EB141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Fecha de asignación del caso</w:t>
            </w:r>
          </w:p>
        </w:tc>
        <w:tc>
          <w:tcPr>
            <w:tcW w:w="7465" w:type="dxa"/>
          </w:tcPr>
          <w:p w14:paraId="17343298" w14:textId="44DEE33C" w:rsidR="00C3016C" w:rsidRPr="00EB141E" w:rsidRDefault="00E61F64" w:rsidP="00C359F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16 de octubre de 2024</w:t>
            </w:r>
          </w:p>
        </w:tc>
      </w:tr>
      <w:tr w:rsidR="00C3016C" w:rsidRPr="00EB141E" w14:paraId="2EE1817E" w14:textId="77777777" w:rsidTr="3452EF96">
        <w:tc>
          <w:tcPr>
            <w:tcW w:w="2518" w:type="dxa"/>
            <w:shd w:val="clear" w:color="auto" w:fill="D9D9D9" w:themeFill="background1" w:themeFillShade="D9"/>
          </w:tcPr>
          <w:p w14:paraId="4BBB3EF0" w14:textId="48FAB88E" w:rsidR="00C3016C" w:rsidRPr="00EB141E" w:rsidRDefault="00C3016C" w:rsidP="01B774E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s-ES"/>
              </w:rPr>
            </w:pPr>
            <w:r w:rsidRPr="01B774E0">
              <w:rPr>
                <w:rFonts w:asciiTheme="minorHAnsi" w:hAnsiTheme="minorHAnsi" w:cstheme="minorBidi"/>
                <w:b/>
                <w:bCs/>
                <w:sz w:val="20"/>
                <w:szCs w:val="20"/>
                <w:lang w:val="es-ES"/>
              </w:rPr>
              <w:t xml:space="preserve">Fecha de admisión de la vinculación de </w:t>
            </w:r>
            <w:r w:rsidR="1D5C43AD" w:rsidRPr="01B774E0">
              <w:rPr>
                <w:rFonts w:asciiTheme="minorHAnsi" w:hAnsiTheme="minorHAnsi" w:cstheme="minorBidi"/>
                <w:b/>
                <w:bCs/>
                <w:sz w:val="20"/>
                <w:szCs w:val="20"/>
                <w:lang w:val="es-ES"/>
              </w:rPr>
              <w:t>HDI</w:t>
            </w:r>
          </w:p>
        </w:tc>
        <w:tc>
          <w:tcPr>
            <w:tcW w:w="7465" w:type="dxa"/>
          </w:tcPr>
          <w:p w14:paraId="696A523B" w14:textId="5866FAF7" w:rsidR="00C3016C" w:rsidRPr="00EB141E" w:rsidRDefault="00E61F64" w:rsidP="00C359F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06 de septiembre de 2024</w:t>
            </w:r>
          </w:p>
        </w:tc>
      </w:tr>
      <w:tr w:rsidR="00C3016C" w:rsidRPr="00EB141E" w14:paraId="5D5354CC" w14:textId="77777777" w:rsidTr="3452EF96">
        <w:tc>
          <w:tcPr>
            <w:tcW w:w="2518" w:type="dxa"/>
            <w:shd w:val="clear" w:color="auto" w:fill="D9D9D9" w:themeFill="background1" w:themeFillShade="D9"/>
          </w:tcPr>
          <w:p w14:paraId="1C31935F" w14:textId="699D1516" w:rsidR="00C3016C" w:rsidRPr="00EB141E" w:rsidRDefault="00C3016C" w:rsidP="01B774E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  <w:lang w:val="es-ES"/>
              </w:rPr>
            </w:pPr>
            <w:r w:rsidRPr="01B774E0">
              <w:rPr>
                <w:rFonts w:asciiTheme="minorHAnsi" w:hAnsiTheme="minorHAnsi" w:cstheme="minorBidi"/>
                <w:b/>
                <w:bCs/>
                <w:sz w:val="20"/>
                <w:szCs w:val="20"/>
                <w:lang w:val="es-ES"/>
              </w:rPr>
              <w:t xml:space="preserve">Fecha de notificación de la vinculación a </w:t>
            </w:r>
            <w:r w:rsidR="3C4442AC" w:rsidRPr="01B774E0">
              <w:rPr>
                <w:rFonts w:asciiTheme="minorHAnsi" w:hAnsiTheme="minorHAnsi" w:cstheme="minorBidi"/>
                <w:b/>
                <w:bCs/>
                <w:sz w:val="20"/>
                <w:szCs w:val="20"/>
                <w:lang w:val="es-ES"/>
              </w:rPr>
              <w:t>HDI</w:t>
            </w:r>
          </w:p>
        </w:tc>
        <w:tc>
          <w:tcPr>
            <w:tcW w:w="7465" w:type="dxa"/>
          </w:tcPr>
          <w:p w14:paraId="34EF59C3" w14:textId="4BE8D68C" w:rsidR="00C3016C" w:rsidRPr="00EB141E" w:rsidRDefault="00E61F64" w:rsidP="00C359F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09 de septiembre de 2024</w:t>
            </w:r>
          </w:p>
        </w:tc>
      </w:tr>
      <w:tr w:rsidR="00C3016C" w:rsidRPr="00EB141E" w14:paraId="2F193EE7" w14:textId="77777777" w:rsidTr="3452EF96">
        <w:tc>
          <w:tcPr>
            <w:tcW w:w="2518" w:type="dxa"/>
            <w:shd w:val="clear" w:color="auto" w:fill="D9D9D9" w:themeFill="background1" w:themeFillShade="D9"/>
          </w:tcPr>
          <w:p w14:paraId="60E8F079" w14:textId="77777777" w:rsidR="00C3016C" w:rsidRPr="00EB141E" w:rsidRDefault="00C3016C" w:rsidP="00C359FA">
            <w:pPr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</w:pPr>
            <w:r w:rsidRPr="00EB141E">
              <w:rPr>
                <w:rFonts w:asciiTheme="minorHAnsi" w:hAnsiTheme="minorHAnsi" w:cstheme="minorHAnsi"/>
                <w:b/>
                <w:sz w:val="20"/>
                <w:szCs w:val="20"/>
                <w:lang w:val="es-ES_tradnl"/>
              </w:rPr>
              <w:t>Fecha de contestación del caso</w:t>
            </w:r>
          </w:p>
        </w:tc>
        <w:tc>
          <w:tcPr>
            <w:tcW w:w="7465" w:type="dxa"/>
          </w:tcPr>
          <w:p w14:paraId="635E2E0B" w14:textId="08FA5942" w:rsidR="00C3016C" w:rsidRPr="00EB141E" w:rsidRDefault="00E61F64" w:rsidP="00C359FA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02 de octubre de 2024</w:t>
            </w:r>
          </w:p>
        </w:tc>
      </w:tr>
    </w:tbl>
    <w:p w14:paraId="6550DCAA" w14:textId="7A482D36" w:rsidR="00C3016C" w:rsidRPr="00EB141E" w:rsidRDefault="00C3016C" w:rsidP="01B774E0">
      <w:pPr>
        <w:spacing w:after="160" w:line="259" w:lineRule="auto"/>
        <w:jc w:val="both"/>
        <w:rPr>
          <w:rFonts w:asciiTheme="minorHAnsi" w:hAnsiTheme="minorHAnsi" w:cstheme="minorBidi"/>
          <w:sz w:val="20"/>
          <w:szCs w:val="20"/>
        </w:rPr>
      </w:pPr>
    </w:p>
    <w:sectPr w:rsidR="00C3016C" w:rsidRPr="00EB14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B1131"/>
    <w:multiLevelType w:val="hybridMultilevel"/>
    <w:tmpl w:val="0C685F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74A2E"/>
    <w:multiLevelType w:val="hybridMultilevel"/>
    <w:tmpl w:val="D206D2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6609E"/>
    <w:multiLevelType w:val="multilevel"/>
    <w:tmpl w:val="BF887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514FDB"/>
    <w:multiLevelType w:val="hybridMultilevel"/>
    <w:tmpl w:val="2A5EDC7E"/>
    <w:lvl w:ilvl="0" w:tplc="064A85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24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41337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21206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866972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16C"/>
    <w:rsid w:val="00134DC6"/>
    <w:rsid w:val="001932D5"/>
    <w:rsid w:val="00203F47"/>
    <w:rsid w:val="00262FFF"/>
    <w:rsid w:val="002E39A2"/>
    <w:rsid w:val="003639AE"/>
    <w:rsid w:val="00391E4F"/>
    <w:rsid w:val="003B399E"/>
    <w:rsid w:val="003F1C7E"/>
    <w:rsid w:val="003F5769"/>
    <w:rsid w:val="0040009F"/>
    <w:rsid w:val="0043422B"/>
    <w:rsid w:val="00532AB0"/>
    <w:rsid w:val="0055689E"/>
    <w:rsid w:val="005D7B82"/>
    <w:rsid w:val="00656A60"/>
    <w:rsid w:val="00891F78"/>
    <w:rsid w:val="009933ED"/>
    <w:rsid w:val="00A1464C"/>
    <w:rsid w:val="00AC0786"/>
    <w:rsid w:val="00B63900"/>
    <w:rsid w:val="00B904AB"/>
    <w:rsid w:val="00C3016C"/>
    <w:rsid w:val="00C35645"/>
    <w:rsid w:val="00D950D3"/>
    <w:rsid w:val="00DB3CCD"/>
    <w:rsid w:val="00DF0946"/>
    <w:rsid w:val="00E229D2"/>
    <w:rsid w:val="00E61F64"/>
    <w:rsid w:val="00E8173D"/>
    <w:rsid w:val="00F31A86"/>
    <w:rsid w:val="01B774E0"/>
    <w:rsid w:val="1D5C43AD"/>
    <w:rsid w:val="3452EF96"/>
    <w:rsid w:val="3C4442AC"/>
    <w:rsid w:val="76B58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8117D"/>
  <w15:chartTrackingRefBased/>
  <w15:docId w15:val="{91C82478-2B87-4CDF-BEA0-8F429874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9E"/>
    <w:pPr>
      <w:spacing w:after="0" w:line="240" w:lineRule="auto"/>
    </w:pPr>
    <w:rPr>
      <w:rFonts w:ascii="Calibri" w:hAnsi="Calibri" w:cs="Calibri"/>
      <w:kern w:val="0"/>
      <w:lang w:eastAsia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3016C"/>
    <w:rPr>
      <w:b/>
      <w:bCs/>
    </w:rPr>
  </w:style>
  <w:style w:type="character" w:styleId="nfasis">
    <w:name w:val="Emphasis"/>
    <w:basedOn w:val="Fuentedeprrafopredeter"/>
    <w:uiPriority w:val="20"/>
    <w:qFormat/>
    <w:rsid w:val="00C3016C"/>
    <w:rPr>
      <w:i/>
      <w:iCs/>
    </w:rPr>
  </w:style>
  <w:style w:type="paragraph" w:styleId="Prrafodelista">
    <w:name w:val="List Paragraph"/>
    <w:basedOn w:val="Normal"/>
    <w:uiPriority w:val="34"/>
    <w:qFormat/>
    <w:rsid w:val="00C3016C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C3016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532A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32AB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32AB0"/>
    <w:rPr>
      <w:rFonts w:ascii="Calibri" w:hAnsi="Calibri" w:cs="Calibri"/>
      <w:kern w:val="0"/>
      <w:sz w:val="20"/>
      <w:szCs w:val="20"/>
      <w:lang w:eastAsia="es-CO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2A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2AB0"/>
    <w:rPr>
      <w:rFonts w:ascii="Calibri" w:hAnsi="Calibri" w:cs="Calibri"/>
      <w:b/>
      <w:bCs/>
      <w:kern w:val="0"/>
      <w:sz w:val="20"/>
      <w:szCs w:val="20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2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d3d6e7-89cb-4750-b948-5e984f176bb6" xsi:nil="true"/>
    <lcf76f155ced4ddcb4097134ff3c332f xmlns="4382931b-6036-484b-ad41-6810b26eb98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92A54D8AB3014FADD0201C99992F62" ma:contentTypeVersion="15" ma:contentTypeDescription="Crear nuevo documento." ma:contentTypeScope="" ma:versionID="921a0aa7d8c8617b2721df5c5c57a593">
  <xsd:schema xmlns:xsd="http://www.w3.org/2001/XMLSchema" xmlns:xs="http://www.w3.org/2001/XMLSchema" xmlns:p="http://schemas.microsoft.com/office/2006/metadata/properties" xmlns:ns2="4382931b-6036-484b-ad41-6810b26eb986" xmlns:ns3="e7d3d6e7-89cb-4750-b948-5e984f176bb6" targetNamespace="http://schemas.microsoft.com/office/2006/metadata/properties" ma:root="true" ma:fieldsID="818c9feefa8ae38270db774d4535f1af" ns2:_="" ns3:_="">
    <xsd:import namespace="4382931b-6036-484b-ad41-6810b26eb986"/>
    <xsd:import namespace="e7d3d6e7-89cb-4750-b948-5e984f176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82931b-6036-484b-ad41-6810b26eb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7ba65c96-85f3-4050-bcb1-c5e898dfc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3d6e7-89cb-4750-b948-5e984f176bb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dfa8756-8f0c-4e49-8bb0-7f65aba9cf84}" ma:internalName="TaxCatchAll" ma:showField="CatchAllData" ma:web="e7d3d6e7-89cb-4750-b948-5e984f176b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56D0E5-F1B0-4C4B-BAFD-ED8BD82B5AF6}">
  <ds:schemaRefs>
    <ds:schemaRef ds:uri="http://schemas.microsoft.com/office/2006/metadata/properties"/>
    <ds:schemaRef ds:uri="http://schemas.microsoft.com/office/infopath/2007/PartnerControls"/>
    <ds:schemaRef ds:uri="e7d3d6e7-89cb-4750-b948-5e984f176bb6"/>
    <ds:schemaRef ds:uri="4382931b-6036-484b-ad41-6810b26eb986"/>
  </ds:schemaRefs>
</ds:datastoreItem>
</file>

<file path=customXml/itemProps2.xml><?xml version="1.0" encoding="utf-8"?>
<ds:datastoreItem xmlns:ds="http://schemas.openxmlformats.org/officeDocument/2006/customXml" ds:itemID="{15FE3974-9AC8-4D29-8935-4A887F1F4F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6DEFD4-D167-484B-8EB4-BD721508B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82931b-6036-484b-ad41-6810b26eb986"/>
    <ds:schemaRef ds:uri="e7d3d6e7-89cb-4750-b948-5e984f176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1060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Liberty Mutual</Company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DAVID</dc:creator>
  <cp:keywords/>
  <dc:description/>
  <cp:lastModifiedBy>Javier Rivera Agredo</cp:lastModifiedBy>
  <cp:revision>6</cp:revision>
  <dcterms:created xsi:type="dcterms:W3CDTF">2024-10-04T15:34:00Z</dcterms:created>
  <dcterms:modified xsi:type="dcterms:W3CDTF">2024-10-04T19:22:00Z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c67084c-8a81-449f-bca2-f89308e24664_Enabled">
    <vt:lpwstr>true</vt:lpwstr>
  </property>
  <property fmtid="{D5CDD505-2E9C-101B-9397-08002B2CF9AE}" pid="3" name="MSIP_Label_cc67084c-8a81-449f-bca2-f89308e24664_SetDate">
    <vt:lpwstr>2024-01-23T17:12:53Z</vt:lpwstr>
  </property>
  <property fmtid="{D5CDD505-2E9C-101B-9397-08002B2CF9AE}" pid="4" name="MSIP_Label_cc67084c-8a81-449f-bca2-f89308e24664_Method">
    <vt:lpwstr>Standard</vt:lpwstr>
  </property>
  <property fmtid="{D5CDD505-2E9C-101B-9397-08002B2CF9AE}" pid="5" name="MSIP_Label_cc67084c-8a81-449f-bca2-f89308e24664_Name">
    <vt:lpwstr>Restricted - Labeled by Automation</vt:lpwstr>
  </property>
  <property fmtid="{D5CDD505-2E9C-101B-9397-08002B2CF9AE}" pid="6" name="MSIP_Label_cc67084c-8a81-449f-bca2-f89308e24664_SiteId">
    <vt:lpwstr>08a83339-90e7-49bf-9075-957ccd561bf1</vt:lpwstr>
  </property>
  <property fmtid="{D5CDD505-2E9C-101B-9397-08002B2CF9AE}" pid="7" name="MSIP_Label_cc67084c-8a81-449f-bca2-f89308e24664_ActionId">
    <vt:lpwstr>90c0c75f-1eca-49c4-ac7b-34e35c662a49</vt:lpwstr>
  </property>
  <property fmtid="{D5CDD505-2E9C-101B-9397-08002B2CF9AE}" pid="8" name="MSIP_Label_cc67084c-8a81-449f-bca2-f89308e24664_ContentBits">
    <vt:lpwstr>0</vt:lpwstr>
  </property>
  <property fmtid="{D5CDD505-2E9C-101B-9397-08002B2CF9AE}" pid="9" name="ContentTypeId">
    <vt:lpwstr>0x0101002C92A54D8AB3014FADD0201C99992F62</vt:lpwstr>
  </property>
  <property fmtid="{D5CDD505-2E9C-101B-9397-08002B2CF9AE}" pid="10" name="MediaServiceImageTags">
    <vt:lpwstr/>
  </property>
</Properties>
</file>