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614" w14:textId="05E1423C" w:rsidR="004551BE" w:rsidRPr="004551BE" w:rsidRDefault="004551BE" w:rsidP="00B851F2">
      <w:pPr>
        <w:spacing w:line="360" w:lineRule="auto"/>
        <w:rPr>
          <w:rFonts w:ascii="Arial" w:eastAsia="Arial" w:hAnsi="Arial" w:cs="Arial"/>
          <w:color w:val="000000" w:themeColor="text1"/>
        </w:rPr>
      </w:pPr>
      <w:r w:rsidRPr="004551BE">
        <w:rPr>
          <w:rFonts w:ascii="Arial" w:eastAsia="Arial" w:hAnsi="Arial" w:cs="Arial"/>
          <w:color w:val="000000" w:themeColor="text1"/>
        </w:rPr>
        <w:t>Doctor</w:t>
      </w:r>
      <w:r w:rsidRPr="004551BE">
        <w:rPr>
          <w:rFonts w:ascii="Arial" w:hAnsi="Arial" w:cs="Arial"/>
        </w:rPr>
        <w:br/>
      </w:r>
      <w:r w:rsidR="00CE2B37" w:rsidRPr="00CE2B37">
        <w:rPr>
          <w:rFonts w:ascii="Arial" w:eastAsia="Arial" w:hAnsi="Arial" w:cs="Arial"/>
          <w:b/>
          <w:bCs/>
          <w:color w:val="000000" w:themeColor="text1"/>
        </w:rPr>
        <w:t>PABLO JOSÉ CAICEDO GIL</w:t>
      </w:r>
      <w:r w:rsidRPr="004551BE">
        <w:rPr>
          <w:rFonts w:ascii="Arial" w:hAnsi="Arial" w:cs="Arial"/>
        </w:rPr>
        <w:br/>
      </w:r>
      <w:r w:rsidRPr="004551BE">
        <w:rPr>
          <w:rFonts w:ascii="Arial" w:eastAsia="Arial" w:hAnsi="Arial" w:cs="Arial"/>
          <w:b/>
          <w:bCs/>
          <w:color w:val="000000" w:themeColor="text1"/>
        </w:rPr>
        <w:t xml:space="preserve">JUZGADO </w:t>
      </w:r>
      <w:r w:rsidR="00CE2B37">
        <w:rPr>
          <w:rFonts w:ascii="Arial" w:eastAsia="Arial" w:hAnsi="Arial" w:cs="Arial"/>
          <w:b/>
          <w:bCs/>
          <w:color w:val="000000" w:themeColor="text1"/>
        </w:rPr>
        <w:t xml:space="preserve">DIECISIETE </w:t>
      </w:r>
      <w:r w:rsidRPr="004551BE">
        <w:rPr>
          <w:rFonts w:ascii="Arial" w:eastAsia="Arial" w:hAnsi="Arial" w:cs="Arial"/>
          <w:b/>
          <w:bCs/>
          <w:color w:val="000000" w:themeColor="text1"/>
        </w:rPr>
        <w:t>ADMINISTRATIVO DEL CIRCUITO DE CALI</w:t>
      </w:r>
      <w:r w:rsidRPr="004551BE">
        <w:rPr>
          <w:rFonts w:ascii="Arial" w:hAnsi="Arial" w:cs="Arial"/>
        </w:rPr>
        <w:br/>
      </w:r>
      <w:hyperlink r:id="rId8" w:history="1">
        <w:r w:rsidR="00D9070C" w:rsidRPr="00F15A4F">
          <w:rPr>
            <w:rStyle w:val="Hipervnculo"/>
            <w:rFonts w:ascii="Arial" w:eastAsia="Arial" w:hAnsi="Arial" w:cs="Arial"/>
            <w:lang w:val="es-MX"/>
          </w:rPr>
          <w:t>of02admcali@cendoj.ramajudicial.gov.co</w:t>
        </w:r>
      </w:hyperlink>
      <w:r w:rsidR="00D9070C">
        <w:rPr>
          <w:rFonts w:ascii="Arial" w:eastAsia="Arial" w:hAnsi="Arial" w:cs="Arial"/>
          <w:color w:val="000000" w:themeColor="text1"/>
          <w:lang w:val="es-MX"/>
        </w:rPr>
        <w:t xml:space="preserve"> </w:t>
      </w:r>
    </w:p>
    <w:p w14:paraId="02408828" w14:textId="77777777" w:rsidR="004551BE" w:rsidRPr="004551BE" w:rsidRDefault="004551BE" w:rsidP="00B851F2">
      <w:pPr>
        <w:spacing w:line="360" w:lineRule="auto"/>
        <w:rPr>
          <w:rFonts w:ascii="Arial" w:eastAsia="Arial" w:hAnsi="Arial" w:cs="Arial"/>
          <w:color w:val="000000" w:themeColor="text1"/>
        </w:rPr>
      </w:pPr>
    </w:p>
    <w:p w14:paraId="28336801" w14:textId="79AD92B4" w:rsidR="007E18DF" w:rsidRDefault="004551BE" w:rsidP="00B851F2">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CONTESTACIÓN DE LA DEMANDA</w:t>
      </w:r>
      <w:r w:rsidRPr="004551BE">
        <w:rPr>
          <w:rFonts w:ascii="Arial" w:hAnsi="Arial" w:cs="Arial"/>
        </w:rPr>
        <w:br/>
      </w: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w:t>
      </w:r>
      <w:r w:rsidR="00D9070C">
        <w:rPr>
          <w:rFonts w:ascii="Arial" w:eastAsia="Arial" w:hAnsi="Arial" w:cs="Arial"/>
          <w:color w:val="000000" w:themeColor="text1"/>
        </w:rPr>
        <w:tab/>
      </w:r>
      <w:r w:rsidR="00D9070C">
        <w:rPr>
          <w:rFonts w:ascii="Arial" w:eastAsia="Arial" w:hAnsi="Arial" w:cs="Arial"/>
          <w:color w:val="000000" w:themeColor="text1"/>
        </w:rPr>
        <w:tab/>
      </w:r>
      <w:r w:rsidR="00D9070C">
        <w:rPr>
          <w:rFonts w:ascii="Arial" w:eastAsia="Arial" w:hAnsi="Arial" w:cs="Arial"/>
          <w:color w:val="000000" w:themeColor="text1"/>
        </w:rPr>
        <w:tab/>
        <w:t xml:space="preserve">   </w:t>
      </w:r>
      <w:r w:rsidRPr="004551BE">
        <w:rPr>
          <w:rFonts w:ascii="Arial" w:eastAsia="Arial" w:hAnsi="Arial" w:cs="Arial"/>
          <w:color w:val="000000" w:themeColor="text1"/>
        </w:rPr>
        <w:t>REPARACIÓN DIRECTA</w:t>
      </w:r>
      <w:r w:rsidRPr="004551BE">
        <w:rPr>
          <w:rFonts w:ascii="Arial" w:hAnsi="Arial" w:cs="Arial"/>
        </w:rPr>
        <w:br/>
      </w:r>
      <w:r w:rsidRPr="004551BE">
        <w:rPr>
          <w:rFonts w:ascii="Arial" w:eastAsia="Arial" w:hAnsi="Arial" w:cs="Arial"/>
          <w:b/>
          <w:bCs/>
          <w:color w:val="000000" w:themeColor="text1"/>
        </w:rPr>
        <w:t xml:space="preserve">RADICACIÓN: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086211" w:rsidRPr="00086211">
        <w:rPr>
          <w:rFonts w:ascii="Arial" w:eastAsia="Arial" w:hAnsi="Arial" w:cs="Arial"/>
          <w:color w:val="000000" w:themeColor="text1"/>
        </w:rPr>
        <w:t>76001-33-33-017-2022</w:t>
      </w:r>
      <w:r w:rsidR="00B851F2">
        <w:rPr>
          <w:rFonts w:ascii="Arial" w:eastAsia="Arial" w:hAnsi="Arial" w:cs="Arial"/>
          <w:color w:val="000000" w:themeColor="text1"/>
        </w:rPr>
        <w:t>-</w:t>
      </w:r>
      <w:r w:rsidR="00086211" w:rsidRPr="00086211">
        <w:rPr>
          <w:rFonts w:ascii="Arial" w:eastAsia="Arial" w:hAnsi="Arial" w:cs="Arial"/>
          <w:color w:val="000000" w:themeColor="text1"/>
        </w:rPr>
        <w:t>0091-00</w:t>
      </w:r>
      <w:r w:rsidRPr="004551BE">
        <w:rPr>
          <w:rFonts w:ascii="Arial" w:hAnsi="Arial" w:cs="Arial"/>
        </w:rPr>
        <w:br/>
      </w:r>
      <w:r w:rsidRPr="004551BE">
        <w:rPr>
          <w:rFonts w:ascii="Arial" w:eastAsia="Arial" w:hAnsi="Arial" w:cs="Arial"/>
          <w:b/>
          <w:bCs/>
          <w:color w:val="000000" w:themeColor="text1"/>
        </w:rPr>
        <w:t xml:space="preserve">DEMANDANTE: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7E18DF" w:rsidRPr="007E18DF">
        <w:rPr>
          <w:rFonts w:ascii="Arial" w:eastAsia="Arial" w:hAnsi="Arial" w:cs="Arial"/>
          <w:color w:val="000000" w:themeColor="text1"/>
        </w:rPr>
        <w:t>DAVID CAICEDO GARZON Y OTROS</w:t>
      </w:r>
      <w:r w:rsidRPr="004551BE">
        <w:rPr>
          <w:rFonts w:ascii="Arial" w:hAnsi="Arial" w:cs="Arial"/>
        </w:rPr>
        <w:br/>
      </w:r>
      <w:r w:rsidRPr="004551BE">
        <w:rPr>
          <w:rFonts w:ascii="Arial" w:eastAsia="Arial" w:hAnsi="Arial" w:cs="Arial"/>
          <w:b/>
          <w:bCs/>
          <w:color w:val="000000" w:themeColor="text1"/>
        </w:rPr>
        <w:t xml:space="preserve">DEMANDADO: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DISTRITO ESPECIAL DE SANTIAGO DE CALI</w:t>
      </w:r>
    </w:p>
    <w:p w14:paraId="00B426AD" w14:textId="4928335A" w:rsidR="004551BE" w:rsidRPr="004551BE" w:rsidRDefault="007E18DF" w:rsidP="00B851F2">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E01669">
        <w:rPr>
          <w:rFonts w:ascii="Arial" w:hAnsi="Arial" w:cs="Arial"/>
        </w:rPr>
        <w:t>HDI SEGUROS S.A.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11CB4BDE"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la</w:t>
      </w:r>
      <w:r w:rsidRPr="004551BE">
        <w:rPr>
          <w:rFonts w:ascii="Arial" w:eastAsia="Arial" w:hAnsi="Arial" w:cs="Arial"/>
          <w:color w:val="000000" w:themeColor="text1"/>
        </w:rPr>
        <w:t xml:space="preserve"> </w:t>
      </w:r>
      <w:r w:rsidR="00852F53" w:rsidRPr="00852F53">
        <w:rPr>
          <w:rFonts w:ascii="Arial" w:eastAsia="Arial" w:hAnsi="Arial" w:cs="Arial"/>
          <w:b/>
          <w:bCs/>
          <w:color w:val="000000" w:themeColor="text1"/>
        </w:rPr>
        <w:t>HDI SEGUROS S.A.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adjunto, encontrándome dentro del término legal, comedidamente procedo a </w:t>
      </w:r>
      <w:r w:rsidRPr="004551BE">
        <w:rPr>
          <w:rFonts w:ascii="Arial" w:eastAsia="Arial" w:hAnsi="Arial" w:cs="Arial"/>
          <w:b/>
          <w:bCs/>
          <w:color w:val="000000" w:themeColor="text1"/>
        </w:rPr>
        <w:t xml:space="preserve">CONTESTAR LA DEMANDA </w:t>
      </w:r>
      <w:r w:rsidRPr="004551BE">
        <w:rPr>
          <w:rFonts w:ascii="Arial" w:eastAsia="Arial" w:hAnsi="Arial" w:cs="Arial"/>
          <w:color w:val="000000" w:themeColor="text1"/>
        </w:rPr>
        <w:t xml:space="preserve">presentada por </w:t>
      </w:r>
      <w:r w:rsidR="00A9197B" w:rsidRPr="00A9197B">
        <w:rPr>
          <w:rFonts w:ascii="Arial" w:eastAsia="Arial" w:hAnsi="Arial" w:cs="Arial"/>
          <w:b/>
          <w:bCs/>
          <w:color w:val="000000" w:themeColor="text1"/>
        </w:rPr>
        <w:t>DAVID CAICEDO GARZON Y OTROS</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en contra de mi procurada, 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40253E6F" w:rsidR="004551BE" w:rsidRP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AA2698">
        <w:rPr>
          <w:rFonts w:ascii="Arial" w:eastAsia="Arial" w:hAnsi="Arial" w:cs="Arial"/>
          <w:color w:val="000000" w:themeColor="text1"/>
        </w:rPr>
        <w:t xml:space="preserve">233 </w:t>
      </w:r>
      <w:r w:rsidRPr="004551BE">
        <w:rPr>
          <w:rFonts w:ascii="Arial" w:eastAsia="Arial" w:hAnsi="Arial" w:cs="Arial"/>
          <w:color w:val="000000" w:themeColor="text1"/>
        </w:rPr>
        <w:t>del 1</w:t>
      </w:r>
      <w:r w:rsidR="00AA2698">
        <w:rPr>
          <w:rFonts w:ascii="Arial" w:eastAsia="Arial" w:hAnsi="Arial" w:cs="Arial"/>
          <w:color w:val="000000" w:themeColor="text1"/>
        </w:rPr>
        <w:t>7</w:t>
      </w:r>
      <w:r w:rsidRPr="004551BE">
        <w:rPr>
          <w:rFonts w:ascii="Arial" w:eastAsia="Arial" w:hAnsi="Arial" w:cs="Arial"/>
          <w:color w:val="000000" w:themeColor="text1"/>
        </w:rPr>
        <w:t xml:space="preserve"> de ju</w:t>
      </w:r>
      <w:r w:rsidR="00AA2698">
        <w:rPr>
          <w:rFonts w:ascii="Arial" w:eastAsia="Arial" w:hAnsi="Arial" w:cs="Arial"/>
          <w:color w:val="000000" w:themeColor="text1"/>
        </w:rPr>
        <w:t>n</w:t>
      </w:r>
      <w:r w:rsidRPr="004551BE">
        <w:rPr>
          <w:rFonts w:ascii="Arial" w:eastAsia="Arial" w:hAnsi="Arial" w:cs="Arial"/>
          <w:color w:val="000000" w:themeColor="text1"/>
        </w:rPr>
        <w:t>io de 202</w:t>
      </w:r>
      <w:r w:rsidR="00AA2698">
        <w:rPr>
          <w:rFonts w:ascii="Arial" w:eastAsia="Arial" w:hAnsi="Arial" w:cs="Arial"/>
          <w:color w:val="000000" w:themeColor="text1"/>
        </w:rPr>
        <w:t>2</w:t>
      </w:r>
      <w:r w:rsidRPr="004551BE">
        <w:rPr>
          <w:rFonts w:ascii="Arial" w:eastAsia="Arial" w:hAnsi="Arial" w:cs="Arial"/>
          <w:color w:val="000000" w:themeColor="text1"/>
        </w:rPr>
        <w:t xml:space="preserve"> resolvió admitir la demanda de reparación directa.</w:t>
      </w:r>
      <w:r w:rsidR="00AA2698">
        <w:rPr>
          <w:rFonts w:ascii="Arial" w:eastAsia="Arial" w:hAnsi="Arial" w:cs="Arial"/>
          <w:color w:val="000000" w:themeColor="text1"/>
        </w:rPr>
        <w:t xml:space="preserve"> </w:t>
      </w:r>
      <w:r w:rsidR="0084543D">
        <w:rPr>
          <w:rFonts w:ascii="Arial" w:eastAsia="Arial" w:hAnsi="Arial" w:cs="Arial"/>
          <w:color w:val="000000" w:themeColor="text1"/>
        </w:rPr>
        <w:t>Por su parte el llamamiento en garantía</w:t>
      </w:r>
      <w:r w:rsidR="00AA2698">
        <w:rPr>
          <w:rFonts w:ascii="Arial" w:eastAsia="Arial" w:hAnsi="Arial" w:cs="Arial"/>
          <w:color w:val="000000" w:themeColor="text1"/>
        </w:rPr>
        <w:t xml:space="preserve"> fue admitido por el despacho mediante auto 609 de 06 de septiembre de 2024</w:t>
      </w:r>
      <w:r w:rsidR="0075432A">
        <w:rPr>
          <w:rFonts w:ascii="Arial" w:eastAsia="Arial" w:hAnsi="Arial" w:cs="Arial"/>
          <w:color w:val="000000" w:themeColor="text1"/>
        </w:rPr>
        <w:t xml:space="preserve">, notificado por estado del 9 de septiembre de 2024 y personalmente el 16 de septiembre de 2024, </w:t>
      </w:r>
      <w:r w:rsidR="005D2F91">
        <w:rPr>
          <w:rFonts w:ascii="Arial" w:eastAsia="Arial" w:hAnsi="Arial" w:cs="Arial"/>
          <w:color w:val="000000" w:themeColor="text1"/>
        </w:rPr>
        <w:t>motivo por el que es correcto indicar que n</w:t>
      </w:r>
      <w:r w:rsidR="008F5EF2" w:rsidRPr="008F5EF2">
        <w:rPr>
          <w:rFonts w:ascii="Arial" w:eastAsia="Arial" w:hAnsi="Arial" w:cs="Arial"/>
          <w:color w:val="000000" w:themeColor="text1"/>
        </w:rPr>
        <w:t>os encontramos en término para contestar la demanda y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demanda y el escrito del llamamiento</w:t>
      </w:r>
      <w:r w:rsidR="008F5EF2" w:rsidRPr="008F5EF2">
        <w:rPr>
          <w:rFonts w:ascii="Arial" w:eastAsia="Arial" w:hAnsi="Arial" w:cs="Arial"/>
          <w:color w:val="000000" w:themeColor="text1"/>
        </w:rPr>
        <w:t>, término que se comienza a contabilizar a los dos</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(2) días hábiles siguientes a la remisión del correo electrónico</w:t>
      </w:r>
      <w:r w:rsidR="0075432A">
        <w:rPr>
          <w:rFonts w:ascii="Arial" w:eastAsia="Arial" w:hAnsi="Arial" w:cs="Arial"/>
          <w:color w:val="000000" w:themeColor="text1"/>
        </w:rPr>
        <w:t>, conforme lo dispuesto en los artículos 199 y 205 del CPACA</w:t>
      </w:r>
      <w:r w:rsidR="005D2F91">
        <w:rPr>
          <w:rStyle w:val="Refdenotaalpie"/>
          <w:rFonts w:ascii="Arial" w:eastAsia="Arial" w:hAnsi="Arial" w:cs="Arial"/>
          <w:color w:val="000000" w:themeColor="text1"/>
        </w:rPr>
        <w:footnoteReference w:id="1"/>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electrónica días </w:t>
      </w:r>
      <w:r w:rsidR="00763463">
        <w:rPr>
          <w:rFonts w:ascii="Arial" w:eastAsia="Arial" w:hAnsi="Arial" w:cs="Arial"/>
          <w:color w:val="000000" w:themeColor="text1"/>
        </w:rPr>
        <w:t>1</w:t>
      </w:r>
      <w:r w:rsidR="0075432A">
        <w:rPr>
          <w:rFonts w:ascii="Arial" w:eastAsia="Arial" w:hAnsi="Arial" w:cs="Arial"/>
          <w:color w:val="000000" w:themeColor="text1"/>
        </w:rPr>
        <w:t>7</w:t>
      </w:r>
      <w:r w:rsidR="008F5EF2" w:rsidRPr="008F5EF2">
        <w:rPr>
          <w:rFonts w:ascii="Arial" w:eastAsia="Arial" w:hAnsi="Arial" w:cs="Arial"/>
          <w:color w:val="000000" w:themeColor="text1"/>
        </w:rPr>
        <w:t xml:space="preserve"> y </w:t>
      </w:r>
      <w:r w:rsidR="00763463">
        <w:rPr>
          <w:rFonts w:ascii="Arial" w:eastAsia="Arial" w:hAnsi="Arial" w:cs="Arial"/>
          <w:color w:val="000000" w:themeColor="text1"/>
        </w:rPr>
        <w:t>1</w:t>
      </w:r>
      <w:r w:rsidR="0075432A">
        <w:rPr>
          <w:rFonts w:ascii="Arial" w:eastAsia="Arial" w:hAnsi="Arial" w:cs="Arial"/>
          <w:color w:val="000000" w:themeColor="text1"/>
        </w:rPr>
        <w:t>8</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w:t>
      </w:r>
      <w:proofErr w:type="spellStart"/>
      <w:r w:rsidR="008F5EF2" w:rsidRPr="008F5EF2">
        <w:rPr>
          <w:rFonts w:ascii="Arial" w:eastAsia="Arial" w:hAnsi="Arial" w:cs="Arial"/>
          <w:color w:val="000000" w:themeColor="text1"/>
        </w:rPr>
        <w:t>ii</w:t>
      </w:r>
      <w:proofErr w:type="spellEnd"/>
      <w:r w:rsidR="008F5EF2" w:rsidRPr="008F5EF2">
        <w:rPr>
          <w:rFonts w:ascii="Arial" w:eastAsia="Arial" w:hAnsi="Arial" w:cs="Arial"/>
          <w:color w:val="000000" w:themeColor="text1"/>
        </w:rPr>
        <w:t>)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763463">
        <w:rPr>
          <w:rFonts w:ascii="Arial" w:eastAsia="Arial" w:hAnsi="Arial" w:cs="Arial"/>
          <w:color w:val="000000" w:themeColor="text1"/>
        </w:rPr>
        <w:t>1</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finalizando el </w:t>
      </w:r>
      <w:r w:rsidR="00763463">
        <w:rPr>
          <w:rFonts w:ascii="Arial" w:eastAsia="Arial" w:hAnsi="Arial" w:cs="Arial"/>
          <w:color w:val="000000" w:themeColor="text1"/>
        </w:rPr>
        <w:t>0</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previsto.</w:t>
      </w:r>
    </w:p>
    <w:p w14:paraId="5EB3AB38" w14:textId="77777777"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II. CONTESTACIÓN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1800105" w14:textId="77777777" w:rsidR="004551BE" w:rsidRPr="003125FD" w:rsidRDefault="004551BE" w:rsidP="00B05737">
      <w:pPr>
        <w:pStyle w:val="Prrafodelista"/>
        <w:numPr>
          <w:ilvl w:val="0"/>
          <w:numId w:val="28"/>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 LA DEMANDA</w:t>
      </w:r>
    </w:p>
    <w:p w14:paraId="66BAA5D2" w14:textId="77777777" w:rsidR="0075432A" w:rsidRPr="004551BE" w:rsidRDefault="0075432A" w:rsidP="003125FD">
      <w:pPr>
        <w:pStyle w:val="Prrafodelista"/>
        <w:spacing w:after="160" w:line="360" w:lineRule="auto"/>
        <w:rPr>
          <w:rFonts w:ascii="Arial" w:eastAsia="Arial" w:hAnsi="Arial" w:cs="Arial"/>
          <w:b/>
          <w:bCs/>
          <w:color w:val="000000" w:themeColor="text1"/>
          <w:u w:val="single"/>
        </w:rPr>
      </w:pPr>
    </w:p>
    <w:p w14:paraId="16B3E2BA" w14:textId="37741EEA" w:rsidR="004551BE" w:rsidRDefault="004551BE" w:rsidP="0075432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Pr="004551BE">
        <w:rPr>
          <w:rFonts w:ascii="Arial" w:eastAsia="Arial" w:hAnsi="Arial" w:cs="Arial"/>
          <w:color w:val="000000" w:themeColor="text1"/>
        </w:rPr>
        <w:t xml:space="preserve">A mi procurada no le consta directa o indirectamente si el señor </w:t>
      </w:r>
      <w:r w:rsidR="00CF615D">
        <w:rPr>
          <w:rFonts w:ascii="Arial" w:eastAsia="Arial" w:hAnsi="Arial" w:cs="Arial"/>
          <w:color w:val="000000" w:themeColor="text1"/>
        </w:rPr>
        <w:t>David Caicedo Garzón</w:t>
      </w:r>
      <w:r w:rsidRPr="004551BE">
        <w:rPr>
          <w:rFonts w:ascii="Arial" w:eastAsia="Arial" w:hAnsi="Arial" w:cs="Arial"/>
          <w:color w:val="000000" w:themeColor="text1"/>
        </w:rPr>
        <w:t xml:space="preserve"> es hijo de </w:t>
      </w:r>
      <w:r w:rsidR="00CF615D">
        <w:rPr>
          <w:rFonts w:ascii="Arial" w:eastAsia="Arial" w:hAnsi="Arial" w:cs="Arial"/>
          <w:color w:val="000000" w:themeColor="text1"/>
        </w:rPr>
        <w:t>Sigifredo Caicedo Marmolejo y Adiela Garzón Grajales, así como tampoco que comparta su vida marital con Isabel Carolina Medina</w:t>
      </w:r>
      <w:r w:rsidRPr="004551BE">
        <w:rPr>
          <w:rFonts w:ascii="Arial" w:eastAsia="Arial" w:hAnsi="Arial" w:cs="Arial"/>
          <w:color w:val="000000" w:themeColor="text1"/>
        </w:rPr>
        <w:t xml:space="preserve">. </w:t>
      </w:r>
      <w:r w:rsidR="003125FD">
        <w:rPr>
          <w:rFonts w:ascii="Arial" w:eastAsia="Arial" w:hAnsi="Arial" w:cs="Arial"/>
          <w:color w:val="000000" w:themeColor="text1"/>
        </w:rPr>
        <w:t>Sin embargo, desde ya se debe anotar que</w:t>
      </w:r>
      <w:r w:rsidR="00CF615D">
        <w:rPr>
          <w:rFonts w:ascii="Arial" w:eastAsia="Arial" w:hAnsi="Arial" w:cs="Arial"/>
          <w:color w:val="000000" w:themeColor="text1"/>
        </w:rPr>
        <w:t xml:space="preserve"> no existe material probatorio alguno que evidencie la </w:t>
      </w:r>
      <w:r w:rsidR="00A45758">
        <w:rPr>
          <w:rFonts w:ascii="Arial" w:eastAsia="Arial" w:hAnsi="Arial" w:cs="Arial"/>
          <w:color w:val="000000" w:themeColor="text1"/>
        </w:rPr>
        <w:t>existencia de una unión marital de hecho entre la víctima y la señora Isabel Carolina Medina</w:t>
      </w:r>
      <w:r w:rsidR="0023213B">
        <w:rPr>
          <w:rFonts w:ascii="Arial" w:eastAsia="Arial" w:hAnsi="Arial" w:cs="Arial"/>
          <w:color w:val="000000" w:themeColor="text1"/>
        </w:rPr>
        <w:t xml:space="preserve">, pues no se aportó copia de escritura pública, sentencia judicial o acta de conciliación que declare dicha unión, aunado a que tampoco obra declaración alguna en ese sentido. </w:t>
      </w:r>
    </w:p>
    <w:p w14:paraId="39E93114" w14:textId="77777777" w:rsidR="004551BE" w:rsidRPr="004551BE" w:rsidRDefault="004551BE" w:rsidP="0075432A">
      <w:pPr>
        <w:spacing w:line="360" w:lineRule="auto"/>
        <w:jc w:val="both"/>
        <w:rPr>
          <w:rFonts w:ascii="Arial" w:eastAsia="Arial" w:hAnsi="Arial" w:cs="Arial"/>
          <w:color w:val="000000" w:themeColor="text1"/>
        </w:rPr>
      </w:pPr>
    </w:p>
    <w:p w14:paraId="35F22456" w14:textId="45CBD452" w:rsidR="00555AC2" w:rsidRDefault="00B851F2" w:rsidP="003125FD">
      <w:pPr>
        <w:spacing w:before="240" w:line="360" w:lineRule="auto"/>
        <w:jc w:val="both"/>
        <w:rPr>
          <w:color w:val="000000"/>
        </w:rPr>
      </w:pPr>
      <w:r w:rsidRPr="007D1C02">
        <w:rPr>
          <w:rFonts w:ascii="Arial" w:eastAsia="Arial" w:hAnsi="Arial" w:cs="Arial"/>
          <w:b/>
          <w:bCs/>
          <w:color w:val="000000" w:themeColor="text1"/>
        </w:rPr>
        <w:t>FRENTE AL HECHO SEGUNDO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si el señor conducía el vehículo mencionado, por la dirección indicada y en las condiciones referidas</w:t>
      </w:r>
      <w:r w:rsidRPr="004551BE">
        <w:rPr>
          <w:rFonts w:ascii="Arial" w:eastAsia="Arial" w:hAnsi="Arial" w:cs="Arial"/>
          <w:color w:val="000000" w:themeColor="text1"/>
        </w:rPr>
        <w:t>, sin embargo,</w:t>
      </w:r>
      <w:r>
        <w:rPr>
          <w:rFonts w:ascii="Arial" w:eastAsia="Arial" w:hAnsi="Arial" w:cs="Arial"/>
          <w:color w:val="000000" w:themeColor="text1"/>
        </w:rPr>
        <w:t xml:space="preserve"> desde ya se debe manifestar que</w:t>
      </w:r>
      <w:r w:rsidR="00555AC2">
        <w:rPr>
          <w:rFonts w:ascii="Arial" w:eastAsia="Arial" w:hAnsi="Arial" w:cs="Arial"/>
          <w:color w:val="000000" w:themeColor="text1"/>
        </w:rPr>
        <w:t xml:space="preserve"> </w:t>
      </w:r>
      <w:r w:rsidR="00555AC2">
        <w:rPr>
          <w:color w:val="000000"/>
        </w:rPr>
        <w:t xml:space="preserve">el croquis lo que verdaderamente demuestra, es que el conductor de la motocicleta de placas </w:t>
      </w:r>
      <w:r w:rsidR="00555AC2" w:rsidRPr="00555AC2">
        <w:rPr>
          <w:color w:val="000000"/>
        </w:rPr>
        <w:t>IGU</w:t>
      </w:r>
      <w:r w:rsidR="00555AC2">
        <w:rPr>
          <w:color w:val="000000"/>
        </w:rPr>
        <w:t xml:space="preserve"> </w:t>
      </w:r>
      <w:r w:rsidR="00555AC2" w:rsidRPr="00555AC2">
        <w:rPr>
          <w:color w:val="000000"/>
        </w:rPr>
        <w:t>52D</w:t>
      </w:r>
      <w:r w:rsidR="00555AC2">
        <w:rPr>
          <w:color w:val="000000"/>
        </w:rPr>
        <w:t xml:space="preserve"> no tuvo toda la precaución y pericia del caso, como quiera que se estaba desplazando por el centro de dos carriles como se observará en la siguiente gráfica, la cual ha sido modificada de nuestra parte para resaltar con flechas rojas los carriles prohibidos, con círculo rojo el lugar del accidente y finalmente en flecha verde el carril permitido, así:</w:t>
      </w:r>
    </w:p>
    <w:p w14:paraId="420CFA16" w14:textId="471120E5" w:rsidR="00555AC2" w:rsidRDefault="00555AC2" w:rsidP="00555AC2">
      <w:pPr>
        <w:spacing w:before="240" w:line="360" w:lineRule="auto"/>
        <w:rPr>
          <w:color w:val="000000"/>
        </w:rPr>
      </w:pPr>
      <w:r w:rsidRPr="00555AC2">
        <w:rPr>
          <w:noProof/>
          <w:color w:val="000000"/>
        </w:rPr>
        <w:drawing>
          <wp:inline distT="0" distB="0" distL="0" distR="0" wp14:anchorId="7727C422" wp14:editId="6F95606C">
            <wp:extent cx="6116320" cy="3737610"/>
            <wp:effectExtent l="0" t="0" r="0" b="0"/>
            <wp:docPr id="32882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27994" name=""/>
                    <pic:cNvPicPr/>
                  </pic:nvPicPr>
                  <pic:blipFill>
                    <a:blip r:embed="rId9"/>
                    <a:stretch>
                      <a:fillRect/>
                    </a:stretch>
                  </pic:blipFill>
                  <pic:spPr>
                    <a:xfrm>
                      <a:off x="0" y="0"/>
                      <a:ext cx="6116320" cy="3737610"/>
                    </a:xfrm>
                    <a:prstGeom prst="rect">
                      <a:avLst/>
                    </a:prstGeom>
                  </pic:spPr>
                </pic:pic>
              </a:graphicData>
            </a:graphic>
          </wp:inline>
        </w:drawing>
      </w:r>
    </w:p>
    <w:p w14:paraId="795A2D4E" w14:textId="30A95D49" w:rsidR="00555AC2" w:rsidRDefault="00555AC2" w:rsidP="0023213B">
      <w:pPr>
        <w:spacing w:before="240" w:line="360" w:lineRule="auto"/>
        <w:jc w:val="both"/>
        <w:rPr>
          <w:color w:val="000000"/>
        </w:rPr>
      </w:pPr>
      <w:r>
        <w:rPr>
          <w:color w:val="000000"/>
        </w:rPr>
        <w:t xml:space="preserve">Es decir, de la anterior representación se puede concluir que el señor Caicedo transitaba por dicha avista, en clara infracción a lo dispuesto en los artículos 94 y 96 del Código Nacional de Tránsito </w:t>
      </w:r>
      <w:r>
        <w:rPr>
          <w:color w:val="000000"/>
        </w:rPr>
        <w:lastRenderedPageBreak/>
        <w:t>(Ley 769 de 2002), que determinan que el tránsito de las motocicletas debe ser exclusivo por la derecha y ocupando un solo carril, como se observa:</w:t>
      </w:r>
    </w:p>
    <w:p w14:paraId="284FDEAB" w14:textId="77777777" w:rsidR="0023213B" w:rsidRDefault="0023213B" w:rsidP="005C12B8">
      <w:pPr>
        <w:spacing w:line="360" w:lineRule="auto"/>
        <w:jc w:val="both"/>
        <w:rPr>
          <w:color w:val="000000"/>
        </w:rPr>
      </w:pPr>
    </w:p>
    <w:p w14:paraId="13890AF7"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 xml:space="preserve">“ART. 94. NORMAS GENERALES PARA BICICLETAS, TRICICLOS, MOTOCICLETAS, MOTOCICLOS Y MOTOTRICICLOS. Los conductores de bicicletas, triciclos, motocicletas, motociclos y </w:t>
      </w:r>
      <w:proofErr w:type="spellStart"/>
      <w:r w:rsidRPr="003125FD">
        <w:rPr>
          <w:rFonts w:ascii="Arial" w:hAnsi="Arial" w:cs="Arial"/>
          <w:i/>
          <w:color w:val="000000"/>
          <w:sz w:val="20"/>
          <w:szCs w:val="20"/>
        </w:rPr>
        <w:t>mototriciclos</w:t>
      </w:r>
      <w:proofErr w:type="spellEnd"/>
      <w:r w:rsidRPr="003125FD">
        <w:rPr>
          <w:rFonts w:ascii="Arial" w:hAnsi="Arial" w:cs="Arial"/>
          <w:i/>
          <w:color w:val="000000"/>
          <w:sz w:val="20"/>
          <w:szCs w:val="20"/>
        </w:rPr>
        <w:t>, estarán sujetos a las siguientes normas:</w:t>
      </w:r>
    </w:p>
    <w:p w14:paraId="5B1F463E" w14:textId="77777777" w:rsidR="0023213B" w:rsidRPr="003125FD" w:rsidRDefault="0023213B" w:rsidP="006A6B67">
      <w:pPr>
        <w:ind w:left="705"/>
        <w:jc w:val="both"/>
        <w:rPr>
          <w:rFonts w:ascii="Arial" w:hAnsi="Arial" w:cs="Arial"/>
          <w:i/>
          <w:color w:val="000000"/>
          <w:sz w:val="20"/>
          <w:szCs w:val="20"/>
        </w:rPr>
      </w:pPr>
    </w:p>
    <w:p w14:paraId="0B766280" w14:textId="77777777" w:rsidR="00555AC2" w:rsidRPr="003125FD"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Deben transitar por la derecha de las vías a distancia no mayor de un (1) metro de la acera u orilla y nunca utilizar las vías exclusivas para el servicio público colectivo.</w:t>
      </w:r>
    </w:p>
    <w:p w14:paraId="23503001" w14:textId="77777777" w:rsidR="0023213B" w:rsidRPr="003125FD" w:rsidRDefault="0023213B" w:rsidP="006A6B67">
      <w:pPr>
        <w:ind w:left="705"/>
        <w:jc w:val="both"/>
        <w:rPr>
          <w:rFonts w:ascii="Arial" w:hAnsi="Arial" w:cs="Arial"/>
          <w:i/>
          <w:color w:val="000000"/>
          <w:sz w:val="20"/>
          <w:szCs w:val="20"/>
        </w:rPr>
      </w:pPr>
    </w:p>
    <w:p w14:paraId="32069A4A" w14:textId="755F5F78" w:rsidR="0023213B" w:rsidRDefault="0023213B" w:rsidP="006A6B67">
      <w:pPr>
        <w:ind w:left="705"/>
        <w:jc w:val="both"/>
        <w:rPr>
          <w:rFonts w:ascii="Arial" w:hAnsi="Arial" w:cs="Arial"/>
          <w:i/>
          <w:color w:val="000000"/>
          <w:sz w:val="20"/>
          <w:szCs w:val="20"/>
        </w:rPr>
      </w:pPr>
      <w:r w:rsidRPr="003125FD">
        <w:rPr>
          <w:rFonts w:ascii="Arial" w:hAnsi="Arial" w:cs="Arial"/>
          <w:i/>
          <w:color w:val="000000"/>
          <w:sz w:val="20"/>
          <w:szCs w:val="20"/>
        </w:rPr>
        <w:t>(…)</w:t>
      </w:r>
    </w:p>
    <w:p w14:paraId="64B718D3" w14:textId="77777777" w:rsidR="0023213B" w:rsidRPr="003125FD" w:rsidRDefault="0023213B" w:rsidP="006A6B67">
      <w:pPr>
        <w:ind w:left="705"/>
        <w:jc w:val="both"/>
        <w:rPr>
          <w:rFonts w:ascii="Arial" w:hAnsi="Arial" w:cs="Arial"/>
          <w:i/>
          <w:color w:val="000000"/>
          <w:sz w:val="20"/>
          <w:szCs w:val="20"/>
        </w:rPr>
      </w:pPr>
    </w:p>
    <w:p w14:paraId="57AD87E3"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ART. 96. NORMAS ESPECÍFICAS PARA MOTOCICLETAS, MOTOCICLOS Y MOTOTRICICLOS.</w:t>
      </w:r>
    </w:p>
    <w:p w14:paraId="2D40FBC6" w14:textId="77777777" w:rsidR="0023213B" w:rsidRPr="003125FD" w:rsidRDefault="0023213B" w:rsidP="006A6B67">
      <w:pPr>
        <w:ind w:left="705"/>
        <w:jc w:val="both"/>
        <w:rPr>
          <w:rFonts w:ascii="Arial" w:hAnsi="Arial" w:cs="Arial"/>
          <w:i/>
          <w:color w:val="000000"/>
          <w:sz w:val="20"/>
          <w:szCs w:val="20"/>
        </w:rPr>
      </w:pPr>
    </w:p>
    <w:p w14:paraId="374302EE" w14:textId="77777777" w:rsidR="00555AC2" w:rsidRPr="003125FD" w:rsidRDefault="00555AC2" w:rsidP="006A6B67">
      <w:pPr>
        <w:pStyle w:val="Prrafodelista"/>
        <w:numPr>
          <w:ilvl w:val="0"/>
          <w:numId w:val="33"/>
        </w:numPr>
        <w:spacing w:after="0" w:line="240" w:lineRule="auto"/>
        <w:contextualSpacing w:val="0"/>
        <w:jc w:val="both"/>
        <w:rPr>
          <w:rFonts w:ascii="Arial" w:hAnsi="Arial" w:cs="Arial"/>
          <w:b/>
          <w:i/>
          <w:color w:val="000000"/>
          <w:sz w:val="20"/>
          <w:szCs w:val="20"/>
        </w:rPr>
      </w:pPr>
      <w:r w:rsidRPr="003125FD">
        <w:rPr>
          <w:rFonts w:ascii="Arial" w:hAnsi="Arial" w:cs="Arial"/>
          <w:i/>
          <w:color w:val="000000"/>
          <w:sz w:val="20"/>
          <w:szCs w:val="20"/>
        </w:rPr>
        <w:t xml:space="preserve">Deberán transitar ocupando un solo carril, observando lo dispuesto en los artículos 60 y 80 del presente código.”              </w:t>
      </w:r>
    </w:p>
    <w:p w14:paraId="630CAF56" w14:textId="77777777" w:rsidR="000B3750" w:rsidRDefault="000B3750" w:rsidP="00B851F2">
      <w:pPr>
        <w:spacing w:line="360" w:lineRule="auto"/>
        <w:jc w:val="both"/>
        <w:rPr>
          <w:rFonts w:ascii="Arial" w:eastAsia="Arial" w:hAnsi="Arial" w:cs="Arial"/>
          <w:b/>
          <w:bCs/>
          <w:color w:val="000000" w:themeColor="text1"/>
        </w:rPr>
      </w:pPr>
    </w:p>
    <w:p w14:paraId="3710973D" w14:textId="213CA2AC" w:rsidR="0023213B" w:rsidRPr="005C12B8" w:rsidRDefault="005C12B8" w:rsidP="00B851F2">
      <w:pPr>
        <w:spacing w:line="360" w:lineRule="auto"/>
        <w:jc w:val="both"/>
        <w:rPr>
          <w:rFonts w:ascii="Arial" w:eastAsia="Arial" w:hAnsi="Arial" w:cs="Arial"/>
          <w:color w:val="000000" w:themeColor="text1"/>
        </w:rPr>
      </w:pPr>
      <w:r>
        <w:rPr>
          <w:rFonts w:ascii="Arial" w:eastAsia="Arial" w:hAnsi="Arial" w:cs="Arial"/>
          <w:color w:val="000000" w:themeColor="text1"/>
        </w:rPr>
        <w:t>A</w:t>
      </w:r>
      <w:r w:rsidRPr="005C12B8">
        <w:rPr>
          <w:rFonts w:ascii="Arial" w:eastAsia="Arial" w:hAnsi="Arial" w:cs="Arial"/>
          <w:color w:val="000000" w:themeColor="text1"/>
        </w:rPr>
        <w:t>dicionalmente, se solicita se tenga como confesión</w:t>
      </w:r>
      <w:r w:rsidR="006A6B67">
        <w:rPr>
          <w:rFonts w:ascii="Arial" w:eastAsia="Arial" w:hAnsi="Arial" w:cs="Arial"/>
          <w:color w:val="000000" w:themeColor="text1"/>
        </w:rPr>
        <w:t>,</w:t>
      </w:r>
      <w:r w:rsidRPr="005C12B8">
        <w:rPr>
          <w:rFonts w:ascii="Arial" w:eastAsia="Arial" w:hAnsi="Arial" w:cs="Arial"/>
          <w:color w:val="000000" w:themeColor="text1"/>
        </w:rPr>
        <w:t xml:space="preserve"> en los términos del artículo 193 del C</w:t>
      </w:r>
      <w:r w:rsidR="006A6B67">
        <w:rPr>
          <w:rFonts w:ascii="Arial" w:eastAsia="Arial" w:hAnsi="Arial" w:cs="Arial"/>
          <w:color w:val="000000" w:themeColor="text1"/>
        </w:rPr>
        <w:t xml:space="preserve">ódigo </w:t>
      </w:r>
      <w:r w:rsidRPr="005C12B8">
        <w:rPr>
          <w:rFonts w:ascii="Arial" w:eastAsia="Arial" w:hAnsi="Arial" w:cs="Arial"/>
          <w:color w:val="000000" w:themeColor="text1"/>
        </w:rPr>
        <w:t>G</w:t>
      </w:r>
      <w:r w:rsidR="006A6B67">
        <w:rPr>
          <w:rFonts w:ascii="Arial" w:eastAsia="Arial" w:hAnsi="Arial" w:cs="Arial"/>
          <w:color w:val="000000" w:themeColor="text1"/>
        </w:rPr>
        <w:t xml:space="preserve">eneral del </w:t>
      </w:r>
      <w:r w:rsidRPr="005C12B8">
        <w:rPr>
          <w:rFonts w:ascii="Arial" w:eastAsia="Arial" w:hAnsi="Arial" w:cs="Arial"/>
          <w:color w:val="000000" w:themeColor="text1"/>
        </w:rPr>
        <w:t>P</w:t>
      </w:r>
      <w:r w:rsidR="006A6B67">
        <w:rPr>
          <w:rFonts w:ascii="Arial" w:eastAsia="Arial" w:hAnsi="Arial" w:cs="Arial"/>
          <w:color w:val="000000" w:themeColor="text1"/>
        </w:rPr>
        <w:t>roceso,</w:t>
      </w:r>
      <w:r w:rsidRPr="005C12B8">
        <w:rPr>
          <w:rFonts w:ascii="Arial" w:eastAsia="Arial" w:hAnsi="Arial" w:cs="Arial"/>
          <w:color w:val="000000" w:themeColor="text1"/>
        </w:rPr>
        <w:t xml:space="preserve"> las afirmaciones contenidas en este hecho</w:t>
      </w:r>
      <w:r w:rsidR="006A6B67">
        <w:rPr>
          <w:rFonts w:ascii="Arial" w:eastAsia="Arial" w:hAnsi="Arial" w:cs="Arial"/>
          <w:color w:val="000000" w:themeColor="text1"/>
        </w:rPr>
        <w:t>,</w:t>
      </w:r>
      <w:r w:rsidRPr="005C12B8">
        <w:rPr>
          <w:rFonts w:ascii="Arial" w:eastAsia="Arial" w:hAnsi="Arial" w:cs="Arial"/>
          <w:color w:val="000000" w:themeColor="text1"/>
        </w:rPr>
        <w:t xml:space="preserve"> comoquiera que la parte actora está reconociendo que el accidente se causó porque un peatón se atravesó en la intersección semaforizada, esto es, se está aduciendo que la causa eficiente del daño fue el hecho de un tercero, situación que se corrobora con el IPAT, en donde se consignó como hipótesis: “</w:t>
      </w:r>
      <w:r w:rsidRPr="006A6B67">
        <w:rPr>
          <w:rFonts w:ascii="Arial" w:eastAsia="Arial" w:hAnsi="Arial" w:cs="Arial"/>
          <w:i/>
          <w:iCs/>
          <w:color w:val="000000" w:themeColor="text1"/>
        </w:rPr>
        <w:t>Para el peatón código 401 pasar el semáforo peatonal en rojo</w:t>
      </w:r>
      <w:r w:rsidRPr="005C12B8">
        <w:rPr>
          <w:rFonts w:ascii="Arial" w:eastAsia="Arial" w:hAnsi="Arial" w:cs="Arial"/>
          <w:color w:val="000000" w:themeColor="text1"/>
        </w:rPr>
        <w:t>”.</w:t>
      </w:r>
    </w:p>
    <w:p w14:paraId="3B335037" w14:textId="77777777" w:rsidR="005C12B8" w:rsidRDefault="005C12B8" w:rsidP="00B851F2">
      <w:pPr>
        <w:spacing w:line="360" w:lineRule="auto"/>
        <w:jc w:val="both"/>
        <w:rPr>
          <w:rFonts w:ascii="Arial" w:eastAsia="Arial" w:hAnsi="Arial" w:cs="Arial"/>
          <w:b/>
          <w:bCs/>
          <w:color w:val="000000" w:themeColor="text1"/>
        </w:rPr>
      </w:pPr>
    </w:p>
    <w:p w14:paraId="2E70EC88" w14:textId="77777777" w:rsidR="000B3750" w:rsidRDefault="00B851F2" w:rsidP="000B3750">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TERCERO: </w:t>
      </w:r>
      <w:r w:rsidR="007A45CC">
        <w:rPr>
          <w:rFonts w:ascii="Arial" w:eastAsia="Arial" w:hAnsi="Arial" w:cs="Arial"/>
          <w:color w:val="000000" w:themeColor="text1"/>
        </w:rPr>
        <w:t>No es un hecho, es una apreciación subjetiva que realiza el apoderado de la parte demandante, sin embargo, desde ya se debe manifestar que dicha apreciación no está sustentada probatoriamente con el material allegado en la demanda</w:t>
      </w:r>
      <w:r w:rsidR="000B3750">
        <w:rPr>
          <w:rFonts w:ascii="Arial" w:eastAsia="Arial" w:hAnsi="Arial" w:cs="Arial"/>
          <w:color w:val="000000" w:themeColor="text1"/>
        </w:rPr>
        <w:t xml:space="preserve"> y que</w:t>
      </w:r>
      <w:r w:rsidR="007A45CC">
        <w:rPr>
          <w:rFonts w:ascii="Arial" w:eastAsia="Arial" w:hAnsi="Arial" w:cs="Arial"/>
          <w:color w:val="000000" w:themeColor="text1"/>
        </w:rPr>
        <w:t xml:space="preserve"> </w:t>
      </w:r>
      <w:r w:rsidR="000B3750">
        <w:rPr>
          <w:rFonts w:ascii="Arial" w:eastAsia="Arial" w:hAnsi="Arial" w:cs="Arial"/>
          <w:color w:val="000000" w:themeColor="text1"/>
        </w:rPr>
        <w:t>a</w:t>
      </w:r>
      <w:r w:rsidR="000B3750" w:rsidRPr="000B3750">
        <w:rPr>
          <w:rFonts w:ascii="Arial" w:eastAsia="Arial" w:hAnsi="Arial" w:cs="Arial"/>
          <w:color w:val="000000" w:themeColor="text1"/>
        </w:rPr>
        <w:t xml:space="preserve">unado a </w:t>
      </w:r>
      <w:r w:rsidR="000B3750">
        <w:rPr>
          <w:rFonts w:ascii="Arial" w:eastAsia="Arial" w:hAnsi="Arial" w:cs="Arial"/>
          <w:color w:val="000000" w:themeColor="text1"/>
        </w:rPr>
        <w:t>ello</w:t>
      </w:r>
      <w:r w:rsidR="000B3750" w:rsidRPr="000B3750">
        <w:rPr>
          <w:rFonts w:ascii="Arial" w:eastAsia="Arial" w:hAnsi="Arial" w:cs="Arial"/>
          <w:color w:val="000000" w:themeColor="text1"/>
        </w:rPr>
        <w:t xml:space="preserve">, debe tenerse en cuenta que el hecho de que un semáforo se encuentre </w:t>
      </w:r>
      <w:r w:rsidR="000B3750">
        <w:rPr>
          <w:rFonts w:ascii="Arial" w:eastAsia="Arial" w:hAnsi="Arial" w:cs="Arial"/>
          <w:color w:val="000000" w:themeColor="text1"/>
        </w:rPr>
        <w:t>averiado</w:t>
      </w:r>
      <w:r w:rsidR="000B3750" w:rsidRPr="000B3750">
        <w:rPr>
          <w:rFonts w:ascii="Arial" w:eastAsia="Arial" w:hAnsi="Arial" w:cs="Arial"/>
          <w:color w:val="000000" w:themeColor="text1"/>
        </w:rPr>
        <w:t xml:space="preserve"> o no funcione, no implica </w:t>
      </w:r>
      <w:r w:rsidR="000B3750" w:rsidRPr="000B3750">
        <w:rPr>
          <w:rFonts w:ascii="Arial" w:eastAsia="Arial" w:hAnsi="Arial" w:cs="Arial"/>
          <w:i/>
          <w:iCs/>
          <w:color w:val="000000" w:themeColor="text1"/>
        </w:rPr>
        <w:t>per-se</w:t>
      </w:r>
      <w:r w:rsidR="000B3750" w:rsidRPr="000B3750">
        <w:rPr>
          <w:rFonts w:ascii="Arial" w:eastAsia="Arial" w:hAnsi="Arial" w:cs="Arial"/>
          <w:color w:val="000000" w:themeColor="text1"/>
        </w:rPr>
        <w:t xml:space="preserve"> el paso libre para los usuarios de las vías así exista una prelación vial para alguno de los concurrentes en el accidente toda vez que, en estos casos, los ejecutores de actividades peligrosas deben obrar con mayor rigurosidad, cuidado, detener la marcha en el cruce y verificar si alguien transitaba por la vía contraria. </w:t>
      </w:r>
    </w:p>
    <w:p w14:paraId="4CCD4933" w14:textId="77777777" w:rsidR="000B3750" w:rsidRDefault="000B3750" w:rsidP="000B3750">
      <w:pPr>
        <w:spacing w:line="360" w:lineRule="auto"/>
        <w:jc w:val="both"/>
        <w:rPr>
          <w:rFonts w:ascii="Arial" w:eastAsia="Arial" w:hAnsi="Arial" w:cs="Arial"/>
          <w:color w:val="000000" w:themeColor="text1"/>
        </w:rPr>
      </w:pPr>
    </w:p>
    <w:p w14:paraId="66955F21" w14:textId="3D2EF081" w:rsidR="000B3750" w:rsidRPr="000B3750" w:rsidRDefault="000B3750" w:rsidP="000B3750">
      <w:pPr>
        <w:spacing w:line="360" w:lineRule="auto"/>
        <w:jc w:val="both"/>
        <w:rPr>
          <w:rFonts w:ascii="Arial" w:eastAsia="Arial" w:hAnsi="Arial" w:cs="Arial"/>
          <w:color w:val="000000" w:themeColor="text1"/>
        </w:rPr>
      </w:pPr>
      <w:r w:rsidRPr="000B3750">
        <w:rPr>
          <w:rFonts w:ascii="Arial" w:eastAsia="Arial" w:hAnsi="Arial" w:cs="Arial"/>
          <w:color w:val="000000" w:themeColor="text1"/>
        </w:rPr>
        <w:t>En otros términos, implementar las medidas de precaución necesarias, con miras a evitar accidentes, dado que de no hacerlo estarían renunciando a su propia seguridad, como bien lo expuso el Tribunal Administrativo del Valle del Cauca en sentencia del 21 de Junio de 2002, proferida dentro del expediente con radicación No.76001-23-31-000-1999-00096-00, Actor: Yamileth Patricia Torres:</w:t>
      </w:r>
    </w:p>
    <w:p w14:paraId="4D5A1595" w14:textId="77777777" w:rsidR="000B3750" w:rsidRDefault="000B3750" w:rsidP="000B3750">
      <w:pPr>
        <w:spacing w:line="360" w:lineRule="auto"/>
        <w:jc w:val="both"/>
        <w:rPr>
          <w:rFonts w:ascii="Arial" w:eastAsia="Arial" w:hAnsi="Arial" w:cs="Arial"/>
          <w:color w:val="000000" w:themeColor="text1"/>
        </w:rPr>
      </w:pPr>
    </w:p>
    <w:p w14:paraId="2F392850" w14:textId="7A7DF62D" w:rsidR="000B3750" w:rsidRPr="000B3750" w:rsidRDefault="000B3750" w:rsidP="000B3750">
      <w:pPr>
        <w:spacing w:line="360" w:lineRule="auto"/>
        <w:ind w:left="851"/>
        <w:jc w:val="both"/>
        <w:rPr>
          <w:rFonts w:ascii="Arial" w:eastAsia="Arial" w:hAnsi="Arial" w:cs="Arial"/>
          <w:i/>
          <w:iCs/>
          <w:color w:val="000000" w:themeColor="text1"/>
          <w:sz w:val="20"/>
          <w:szCs w:val="20"/>
        </w:rPr>
      </w:pPr>
      <w:r w:rsidRPr="000B3750">
        <w:rPr>
          <w:rFonts w:ascii="Arial" w:eastAsia="Arial" w:hAnsi="Arial" w:cs="Arial"/>
          <w:i/>
          <w:iCs/>
          <w:color w:val="000000" w:themeColor="text1"/>
          <w:sz w:val="20"/>
          <w:szCs w:val="20"/>
        </w:rPr>
        <w:t xml:space="preserve">“(…) un semáforo apagado no implica el paso libre para los usuarios de las vías, de modo que éstos tienen la obligación de implementar las medidas de precaución necesarias, con miras a evitar accidentes…”      </w:t>
      </w:r>
    </w:p>
    <w:p w14:paraId="3F538D42" w14:textId="77777777" w:rsidR="000B3750" w:rsidRDefault="000B3750" w:rsidP="00B851F2">
      <w:pPr>
        <w:spacing w:line="360" w:lineRule="auto"/>
        <w:jc w:val="both"/>
        <w:rPr>
          <w:rFonts w:ascii="Arial" w:eastAsia="Arial" w:hAnsi="Arial" w:cs="Arial"/>
          <w:color w:val="000000" w:themeColor="text1"/>
        </w:rPr>
      </w:pPr>
    </w:p>
    <w:p w14:paraId="185D3AD7" w14:textId="6DBC2E82" w:rsidR="00EA589E" w:rsidRDefault="00EA589E"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lo anterior se debe concluir entonces </w:t>
      </w:r>
      <w:r w:rsidRPr="00EA589E">
        <w:rPr>
          <w:rFonts w:ascii="Arial" w:eastAsia="Arial" w:hAnsi="Arial" w:cs="Arial"/>
          <w:color w:val="000000" w:themeColor="text1"/>
        </w:rPr>
        <w:t>que</w:t>
      </w:r>
      <w:r>
        <w:rPr>
          <w:rFonts w:ascii="Arial" w:eastAsia="Arial" w:hAnsi="Arial" w:cs="Arial"/>
          <w:color w:val="000000" w:themeColor="text1"/>
        </w:rPr>
        <w:t>,</w:t>
      </w:r>
      <w:r w:rsidRPr="00EA589E">
        <w:rPr>
          <w:rFonts w:ascii="Arial" w:eastAsia="Arial" w:hAnsi="Arial" w:cs="Arial"/>
          <w:color w:val="000000" w:themeColor="text1"/>
        </w:rPr>
        <w:t xml:space="preserve"> independientemente </w:t>
      </w:r>
      <w:r>
        <w:rPr>
          <w:rFonts w:ascii="Arial" w:eastAsia="Arial" w:hAnsi="Arial" w:cs="Arial"/>
          <w:color w:val="000000" w:themeColor="text1"/>
        </w:rPr>
        <w:t>si se presentó o no</w:t>
      </w:r>
      <w:r w:rsidRPr="00EA589E">
        <w:rPr>
          <w:rFonts w:ascii="Arial" w:eastAsia="Arial" w:hAnsi="Arial" w:cs="Arial"/>
          <w:color w:val="000000" w:themeColor="text1"/>
        </w:rPr>
        <w:t xml:space="preserve"> </w:t>
      </w:r>
      <w:r>
        <w:rPr>
          <w:rFonts w:ascii="Arial" w:eastAsia="Arial" w:hAnsi="Arial" w:cs="Arial"/>
          <w:color w:val="000000" w:themeColor="text1"/>
        </w:rPr>
        <w:t xml:space="preserve">la </w:t>
      </w:r>
      <w:r w:rsidRPr="00EA589E">
        <w:rPr>
          <w:rFonts w:ascii="Arial" w:eastAsia="Arial" w:hAnsi="Arial" w:cs="Arial"/>
          <w:color w:val="000000" w:themeColor="text1"/>
        </w:rPr>
        <w:t xml:space="preserve">falla </w:t>
      </w:r>
      <w:r>
        <w:rPr>
          <w:rFonts w:ascii="Arial" w:eastAsia="Arial" w:hAnsi="Arial" w:cs="Arial"/>
          <w:color w:val="000000" w:themeColor="text1"/>
        </w:rPr>
        <w:t xml:space="preserve">aludida </w:t>
      </w:r>
      <w:r w:rsidRPr="00EA589E">
        <w:rPr>
          <w:rFonts w:ascii="Arial" w:eastAsia="Arial" w:hAnsi="Arial" w:cs="Arial"/>
          <w:color w:val="000000" w:themeColor="text1"/>
        </w:rPr>
        <w:t>de</w:t>
      </w:r>
      <w:r>
        <w:rPr>
          <w:rFonts w:ascii="Arial" w:eastAsia="Arial" w:hAnsi="Arial" w:cs="Arial"/>
          <w:color w:val="000000" w:themeColor="text1"/>
        </w:rPr>
        <w:t>l</w:t>
      </w:r>
      <w:r w:rsidRPr="00EA589E">
        <w:rPr>
          <w:rFonts w:ascii="Arial" w:eastAsia="Arial" w:hAnsi="Arial" w:cs="Arial"/>
          <w:color w:val="000000" w:themeColor="text1"/>
        </w:rPr>
        <w:t xml:space="preserve"> semáfor</w:t>
      </w:r>
      <w:r>
        <w:rPr>
          <w:rFonts w:ascii="Arial" w:eastAsia="Arial" w:hAnsi="Arial" w:cs="Arial"/>
          <w:color w:val="000000" w:themeColor="text1"/>
        </w:rPr>
        <w:t>o</w:t>
      </w:r>
      <w:r w:rsidRPr="00EA589E">
        <w:rPr>
          <w:rFonts w:ascii="Arial" w:eastAsia="Arial" w:hAnsi="Arial" w:cs="Arial"/>
          <w:color w:val="000000" w:themeColor="text1"/>
        </w:rPr>
        <w:t>, la cual aún no se ha sido acreditada, y</w:t>
      </w:r>
      <w:r>
        <w:rPr>
          <w:rFonts w:ascii="Arial" w:eastAsia="Arial" w:hAnsi="Arial" w:cs="Arial"/>
          <w:color w:val="000000" w:themeColor="text1"/>
        </w:rPr>
        <w:t xml:space="preserve"> sobre la que</w:t>
      </w:r>
      <w:r w:rsidRPr="00EA589E">
        <w:rPr>
          <w:rFonts w:ascii="Arial" w:eastAsia="Arial" w:hAnsi="Arial" w:cs="Arial"/>
          <w:color w:val="000000" w:themeColor="text1"/>
        </w:rPr>
        <w:t xml:space="preserve"> mucho menos se tiene certeza </w:t>
      </w:r>
      <w:r w:rsidRPr="00EA589E">
        <w:rPr>
          <w:rFonts w:ascii="Arial" w:eastAsia="Arial" w:hAnsi="Arial" w:cs="Arial"/>
          <w:color w:val="000000" w:themeColor="text1"/>
        </w:rPr>
        <w:lastRenderedPageBreak/>
        <w:t xml:space="preserve">desde cuando estaba ocurriendo o si </w:t>
      </w:r>
      <w:r>
        <w:rPr>
          <w:rFonts w:ascii="Arial" w:eastAsia="Arial" w:hAnsi="Arial" w:cs="Arial"/>
          <w:color w:val="000000" w:themeColor="text1"/>
        </w:rPr>
        <w:t xml:space="preserve">sobre ella </w:t>
      </w:r>
      <w:r w:rsidRPr="00EA589E">
        <w:rPr>
          <w:rFonts w:ascii="Arial" w:eastAsia="Arial" w:hAnsi="Arial" w:cs="Arial"/>
          <w:color w:val="000000" w:themeColor="text1"/>
        </w:rPr>
        <w:t xml:space="preserve">se había </w:t>
      </w:r>
      <w:r>
        <w:rPr>
          <w:rFonts w:ascii="Arial" w:eastAsia="Arial" w:hAnsi="Arial" w:cs="Arial"/>
          <w:color w:val="000000" w:themeColor="text1"/>
        </w:rPr>
        <w:t>informado</w:t>
      </w:r>
      <w:r w:rsidRPr="00EA589E">
        <w:rPr>
          <w:rFonts w:ascii="Arial" w:eastAsia="Arial" w:hAnsi="Arial" w:cs="Arial"/>
          <w:color w:val="000000" w:themeColor="text1"/>
        </w:rPr>
        <w:t xml:space="preserve"> </w:t>
      </w:r>
      <w:r>
        <w:rPr>
          <w:rFonts w:ascii="Arial" w:eastAsia="Arial" w:hAnsi="Arial" w:cs="Arial"/>
          <w:color w:val="000000" w:themeColor="text1"/>
        </w:rPr>
        <w:t xml:space="preserve">a </w:t>
      </w:r>
      <w:r w:rsidRPr="00EA589E">
        <w:rPr>
          <w:rFonts w:ascii="Arial" w:eastAsia="Arial" w:hAnsi="Arial" w:cs="Arial"/>
          <w:color w:val="000000" w:themeColor="text1"/>
        </w:rPr>
        <w:t>las autoridades de tránsito, es evidente que hubo una conducta impudente de un tercero y esta fue la causa eficiente del daño.</w:t>
      </w:r>
    </w:p>
    <w:p w14:paraId="2F0AAFEB" w14:textId="77777777" w:rsidR="00EA589E" w:rsidRDefault="00EA589E" w:rsidP="00B851F2">
      <w:pPr>
        <w:spacing w:line="360" w:lineRule="auto"/>
        <w:jc w:val="both"/>
        <w:rPr>
          <w:rFonts w:ascii="Arial" w:eastAsia="Arial" w:hAnsi="Arial" w:cs="Arial"/>
          <w:color w:val="000000" w:themeColor="text1"/>
        </w:rPr>
      </w:pPr>
    </w:p>
    <w:p w14:paraId="77C5FE15" w14:textId="0113AC54"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CUARTO:</w:t>
      </w:r>
      <w:r>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quién fue el agente que se presentó al sitio de los hechos, la hora en que lo hizo, así como tampoco el contenido del informe que se elaboró por su parte</w:t>
      </w:r>
      <w:r w:rsidRPr="004551BE">
        <w:rPr>
          <w:rFonts w:ascii="Arial" w:eastAsia="Arial" w:hAnsi="Arial" w:cs="Arial"/>
          <w:color w:val="000000" w:themeColor="text1"/>
        </w:rPr>
        <w:t xml:space="preserve">, sin embargo, </w:t>
      </w:r>
      <w:r>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 xml:space="preserve">  </w:t>
      </w:r>
    </w:p>
    <w:p w14:paraId="01B16FF5" w14:textId="77777777" w:rsidR="00B851F2" w:rsidRPr="004551BE" w:rsidRDefault="00B851F2" w:rsidP="00B851F2">
      <w:pPr>
        <w:spacing w:line="360" w:lineRule="auto"/>
        <w:jc w:val="both"/>
        <w:rPr>
          <w:rFonts w:ascii="Arial" w:eastAsia="Arial" w:hAnsi="Arial" w:cs="Arial"/>
          <w:color w:val="000000" w:themeColor="text1"/>
        </w:rPr>
      </w:pPr>
    </w:p>
    <w:p w14:paraId="0F20B517" w14:textId="721578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QUINTO: </w:t>
      </w:r>
      <w:r w:rsidR="003132D7"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si el señor Caicedo sufrió afectaciones y cuáles fueron ellas en caso de haberse presentado</w:t>
      </w:r>
      <w:r w:rsidR="003132D7" w:rsidRPr="004551BE">
        <w:rPr>
          <w:rFonts w:ascii="Arial" w:eastAsia="Arial" w:hAnsi="Arial" w:cs="Arial"/>
          <w:color w:val="000000" w:themeColor="text1"/>
        </w:rPr>
        <w:t xml:space="preserve">, sin embargo, </w:t>
      </w:r>
      <w:r w:rsidR="003132D7">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Pr>
          <w:rFonts w:ascii="Arial" w:eastAsia="Arial" w:hAnsi="Arial" w:cs="Arial"/>
          <w:color w:val="000000" w:themeColor="text1"/>
        </w:rPr>
        <w:t>.</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 xml:space="preserve"> </w:t>
      </w:r>
    </w:p>
    <w:p w14:paraId="74CFF7D7" w14:textId="77777777" w:rsidR="00B851F2" w:rsidRPr="004551BE" w:rsidRDefault="00B851F2" w:rsidP="00B851F2">
      <w:pPr>
        <w:spacing w:line="360" w:lineRule="auto"/>
        <w:jc w:val="both"/>
        <w:rPr>
          <w:rFonts w:ascii="Arial" w:eastAsia="Arial" w:hAnsi="Arial" w:cs="Arial"/>
          <w:color w:val="000000" w:themeColor="text1"/>
        </w:rPr>
      </w:pPr>
    </w:p>
    <w:p w14:paraId="6963E4B2" w14:textId="2213B7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SEXTO: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 xml:space="preserve">si el </w:t>
      </w:r>
      <w:r w:rsidR="00D55BFA">
        <w:rPr>
          <w:rFonts w:ascii="Arial" w:eastAsia="Arial" w:hAnsi="Arial" w:cs="Arial"/>
          <w:color w:val="000000" w:themeColor="text1"/>
        </w:rPr>
        <w:t>señor Caicedo se encontraba empleado, si tuvo un proceso de recuperación o no, la duración de dicho proceso o las implicaciones del mismo respecto de relación laboral</w:t>
      </w:r>
      <w:r>
        <w:rPr>
          <w:rFonts w:ascii="Arial" w:eastAsia="Arial" w:hAnsi="Arial" w:cs="Arial"/>
          <w:color w:val="000000" w:themeColor="text1"/>
        </w:rPr>
        <w:t>,</w:t>
      </w:r>
      <w:r w:rsidRPr="004551BE">
        <w:rPr>
          <w:rFonts w:ascii="Arial" w:eastAsia="Arial" w:hAnsi="Arial" w:cs="Arial"/>
          <w:color w:val="000000" w:themeColor="text1"/>
        </w:rPr>
        <w:t xml:space="preserve"> sin embargo,</w:t>
      </w:r>
      <w:r>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w:t>
      </w:r>
      <w:r w:rsidRPr="004551BE">
        <w:rPr>
          <w:rFonts w:ascii="Arial" w:eastAsia="Arial" w:hAnsi="Arial" w:cs="Arial"/>
          <w:color w:val="000000" w:themeColor="text1"/>
        </w:rPr>
        <w:t>.</w:t>
      </w:r>
      <w:r w:rsidR="00D55BFA">
        <w:rPr>
          <w:rFonts w:ascii="Arial" w:eastAsia="Arial" w:hAnsi="Arial" w:cs="Arial"/>
          <w:color w:val="000000" w:themeColor="text1"/>
        </w:rPr>
        <w:t xml:space="preserve"> </w:t>
      </w:r>
      <w:r w:rsidR="00D55BFA"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D55BFA">
        <w:rPr>
          <w:rFonts w:ascii="Arial" w:eastAsia="Arial" w:hAnsi="Arial" w:cs="Arial"/>
          <w:color w:val="000000" w:themeColor="text1"/>
        </w:rPr>
        <w:t xml:space="preserve"> idóneo</w:t>
      </w:r>
      <w:r w:rsidR="00D55BFA" w:rsidRPr="004551BE">
        <w:rPr>
          <w:rFonts w:ascii="Arial" w:eastAsia="Arial" w:hAnsi="Arial" w:cs="Arial"/>
          <w:color w:val="000000" w:themeColor="text1"/>
        </w:rPr>
        <w:t xml:space="preserve"> que permita acreditar lo referido en este hecho. </w:t>
      </w:r>
      <w:r w:rsidR="00D55BFA">
        <w:rPr>
          <w:rFonts w:ascii="Arial" w:eastAsia="Arial" w:hAnsi="Arial" w:cs="Arial"/>
          <w:color w:val="000000" w:themeColor="text1"/>
        </w:rPr>
        <w:t xml:space="preserve"> </w:t>
      </w:r>
    </w:p>
    <w:p w14:paraId="592BF2C3" w14:textId="77777777" w:rsidR="00821B61" w:rsidRDefault="00821B61" w:rsidP="00B851F2">
      <w:pPr>
        <w:spacing w:line="360" w:lineRule="auto"/>
        <w:jc w:val="both"/>
        <w:rPr>
          <w:rFonts w:ascii="Arial" w:eastAsia="Arial" w:hAnsi="Arial" w:cs="Arial"/>
          <w:color w:val="000000" w:themeColor="text1"/>
        </w:rPr>
      </w:pPr>
    </w:p>
    <w:p w14:paraId="3A7D39F0" w14:textId="32CCEAC5"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No obstante lo anterior, es menester precisar que en el plenario obra un contrato de aprendizaje suscrito por el señor DAVID CAICEDO GARZÓN, cuya fecha de inicio fue el 2 de noviembre de 2019 y fecha de terminación el 01 de mayo de 2020, de modo tal que no es cierto que el contrato laboral finalizara como consecuencia del accidente de tránsito, puesto que este se había pactado por un término de 6 meses.</w:t>
      </w:r>
    </w:p>
    <w:p w14:paraId="38496897" w14:textId="77777777" w:rsidR="00B851F2" w:rsidRPr="004551BE" w:rsidRDefault="00B851F2" w:rsidP="00B851F2">
      <w:pPr>
        <w:spacing w:line="360" w:lineRule="auto"/>
        <w:jc w:val="both"/>
        <w:rPr>
          <w:rFonts w:ascii="Arial" w:eastAsia="Arial" w:hAnsi="Arial" w:cs="Arial"/>
          <w:color w:val="000000" w:themeColor="text1"/>
        </w:rPr>
      </w:pPr>
    </w:p>
    <w:p w14:paraId="733E4038" w14:textId="7D68181E" w:rsidR="00B851F2" w:rsidRDefault="00B851F2" w:rsidP="00B851F2">
      <w:pPr>
        <w:spacing w:line="360" w:lineRule="auto"/>
        <w:jc w:val="both"/>
        <w:rPr>
          <w:rFonts w:ascii="Arial" w:eastAsia="Arial" w:hAnsi="Arial" w:cs="Arial"/>
          <w:color w:val="000000" w:themeColor="text1"/>
        </w:rPr>
      </w:pPr>
      <w:bookmarkStart w:id="0" w:name="_Int_xZkEROU8"/>
      <w:r w:rsidRPr="004551BE">
        <w:rPr>
          <w:rFonts w:ascii="Arial" w:eastAsia="Arial" w:hAnsi="Arial" w:cs="Arial"/>
          <w:b/>
          <w:bCs/>
          <w:color w:val="000000" w:themeColor="text1"/>
        </w:rPr>
        <w:t xml:space="preserve">FRENTE AL HECHO SÉPTIMO: </w:t>
      </w:r>
      <w:r w:rsidR="00631092" w:rsidRPr="004551BE">
        <w:rPr>
          <w:rFonts w:ascii="Arial" w:eastAsia="Arial" w:hAnsi="Arial" w:cs="Arial"/>
          <w:color w:val="000000" w:themeColor="text1"/>
        </w:rPr>
        <w:t xml:space="preserve">A mi prohijada no le consta directa o indirectamente </w:t>
      </w:r>
      <w:r w:rsidR="00631092">
        <w:rPr>
          <w:rFonts w:ascii="Arial" w:eastAsia="Arial" w:hAnsi="Arial" w:cs="Arial"/>
          <w:color w:val="000000" w:themeColor="text1"/>
        </w:rPr>
        <w:t>si el señor Caicedo se encontraba estudiando o si sostenía un acuerdo de aprendizaje,</w:t>
      </w:r>
      <w:r w:rsidR="00631092" w:rsidRPr="004551BE">
        <w:rPr>
          <w:rFonts w:ascii="Arial" w:eastAsia="Arial" w:hAnsi="Arial" w:cs="Arial"/>
          <w:color w:val="000000" w:themeColor="text1"/>
        </w:rPr>
        <w:t xml:space="preserve"> sin embargo,</w:t>
      </w:r>
      <w:r w:rsidR="00631092">
        <w:rPr>
          <w:rFonts w:ascii="Arial" w:eastAsia="Arial" w:hAnsi="Arial" w:cs="Arial"/>
          <w:color w:val="000000" w:themeColor="text1"/>
        </w:rPr>
        <w:t xml:space="preserve"> nos atemperamos a lo efectivamente probado en el proceso y a la validez de los documentos allegados </w:t>
      </w:r>
      <w:r w:rsidR="00631092">
        <w:rPr>
          <w:rFonts w:ascii="Arial" w:eastAsia="Arial" w:hAnsi="Arial" w:cs="Arial"/>
          <w:color w:val="000000" w:themeColor="text1"/>
        </w:rPr>
        <w:lastRenderedPageBreak/>
        <w:t>como pruebas y/o anexos a la demanda, relacionados con el hecho en cuestión</w:t>
      </w:r>
      <w:r w:rsidR="00631092" w:rsidRPr="004551BE">
        <w:rPr>
          <w:rFonts w:ascii="Arial" w:eastAsia="Arial" w:hAnsi="Arial" w:cs="Arial"/>
          <w:color w:val="000000" w:themeColor="text1"/>
        </w:rPr>
        <w:t>.</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bookmarkEnd w:id="0"/>
    </w:p>
    <w:p w14:paraId="573AD7E3" w14:textId="77777777" w:rsidR="00821B61" w:rsidRDefault="00821B61" w:rsidP="00B851F2">
      <w:pPr>
        <w:spacing w:line="360" w:lineRule="auto"/>
        <w:jc w:val="both"/>
        <w:rPr>
          <w:rFonts w:ascii="Arial" w:eastAsia="Arial" w:hAnsi="Arial" w:cs="Arial"/>
          <w:color w:val="000000" w:themeColor="text1"/>
        </w:rPr>
      </w:pPr>
    </w:p>
    <w:p w14:paraId="4AC6CB8E" w14:textId="7804F192"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Aun así, es importante precisar que según la certificación expedida por “CLUB COLOMBIA”, </w:t>
      </w:r>
      <w:r w:rsidR="0080033E">
        <w:rPr>
          <w:rFonts w:ascii="Arial" w:eastAsia="Arial" w:hAnsi="Arial" w:cs="Arial"/>
          <w:color w:val="000000" w:themeColor="text1"/>
        </w:rPr>
        <w:t>el señor DAVID CAICEDO GARZÓN finalizó su contrato de aprendizaje el 27 de febrero de 2020 por deserción.</w:t>
      </w:r>
    </w:p>
    <w:p w14:paraId="36329C9B" w14:textId="77777777" w:rsidR="00B851F2" w:rsidRPr="004551BE" w:rsidRDefault="00B851F2" w:rsidP="00B851F2">
      <w:pPr>
        <w:spacing w:line="360" w:lineRule="auto"/>
        <w:jc w:val="both"/>
        <w:rPr>
          <w:rFonts w:ascii="Arial" w:eastAsia="Arial" w:hAnsi="Arial" w:cs="Arial"/>
          <w:color w:val="000000" w:themeColor="text1"/>
        </w:rPr>
      </w:pPr>
    </w:p>
    <w:p w14:paraId="4EAEAE50" w14:textId="53D2EEC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OCTAVO: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p>
    <w:p w14:paraId="1E622242" w14:textId="77777777" w:rsidR="00B851F2" w:rsidRPr="004551BE" w:rsidRDefault="00B851F2" w:rsidP="00B851F2">
      <w:pPr>
        <w:spacing w:line="360" w:lineRule="auto"/>
        <w:jc w:val="both"/>
        <w:rPr>
          <w:rFonts w:ascii="Arial" w:eastAsia="Arial" w:hAnsi="Arial" w:cs="Arial"/>
          <w:color w:val="000000" w:themeColor="text1"/>
        </w:rPr>
      </w:pPr>
    </w:p>
    <w:p w14:paraId="35C906BC" w14:textId="68D9F16F"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AL HECHO NOVENO: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7C141C15" w14:textId="77777777" w:rsidR="00B851F2" w:rsidRDefault="00B851F2" w:rsidP="00B851F2">
      <w:pPr>
        <w:spacing w:line="360" w:lineRule="auto"/>
        <w:jc w:val="both"/>
        <w:rPr>
          <w:rFonts w:ascii="Arial" w:eastAsia="Arial" w:hAnsi="Arial" w:cs="Arial"/>
          <w:b/>
          <w:bCs/>
          <w:color w:val="000000" w:themeColor="text1"/>
        </w:rPr>
      </w:pPr>
    </w:p>
    <w:p w14:paraId="2A863DE7" w14:textId="0EBE6B1E" w:rsidR="00631092" w:rsidRDefault="00B851F2"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sidR="00631092">
        <w:rPr>
          <w:rFonts w:ascii="Arial" w:eastAsia="Arial" w:hAnsi="Arial" w:cs="Arial"/>
          <w:b/>
          <w:bCs/>
          <w:color w:val="000000" w:themeColor="text1"/>
        </w:rPr>
        <w:t xml:space="preserve"> </w:t>
      </w:r>
      <w:r w:rsidR="00631092">
        <w:rPr>
          <w:rFonts w:ascii="Arial" w:eastAsia="Arial" w:hAnsi="Arial" w:cs="Arial"/>
          <w:color w:val="000000" w:themeColor="text1"/>
        </w:rPr>
        <w:t xml:space="preserve">No es un hecho, es una apreciación subjetiva que realiza el apoderado de la parte demandante acerca las afectaciones de las personas mencionadas,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631092">
        <w:rPr>
          <w:rFonts w:ascii="Arial" w:eastAsia="Arial" w:hAnsi="Arial" w:cs="Arial"/>
          <w:color w:val="000000" w:themeColor="text1"/>
        </w:rPr>
        <w:t xml:space="preserve">. En cuanto a la referencia al poder otorgado, nos atemperamos a lo efectivamente probado en el proceso y a la validez de los documentos allegados como pruebas y/o anexos a la demanda, relacionados con el hecho en cuestión. </w:t>
      </w:r>
    </w:p>
    <w:p w14:paraId="72364DCA" w14:textId="77777777" w:rsidR="00B851F2" w:rsidRDefault="00B851F2" w:rsidP="00B851F2">
      <w:pPr>
        <w:spacing w:line="360" w:lineRule="auto"/>
        <w:jc w:val="both"/>
        <w:rPr>
          <w:rFonts w:ascii="Arial" w:eastAsia="Arial" w:hAnsi="Arial" w:cs="Arial"/>
          <w:color w:val="000000" w:themeColor="text1"/>
        </w:rPr>
      </w:pPr>
    </w:p>
    <w:p w14:paraId="28533D9D" w14:textId="77777777" w:rsidR="00B851F2" w:rsidRPr="003125FD" w:rsidRDefault="00B851F2" w:rsidP="003125FD">
      <w:pPr>
        <w:pStyle w:val="Prrafodelista"/>
        <w:numPr>
          <w:ilvl w:val="0"/>
          <w:numId w:val="28"/>
        </w:numPr>
        <w:spacing w:after="0" w:line="360" w:lineRule="auto"/>
        <w:jc w:val="center"/>
        <w:rPr>
          <w:rFonts w:ascii="Arial" w:eastAsia="Arial" w:hAnsi="Arial" w:cs="Arial"/>
          <w:b/>
          <w:bCs/>
          <w:color w:val="000000" w:themeColor="text1"/>
          <w:u w:val="single"/>
        </w:rPr>
      </w:pPr>
      <w:r w:rsidRPr="005F52CE">
        <w:rPr>
          <w:rFonts w:ascii="Arial" w:eastAsia="Arial" w:hAnsi="Arial" w:cs="Arial"/>
          <w:b/>
          <w:bCs/>
          <w:color w:val="000000" w:themeColor="text1"/>
          <w:u w:val="single"/>
          <w:lang w:val="es-ES"/>
        </w:rPr>
        <w:t>FRENTE A LAS PRETENSIONES DE LA DEMANDA</w:t>
      </w:r>
    </w:p>
    <w:p w14:paraId="653E9459" w14:textId="77777777" w:rsidR="0080033E" w:rsidRPr="005F52CE" w:rsidRDefault="0080033E" w:rsidP="003125FD">
      <w:pPr>
        <w:pStyle w:val="Prrafodelista"/>
        <w:spacing w:after="0" w:line="360" w:lineRule="auto"/>
        <w:rPr>
          <w:rFonts w:ascii="Arial" w:eastAsia="Arial" w:hAnsi="Arial" w:cs="Arial"/>
          <w:b/>
          <w:bCs/>
          <w:color w:val="000000" w:themeColor="text1"/>
          <w:u w:val="single"/>
        </w:rPr>
      </w:pPr>
    </w:p>
    <w:p w14:paraId="1C6F73FF" w14:textId="6A1915C3" w:rsidR="00B851F2" w:rsidRDefault="00B851F2" w:rsidP="0080033E">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Me opongo a todas y cada una de las pretensiones de la demanda, por carecer de fundamentos</w:t>
      </w:r>
      <w:r>
        <w:rPr>
          <w:rFonts w:ascii="Arial" w:eastAsia="Arial" w:hAnsi="Arial" w:cs="Arial"/>
          <w:color w:val="000000" w:themeColor="text1"/>
        </w:rPr>
        <w:t xml:space="preserve"> </w:t>
      </w:r>
      <w:r w:rsidRPr="00B25902">
        <w:rPr>
          <w:rFonts w:ascii="Arial" w:eastAsia="Arial" w:hAnsi="Arial" w:cs="Arial"/>
          <w:color w:val="000000" w:themeColor="text1"/>
        </w:rPr>
        <w:lastRenderedPageBreak/>
        <w:t>fácticos, jurídicos y probatorios que hagan viable su prosperidad. Lo anterior, comoquiera que la</w:t>
      </w:r>
      <w:r>
        <w:rPr>
          <w:rFonts w:ascii="Arial" w:eastAsia="Arial" w:hAnsi="Arial" w:cs="Arial"/>
          <w:color w:val="000000" w:themeColor="text1"/>
        </w:rPr>
        <w:t xml:space="preserve"> </w:t>
      </w:r>
      <w:r w:rsidRPr="00B25902">
        <w:rPr>
          <w:rFonts w:ascii="Arial" w:eastAsia="Arial" w:hAnsi="Arial" w:cs="Arial"/>
          <w:color w:val="000000" w:themeColor="text1"/>
        </w:rPr>
        <w:t xml:space="preserve">responsabilidad de la </w:t>
      </w:r>
      <w:r w:rsidRPr="004551BE">
        <w:rPr>
          <w:rFonts w:ascii="Arial" w:eastAsia="Arial" w:hAnsi="Arial" w:cs="Arial"/>
          <w:color w:val="000000" w:themeColor="text1"/>
        </w:rPr>
        <w:t>DISTRITO ESPECIAL DE SANTIAGO DE CALI</w:t>
      </w:r>
      <w:r w:rsidRPr="00B25902">
        <w:rPr>
          <w:rFonts w:ascii="Arial" w:eastAsia="Arial" w:hAnsi="Arial" w:cs="Arial"/>
          <w:color w:val="000000" w:themeColor="text1"/>
        </w:rPr>
        <w:t xml:space="preserve"> no se estructuró, toda vez que en</w:t>
      </w:r>
      <w:r>
        <w:rPr>
          <w:rFonts w:ascii="Arial" w:eastAsia="Arial" w:hAnsi="Arial" w:cs="Arial"/>
          <w:color w:val="000000" w:themeColor="text1"/>
        </w:rPr>
        <w:t xml:space="preserve"> </w:t>
      </w:r>
      <w:r w:rsidRPr="00B25902">
        <w:rPr>
          <w:rFonts w:ascii="Arial" w:eastAsia="Arial" w:hAnsi="Arial" w:cs="Arial"/>
          <w:color w:val="000000" w:themeColor="text1"/>
        </w:rPr>
        <w:t>estos casos impera el principio de la carga de la prueba tanto de la supuesta falla del servicio,</w:t>
      </w:r>
      <w:r>
        <w:rPr>
          <w:rFonts w:ascii="Arial" w:eastAsia="Arial" w:hAnsi="Arial" w:cs="Arial"/>
          <w:color w:val="000000" w:themeColor="text1"/>
        </w:rPr>
        <w:t xml:space="preserve"> </w:t>
      </w:r>
      <w:r w:rsidRPr="00B25902">
        <w:rPr>
          <w:rFonts w:ascii="Arial" w:eastAsia="Arial" w:hAnsi="Arial" w:cs="Arial"/>
          <w:color w:val="000000" w:themeColor="text1"/>
        </w:rPr>
        <w:t xml:space="preserve">como del daño antijurídico y </w:t>
      </w:r>
      <w:r w:rsidR="00BC15F9">
        <w:rPr>
          <w:rFonts w:ascii="Arial" w:eastAsia="Arial" w:hAnsi="Arial" w:cs="Arial"/>
          <w:color w:val="000000" w:themeColor="text1"/>
        </w:rPr>
        <w:t xml:space="preserve">en especial del </w:t>
      </w:r>
      <w:r w:rsidRPr="00B25902">
        <w:rPr>
          <w:rFonts w:ascii="Arial" w:eastAsia="Arial" w:hAnsi="Arial" w:cs="Arial"/>
          <w:color w:val="000000" w:themeColor="text1"/>
        </w:rPr>
        <w:t xml:space="preserve">nexo de causalidad entre ambos. En el </w:t>
      </w:r>
      <w:r w:rsidR="00BC15F9" w:rsidRPr="003C2868">
        <w:rPr>
          <w:rFonts w:ascii="Arial" w:eastAsia="Arial" w:hAnsi="Arial" w:cs="Arial"/>
          <w:i/>
          <w:iCs/>
          <w:color w:val="000000" w:themeColor="text1"/>
        </w:rPr>
        <w:t>sub-lite</w:t>
      </w:r>
      <w:r w:rsidRPr="00B25902">
        <w:rPr>
          <w:rFonts w:ascii="Arial" w:eastAsia="Arial" w:hAnsi="Arial" w:cs="Arial"/>
          <w:color w:val="000000" w:themeColor="text1"/>
        </w:rPr>
        <w:t>, la parte demandante</w:t>
      </w:r>
      <w:r>
        <w:rPr>
          <w:rFonts w:ascii="Arial" w:eastAsia="Arial" w:hAnsi="Arial" w:cs="Arial"/>
          <w:color w:val="000000" w:themeColor="text1"/>
        </w:rPr>
        <w:t xml:space="preserve"> </w:t>
      </w:r>
      <w:r w:rsidRPr="00B25902">
        <w:rPr>
          <w:rFonts w:ascii="Arial" w:eastAsia="Arial" w:hAnsi="Arial" w:cs="Arial"/>
          <w:color w:val="000000" w:themeColor="text1"/>
        </w:rPr>
        <w:t>no ha cumplido con ello, lo que inviabiliza la declaratoria de responsabilidad del Estado.</w:t>
      </w:r>
      <w:r>
        <w:rPr>
          <w:rFonts w:ascii="Arial" w:eastAsia="Arial" w:hAnsi="Arial" w:cs="Arial"/>
          <w:color w:val="000000" w:themeColor="text1"/>
        </w:rPr>
        <w:t xml:space="preserve"> </w:t>
      </w:r>
    </w:p>
    <w:p w14:paraId="7AC1CDCF" w14:textId="77777777" w:rsidR="00B851F2" w:rsidRDefault="00B851F2" w:rsidP="00B851F2">
      <w:pPr>
        <w:spacing w:line="360" w:lineRule="auto"/>
        <w:jc w:val="both"/>
        <w:rPr>
          <w:rFonts w:ascii="Arial" w:eastAsia="Arial" w:hAnsi="Arial" w:cs="Arial"/>
          <w:color w:val="000000" w:themeColor="text1"/>
        </w:rPr>
      </w:pPr>
    </w:p>
    <w:p w14:paraId="780165AC" w14:textId="77777777" w:rsidR="00B851F2" w:rsidRDefault="00B851F2" w:rsidP="00B851F2">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Por lo tanto, me referiré a cada una de las pretensiones expuestas en el escrito de la demanda,</w:t>
      </w:r>
      <w:r>
        <w:rPr>
          <w:rFonts w:ascii="Arial" w:eastAsia="Arial" w:hAnsi="Arial" w:cs="Arial"/>
          <w:color w:val="000000" w:themeColor="text1"/>
        </w:rPr>
        <w:t xml:space="preserve"> </w:t>
      </w:r>
      <w:r w:rsidRPr="00B25902">
        <w:rPr>
          <w:rFonts w:ascii="Arial" w:eastAsia="Arial" w:hAnsi="Arial" w:cs="Arial"/>
          <w:color w:val="000000" w:themeColor="text1"/>
        </w:rPr>
        <w:t>de la siguiente manera:</w:t>
      </w:r>
    </w:p>
    <w:p w14:paraId="68A671D7" w14:textId="77777777" w:rsidR="00B851F2" w:rsidRPr="00B25902" w:rsidRDefault="00B851F2" w:rsidP="00B851F2">
      <w:pPr>
        <w:spacing w:line="360" w:lineRule="auto"/>
        <w:rPr>
          <w:rFonts w:ascii="Arial" w:eastAsia="Arial" w:hAnsi="Arial" w:cs="Arial"/>
          <w:color w:val="000000" w:themeColor="text1"/>
        </w:rPr>
      </w:pPr>
    </w:p>
    <w:p w14:paraId="546A36C5" w14:textId="049DEF3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BC15F9">
        <w:rPr>
          <w:rFonts w:ascii="Arial" w:eastAsia="Arial" w:hAnsi="Arial" w:cs="Arial"/>
          <w:b/>
          <w:bCs/>
          <w:color w:val="000000" w:themeColor="text1"/>
        </w:rPr>
        <w:t>PRIMERA</w:t>
      </w:r>
      <w:r w:rsidRPr="004551BE">
        <w:rPr>
          <w:rFonts w:ascii="Arial" w:eastAsia="Arial" w:hAnsi="Arial" w:cs="Arial"/>
          <w:b/>
          <w:bCs/>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sidRPr="00886CD7">
        <w:rPr>
          <w:rFonts w:ascii="Arial" w:eastAsia="Arial" w:hAnsi="Arial" w:cs="Arial"/>
          <w:color w:val="000000" w:themeColor="text1"/>
        </w:rPr>
        <w:t>m</w:t>
      </w:r>
      <w:r w:rsidRPr="004551BE">
        <w:rPr>
          <w:rFonts w:ascii="Arial" w:eastAsia="Arial" w:hAnsi="Arial" w:cs="Arial"/>
          <w:color w:val="000000" w:themeColor="text1"/>
        </w:rPr>
        <w:t>e opongo rotundamente a la declaratoria de la responsabilidad en contra de</w:t>
      </w:r>
      <w:r w:rsidR="00614DF9">
        <w:rPr>
          <w:rFonts w:ascii="Arial" w:eastAsia="Arial" w:hAnsi="Arial" w:cs="Arial"/>
          <w:color w:val="000000" w:themeColor="text1"/>
        </w:rPr>
        <w:t>l</w:t>
      </w:r>
      <w:r w:rsidRPr="004551BE">
        <w:rPr>
          <w:rFonts w:ascii="Arial" w:eastAsia="Arial" w:hAnsi="Arial" w:cs="Arial"/>
          <w:color w:val="000000" w:themeColor="text1"/>
        </w:rPr>
        <w:t xml:space="preserve"> </w:t>
      </w:r>
      <w:r w:rsidR="00614DF9">
        <w:rPr>
          <w:rFonts w:ascii="Arial" w:eastAsia="Arial" w:hAnsi="Arial" w:cs="Arial"/>
          <w:color w:val="000000" w:themeColor="text1"/>
        </w:rPr>
        <w:t>DISTRITO ESPECIAL DE SANTIADO DE CALI</w:t>
      </w:r>
      <w:r w:rsidRPr="004551BE">
        <w:rPr>
          <w:rFonts w:ascii="Arial" w:eastAsia="Arial" w:hAnsi="Arial" w:cs="Arial"/>
          <w:color w:val="000000" w:themeColor="text1"/>
        </w:rPr>
        <w:t xml:space="preserve"> en razón a que: i) </w:t>
      </w:r>
      <w:r w:rsidR="0080033E">
        <w:rPr>
          <w:rFonts w:ascii="Arial" w:eastAsia="Arial" w:hAnsi="Arial" w:cs="Arial"/>
          <w:color w:val="000000" w:themeColor="text1"/>
        </w:rPr>
        <w:t>s</w:t>
      </w:r>
      <w:r>
        <w:rPr>
          <w:rFonts w:ascii="Arial" w:eastAsia="Arial" w:hAnsi="Arial" w:cs="Arial"/>
          <w:color w:val="000000" w:themeColor="text1"/>
        </w:rPr>
        <w:t xml:space="preserve">e hace evidente de los elementos probatorios allegados al caso, que el daño que da fundamento a la demanda tuvo como causa un hecho inequívoco y flagrante producido por un tercero, pues se puede advertir la responsabilidad del señor </w:t>
      </w:r>
      <w:r w:rsidR="00BA4E6A">
        <w:rPr>
          <w:rFonts w:ascii="Arial" w:eastAsia="Arial" w:hAnsi="Arial" w:cs="Arial"/>
          <w:color w:val="000000" w:themeColor="text1"/>
        </w:rPr>
        <w:t>Gustavo Rodríguez</w:t>
      </w:r>
      <w:r>
        <w:rPr>
          <w:rFonts w:ascii="Arial" w:eastAsia="Arial" w:hAnsi="Arial" w:cs="Arial"/>
          <w:color w:val="000000" w:themeColor="text1"/>
        </w:rPr>
        <w:t xml:space="preserve">, quién </w:t>
      </w:r>
      <w:r w:rsidR="00BA4E6A">
        <w:rPr>
          <w:rFonts w:ascii="Arial" w:eastAsia="Arial" w:hAnsi="Arial" w:cs="Arial"/>
          <w:color w:val="000000" w:themeColor="text1"/>
        </w:rPr>
        <w:t>en su condición de peatón cruzó la vía estando el semáforo en rojo, tal como se indica en el Informe Policial de Accidente de Tránsito No. A0011290</w:t>
      </w:r>
      <w:r>
        <w:rPr>
          <w:rFonts w:ascii="Arial" w:eastAsia="Arial" w:hAnsi="Arial" w:cs="Arial"/>
          <w:color w:val="000000" w:themeColor="text1"/>
        </w:rPr>
        <w:t xml:space="preserve">; </w:t>
      </w:r>
      <w:proofErr w:type="spellStart"/>
      <w:r>
        <w:rPr>
          <w:rFonts w:ascii="Arial" w:eastAsia="Arial" w:hAnsi="Arial" w:cs="Arial"/>
          <w:color w:val="000000" w:themeColor="text1"/>
        </w:rPr>
        <w:t>ii</w:t>
      </w:r>
      <w:proofErr w:type="spellEnd"/>
      <w:r>
        <w:rPr>
          <w:rFonts w:ascii="Arial" w:eastAsia="Arial" w:hAnsi="Arial" w:cs="Arial"/>
          <w:color w:val="000000" w:themeColor="text1"/>
        </w:rPr>
        <w:t xml:space="preserve">) </w:t>
      </w:r>
      <w:r w:rsidR="008817F9">
        <w:rPr>
          <w:rFonts w:ascii="Arial" w:eastAsia="Arial" w:hAnsi="Arial" w:cs="Arial"/>
          <w:color w:val="000000" w:themeColor="text1"/>
        </w:rPr>
        <w:t>por otro lado, n</w:t>
      </w:r>
      <w:r w:rsidRPr="004551BE">
        <w:rPr>
          <w:rFonts w:ascii="Arial" w:eastAsia="Arial" w:hAnsi="Arial" w:cs="Arial"/>
          <w:color w:val="000000" w:themeColor="text1"/>
        </w:rPr>
        <w:t xml:space="preserve">o existe ningún fundamento fáctico, jurídico o probatorio que permita establecer que por parte del Distrito de Santiago de Cali se presentó una conducta </w:t>
      </w:r>
      <w:r>
        <w:rPr>
          <w:rFonts w:ascii="Arial" w:eastAsia="Arial" w:hAnsi="Arial" w:cs="Arial"/>
          <w:color w:val="000000" w:themeColor="text1"/>
        </w:rPr>
        <w:t xml:space="preserve">activa u </w:t>
      </w:r>
      <w:r w:rsidRPr="004551BE">
        <w:rPr>
          <w:rFonts w:ascii="Arial" w:eastAsia="Arial" w:hAnsi="Arial" w:cs="Arial"/>
          <w:color w:val="000000" w:themeColor="text1"/>
        </w:rPr>
        <w:t xml:space="preserve">omisiva, negligente o imprudente que haya ocasionado el daño que aquí nos convoca; </w:t>
      </w:r>
      <w:r w:rsidR="008817F9">
        <w:rPr>
          <w:rFonts w:ascii="Arial" w:eastAsia="Arial" w:hAnsi="Arial" w:cs="Arial"/>
          <w:color w:val="000000" w:themeColor="text1"/>
        </w:rPr>
        <w:t xml:space="preserve">adicionalmente, </w:t>
      </w:r>
      <w:proofErr w:type="spellStart"/>
      <w:r w:rsidRPr="004551BE">
        <w:rPr>
          <w:rFonts w:ascii="Arial" w:eastAsia="Arial" w:hAnsi="Arial" w:cs="Arial"/>
          <w:color w:val="000000" w:themeColor="text1"/>
        </w:rPr>
        <w:t>ii</w:t>
      </w:r>
      <w:r w:rsidR="008817F9">
        <w:rPr>
          <w:rFonts w:ascii="Arial" w:eastAsia="Arial" w:hAnsi="Arial" w:cs="Arial"/>
          <w:color w:val="000000" w:themeColor="text1"/>
        </w:rPr>
        <w:t>i</w:t>
      </w:r>
      <w:proofErr w:type="spellEnd"/>
      <w:r w:rsidRPr="004551BE">
        <w:rPr>
          <w:rFonts w:ascii="Arial" w:eastAsia="Arial" w:hAnsi="Arial" w:cs="Arial"/>
          <w:color w:val="000000" w:themeColor="text1"/>
        </w:rPr>
        <w:t xml:space="preserve">) </w:t>
      </w:r>
      <w:r w:rsidR="008817F9">
        <w:rPr>
          <w:rFonts w:ascii="Arial" w:eastAsia="Arial" w:hAnsi="Arial" w:cs="Arial"/>
          <w:color w:val="000000" w:themeColor="text1"/>
        </w:rPr>
        <w:t>l</w:t>
      </w:r>
      <w:r w:rsidRPr="004551BE">
        <w:rPr>
          <w:rFonts w:ascii="Arial" w:eastAsia="Arial" w:hAnsi="Arial" w:cs="Arial"/>
          <w:color w:val="000000" w:themeColor="text1"/>
        </w:rPr>
        <w:t>a parte actora no ha acreditado que la causa eficiente de</w:t>
      </w:r>
      <w:r w:rsidR="00BA4E6A">
        <w:rPr>
          <w:rFonts w:ascii="Arial" w:eastAsia="Arial" w:hAnsi="Arial" w:cs="Arial"/>
          <w:color w:val="000000" w:themeColor="text1"/>
        </w:rPr>
        <w:t xml:space="preserve"> </w:t>
      </w:r>
      <w:r w:rsidRPr="004551BE">
        <w:rPr>
          <w:rFonts w:ascii="Arial" w:eastAsia="Arial" w:hAnsi="Arial" w:cs="Arial"/>
          <w:color w:val="000000" w:themeColor="text1"/>
        </w:rPr>
        <w:t>l</w:t>
      </w:r>
      <w:r w:rsidR="00BA4E6A">
        <w:rPr>
          <w:rFonts w:ascii="Arial" w:eastAsia="Arial" w:hAnsi="Arial" w:cs="Arial"/>
          <w:color w:val="000000" w:themeColor="text1"/>
        </w:rPr>
        <w:t>a</w:t>
      </w:r>
      <w:r w:rsidRPr="004551BE">
        <w:rPr>
          <w:rFonts w:ascii="Arial" w:eastAsia="Arial" w:hAnsi="Arial" w:cs="Arial"/>
          <w:color w:val="000000" w:themeColor="text1"/>
        </w:rPr>
        <w:t xml:space="preserve"> </w:t>
      </w:r>
      <w:r w:rsidR="00BA4E6A">
        <w:rPr>
          <w:rFonts w:ascii="Arial" w:eastAsia="Arial" w:hAnsi="Arial" w:cs="Arial"/>
          <w:color w:val="000000" w:themeColor="text1"/>
        </w:rPr>
        <w:t>pérdida de capacidad laboral del señor David Caicedo Garzón</w:t>
      </w:r>
      <w:r>
        <w:rPr>
          <w:rFonts w:ascii="Arial" w:eastAsia="Arial" w:hAnsi="Arial" w:cs="Arial"/>
          <w:color w:val="000000" w:themeColor="text1"/>
        </w:rPr>
        <w:t xml:space="preserve"> </w:t>
      </w:r>
      <w:r w:rsidR="00BA4E6A">
        <w:rPr>
          <w:rFonts w:ascii="Arial" w:eastAsia="Arial" w:hAnsi="Arial" w:cs="Arial"/>
          <w:color w:val="000000" w:themeColor="text1"/>
        </w:rPr>
        <w:t xml:space="preserve">ha </w:t>
      </w:r>
      <w:r>
        <w:rPr>
          <w:rFonts w:ascii="Arial" w:eastAsia="Arial" w:hAnsi="Arial" w:cs="Arial"/>
          <w:color w:val="000000" w:themeColor="text1"/>
        </w:rPr>
        <w:t xml:space="preserve">sido creada </w:t>
      </w:r>
      <w:r w:rsidR="00BA4E6A">
        <w:rPr>
          <w:rFonts w:ascii="Arial" w:eastAsia="Arial" w:hAnsi="Arial" w:cs="Arial"/>
          <w:color w:val="000000" w:themeColor="text1"/>
        </w:rPr>
        <w:t xml:space="preserve">o concretada </w:t>
      </w:r>
      <w:r>
        <w:rPr>
          <w:rFonts w:ascii="Arial" w:eastAsia="Arial" w:hAnsi="Arial" w:cs="Arial"/>
          <w:color w:val="000000" w:themeColor="text1"/>
        </w:rPr>
        <w:t>por la entidad demandada</w:t>
      </w:r>
      <w:r w:rsidRPr="004551BE">
        <w:rPr>
          <w:rFonts w:ascii="Arial" w:eastAsia="Arial" w:hAnsi="Arial" w:cs="Arial"/>
          <w:color w:val="000000" w:themeColor="text1"/>
        </w:rPr>
        <w:t>;</w:t>
      </w:r>
      <w:r w:rsidR="008817F9">
        <w:rPr>
          <w:rFonts w:ascii="Arial" w:eastAsia="Arial" w:hAnsi="Arial" w:cs="Arial"/>
          <w:color w:val="000000" w:themeColor="text1"/>
        </w:rPr>
        <w:t xml:space="preserve"> y por último</w:t>
      </w:r>
      <w:r w:rsidRPr="004551BE">
        <w:rPr>
          <w:rFonts w:ascii="Arial" w:eastAsia="Arial" w:hAnsi="Arial" w:cs="Arial"/>
          <w:color w:val="000000" w:themeColor="text1"/>
        </w:rPr>
        <w:t xml:space="preserve"> </w:t>
      </w:r>
      <w:proofErr w:type="spellStart"/>
      <w:r w:rsidRPr="004551BE">
        <w:rPr>
          <w:rFonts w:ascii="Arial" w:eastAsia="Arial" w:hAnsi="Arial" w:cs="Arial"/>
          <w:color w:val="000000" w:themeColor="text1"/>
        </w:rPr>
        <w:t>i</w:t>
      </w:r>
      <w:r w:rsidR="008817F9">
        <w:rPr>
          <w:rFonts w:ascii="Arial" w:eastAsia="Arial" w:hAnsi="Arial" w:cs="Arial"/>
          <w:color w:val="000000" w:themeColor="text1"/>
        </w:rPr>
        <w:t>v</w:t>
      </w:r>
      <w:proofErr w:type="spellEnd"/>
      <w:r w:rsidRPr="004551BE">
        <w:rPr>
          <w:rFonts w:ascii="Arial" w:eastAsia="Arial" w:hAnsi="Arial" w:cs="Arial"/>
          <w:color w:val="000000" w:themeColor="text1"/>
        </w:rPr>
        <w:t>) se evidencia que ni el Distrito ni la compañía aseguradora intervin</w:t>
      </w:r>
      <w:r>
        <w:rPr>
          <w:rFonts w:ascii="Arial" w:eastAsia="Arial" w:hAnsi="Arial" w:cs="Arial"/>
          <w:color w:val="000000" w:themeColor="text1"/>
        </w:rPr>
        <w:t>ieron</w:t>
      </w:r>
      <w:r w:rsidRPr="004551BE">
        <w:rPr>
          <w:rFonts w:ascii="Arial" w:eastAsia="Arial" w:hAnsi="Arial" w:cs="Arial"/>
          <w:color w:val="000000" w:themeColor="text1"/>
        </w:rPr>
        <w:t xml:space="preserve"> en el hecho generador del daño, sino que </w:t>
      </w:r>
      <w:r>
        <w:rPr>
          <w:rFonts w:ascii="Arial" w:eastAsia="Arial" w:hAnsi="Arial" w:cs="Arial"/>
          <w:color w:val="000000" w:themeColor="text1"/>
        </w:rPr>
        <w:t>se presentó un</w:t>
      </w:r>
      <w:r w:rsidRPr="004551BE">
        <w:rPr>
          <w:rFonts w:ascii="Arial" w:eastAsia="Arial" w:hAnsi="Arial" w:cs="Arial"/>
          <w:color w:val="000000" w:themeColor="text1"/>
        </w:rPr>
        <w:t xml:space="preserve"> actuar </w:t>
      </w:r>
      <w:r>
        <w:rPr>
          <w:rFonts w:ascii="Arial" w:eastAsia="Arial" w:hAnsi="Arial" w:cs="Arial"/>
          <w:color w:val="000000" w:themeColor="text1"/>
        </w:rPr>
        <w:t xml:space="preserve">determinante de la víctima </w:t>
      </w:r>
      <w:r w:rsidR="008817F9">
        <w:rPr>
          <w:rFonts w:ascii="Arial" w:eastAsia="Arial" w:hAnsi="Arial" w:cs="Arial"/>
          <w:color w:val="000000" w:themeColor="text1"/>
        </w:rPr>
        <w:t xml:space="preserve">y del tercero </w:t>
      </w:r>
      <w:r w:rsidRPr="004551BE">
        <w:rPr>
          <w:rFonts w:ascii="Arial" w:eastAsia="Arial" w:hAnsi="Arial" w:cs="Arial"/>
          <w:color w:val="000000" w:themeColor="text1"/>
        </w:rPr>
        <w:t xml:space="preserve">al no atender los deberes objetivos de </w:t>
      </w:r>
      <w:r>
        <w:rPr>
          <w:rFonts w:ascii="Arial" w:eastAsia="Arial" w:hAnsi="Arial" w:cs="Arial"/>
          <w:color w:val="000000" w:themeColor="text1"/>
        </w:rPr>
        <w:t>cuidado en las normas de tránsito</w:t>
      </w:r>
      <w:r w:rsidRPr="004551BE">
        <w:rPr>
          <w:rFonts w:ascii="Arial" w:eastAsia="Arial" w:hAnsi="Arial" w:cs="Arial"/>
          <w:color w:val="000000" w:themeColor="text1"/>
        </w:rPr>
        <w:t xml:space="preserve">. </w:t>
      </w:r>
    </w:p>
    <w:p w14:paraId="09C41277" w14:textId="77777777" w:rsidR="00B851F2" w:rsidRPr="004551BE" w:rsidRDefault="00B851F2" w:rsidP="00B851F2">
      <w:pPr>
        <w:spacing w:line="360" w:lineRule="auto"/>
        <w:jc w:val="both"/>
        <w:rPr>
          <w:rFonts w:ascii="Arial" w:eastAsia="Arial" w:hAnsi="Arial" w:cs="Arial"/>
          <w:color w:val="000000" w:themeColor="text1"/>
        </w:rPr>
      </w:pPr>
    </w:p>
    <w:p w14:paraId="42050C1D" w14:textId="32B1F8B6"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7597F">
        <w:rPr>
          <w:rFonts w:ascii="Arial" w:eastAsia="Arial" w:hAnsi="Arial" w:cs="Arial"/>
          <w:b/>
          <w:bCs/>
          <w:color w:val="000000" w:themeColor="text1"/>
        </w:rPr>
        <w:t>SEGUNDA</w:t>
      </w:r>
      <w:r w:rsidRPr="004551BE">
        <w:rPr>
          <w:rFonts w:ascii="Arial" w:eastAsia="Arial" w:hAnsi="Arial" w:cs="Arial"/>
          <w:b/>
          <w:bCs/>
          <w:color w:val="000000" w:themeColor="text1"/>
        </w:rPr>
        <w:t>:</w:t>
      </w:r>
      <w:r w:rsidRPr="004551BE">
        <w:rPr>
          <w:rFonts w:ascii="Arial" w:eastAsia="Arial" w:hAnsi="Arial" w:cs="Arial"/>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cualquier condena en contra de </w:t>
      </w:r>
      <w:r w:rsidR="00852F53" w:rsidRPr="00852F53">
        <w:rPr>
          <w:rFonts w:ascii="Arial" w:eastAsia="Arial" w:hAnsi="Arial" w:cs="Arial"/>
          <w:color w:val="000000" w:themeColor="text1"/>
        </w:rPr>
        <w:t>HDI SEGUROS S.A.</w:t>
      </w:r>
      <w:r w:rsidRPr="004551BE">
        <w:rPr>
          <w:rFonts w:ascii="Arial" w:eastAsia="Arial" w:hAnsi="Arial" w:cs="Arial"/>
          <w:color w:val="000000" w:themeColor="text1"/>
        </w:rPr>
        <w:t xml:space="preserve"> en razón a que la parte actora no ha acreditado los elementos constitutivos de la responsabilidad extracontractual por parte del Distrito de Santiago de Cali. </w:t>
      </w:r>
    </w:p>
    <w:p w14:paraId="56AE86CE" w14:textId="77777777" w:rsidR="00B851F2" w:rsidRPr="004551BE" w:rsidRDefault="00B851F2" w:rsidP="00B851F2">
      <w:pPr>
        <w:spacing w:line="360" w:lineRule="auto"/>
        <w:jc w:val="both"/>
        <w:rPr>
          <w:rFonts w:ascii="Arial" w:eastAsia="Arial" w:hAnsi="Arial" w:cs="Arial"/>
          <w:color w:val="000000" w:themeColor="text1"/>
        </w:rPr>
      </w:pPr>
    </w:p>
    <w:p w14:paraId="0076779D" w14:textId="6975B25F"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.1. Daño emergente</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D12F4F">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2133E7">
        <w:rPr>
          <w:rFonts w:ascii="Arial" w:eastAsia="Arial" w:hAnsi="Arial" w:cs="Arial"/>
          <w:color w:val="000000" w:themeColor="text1"/>
        </w:rPr>
        <w:t>e opongo</w:t>
      </w:r>
      <w:r>
        <w:rPr>
          <w:rFonts w:ascii="Arial" w:eastAsia="Arial" w:hAnsi="Arial" w:cs="Arial"/>
          <w:b/>
          <w:bCs/>
          <w:color w:val="000000" w:themeColor="text1"/>
        </w:rPr>
        <w:t xml:space="preserve"> </w:t>
      </w:r>
      <w:r>
        <w:rPr>
          <w:rFonts w:ascii="Arial" w:eastAsia="Arial" w:hAnsi="Arial" w:cs="Arial"/>
          <w:color w:val="000000" w:themeColor="text1"/>
        </w:rPr>
        <w:t xml:space="preserve">rotundamente a la prosperidad de este perjuicio, </w:t>
      </w:r>
      <w:r w:rsidR="00C82849">
        <w:rPr>
          <w:rFonts w:ascii="Arial" w:eastAsia="Arial" w:hAnsi="Arial" w:cs="Arial"/>
          <w:color w:val="000000" w:themeColor="text1"/>
        </w:rPr>
        <w:t>en</w:t>
      </w:r>
      <w:r>
        <w:rPr>
          <w:rFonts w:ascii="Arial" w:eastAsia="Arial" w:hAnsi="Arial" w:cs="Arial"/>
          <w:color w:val="000000" w:themeColor="text1"/>
        </w:rPr>
        <w:t xml:space="preserve"> tanto los daños alegados no pueden ser imputados a la entidad demandada ni a la entidad aseguradora, en consecuencia, resulta improcedente la pretensión relacionada con este aspecto</w:t>
      </w:r>
      <w:r w:rsidR="00C34CC0">
        <w:rPr>
          <w:rFonts w:ascii="Arial" w:eastAsia="Arial" w:hAnsi="Arial" w:cs="Arial"/>
          <w:color w:val="000000" w:themeColor="text1"/>
        </w:rPr>
        <w:t xml:space="preserve"> toda vez que </w:t>
      </w:r>
      <w:r w:rsidR="00C34CC0" w:rsidRPr="00C34CC0">
        <w:rPr>
          <w:rFonts w:ascii="Arial" w:eastAsia="Arial" w:hAnsi="Arial" w:cs="Arial"/>
          <w:color w:val="000000" w:themeColor="text1"/>
        </w:rPr>
        <w:t xml:space="preserve">no </w:t>
      </w:r>
      <w:r w:rsidR="00C34CC0">
        <w:rPr>
          <w:rFonts w:ascii="Arial" w:eastAsia="Arial" w:hAnsi="Arial" w:cs="Arial"/>
          <w:color w:val="000000" w:themeColor="text1"/>
        </w:rPr>
        <w:t>existe en el plenario</w:t>
      </w:r>
      <w:r w:rsidR="00C34CC0" w:rsidRPr="00C34CC0">
        <w:rPr>
          <w:rFonts w:ascii="Arial" w:eastAsia="Arial" w:hAnsi="Arial" w:cs="Arial"/>
          <w:color w:val="000000" w:themeColor="text1"/>
        </w:rPr>
        <w:t xml:space="preserve"> una prueba siquiera sumaria de </w:t>
      </w:r>
      <w:r w:rsidR="00C34CC0">
        <w:rPr>
          <w:rFonts w:ascii="Arial" w:eastAsia="Arial" w:hAnsi="Arial" w:cs="Arial"/>
          <w:color w:val="000000" w:themeColor="text1"/>
        </w:rPr>
        <w:t>la</w:t>
      </w:r>
      <w:r w:rsidR="00C34CC0" w:rsidRPr="00C34CC0">
        <w:rPr>
          <w:rFonts w:ascii="Arial" w:eastAsia="Arial" w:hAnsi="Arial" w:cs="Arial"/>
          <w:color w:val="000000" w:themeColor="text1"/>
        </w:rPr>
        <w:t xml:space="preserve"> </w:t>
      </w:r>
      <w:proofErr w:type="spellStart"/>
      <w:r w:rsidR="00C34CC0" w:rsidRPr="00C34CC0">
        <w:rPr>
          <w:rFonts w:ascii="Arial" w:eastAsia="Arial" w:hAnsi="Arial" w:cs="Arial"/>
          <w:color w:val="000000" w:themeColor="text1"/>
        </w:rPr>
        <w:t>causación</w:t>
      </w:r>
      <w:proofErr w:type="spellEnd"/>
      <w:r w:rsidR="00C34CC0">
        <w:rPr>
          <w:rFonts w:ascii="Arial" w:eastAsia="Arial" w:hAnsi="Arial" w:cs="Arial"/>
          <w:color w:val="000000" w:themeColor="text1"/>
        </w:rPr>
        <w:t xml:space="preserve"> del perjuicio en mención</w:t>
      </w:r>
      <w:r w:rsidR="00C34CC0" w:rsidRPr="00C34CC0">
        <w:rPr>
          <w:rFonts w:ascii="Arial" w:eastAsia="Arial" w:hAnsi="Arial" w:cs="Arial"/>
          <w:color w:val="000000" w:themeColor="text1"/>
        </w:rPr>
        <w:t xml:space="preserve">, máxime porque si bien hay constancias y recibidos de gastos varios, no hay ningún documento que acredite que del patrimonio de las víctimas salió dinero para pagar las erogaciones </w:t>
      </w:r>
      <w:r w:rsidR="00C34CC0">
        <w:rPr>
          <w:rFonts w:ascii="Arial" w:eastAsia="Arial" w:hAnsi="Arial" w:cs="Arial"/>
          <w:color w:val="000000" w:themeColor="text1"/>
        </w:rPr>
        <w:t>sobre este tema,</w:t>
      </w:r>
      <w:r w:rsidR="00C34CC0" w:rsidRPr="00C34CC0">
        <w:rPr>
          <w:rFonts w:ascii="Arial" w:eastAsia="Arial" w:hAnsi="Arial" w:cs="Arial"/>
          <w:color w:val="000000" w:themeColor="text1"/>
        </w:rPr>
        <w:t xml:space="preserve"> descritas</w:t>
      </w:r>
      <w:r w:rsidR="00C34CC0">
        <w:rPr>
          <w:rFonts w:ascii="Arial" w:eastAsia="Arial" w:hAnsi="Arial" w:cs="Arial"/>
          <w:color w:val="000000" w:themeColor="text1"/>
        </w:rPr>
        <w:t>.</w:t>
      </w:r>
      <w:r w:rsidRPr="004551BE">
        <w:rPr>
          <w:rFonts w:ascii="Arial" w:eastAsia="Arial" w:hAnsi="Arial" w:cs="Arial"/>
          <w:color w:val="000000" w:themeColor="text1"/>
        </w:rPr>
        <w:t xml:space="preserve"> </w:t>
      </w:r>
    </w:p>
    <w:p w14:paraId="5BD76F4A" w14:textId="77777777" w:rsidR="00B851F2" w:rsidRPr="004551BE" w:rsidRDefault="00B851F2" w:rsidP="00B851F2">
      <w:pPr>
        <w:spacing w:line="360" w:lineRule="auto"/>
        <w:jc w:val="both"/>
        <w:rPr>
          <w:rFonts w:ascii="Arial" w:eastAsia="Arial" w:hAnsi="Arial" w:cs="Arial"/>
          <w:color w:val="000000" w:themeColor="text1"/>
        </w:rPr>
      </w:pPr>
    </w:p>
    <w:p w14:paraId="0CD798FB" w14:textId="39EE6C1E" w:rsidR="00502C5F"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.2.</w:t>
      </w:r>
      <w:r w:rsidR="00C82849">
        <w:rPr>
          <w:rFonts w:ascii="Arial" w:eastAsia="Arial" w:hAnsi="Arial" w:cs="Arial"/>
          <w:b/>
          <w:bCs/>
          <w:color w:val="000000" w:themeColor="text1"/>
        </w:rPr>
        <w:t>1</w:t>
      </w:r>
      <w:r w:rsidRPr="004551BE">
        <w:rPr>
          <w:rFonts w:ascii="Arial" w:eastAsia="Arial" w:hAnsi="Arial" w:cs="Arial"/>
          <w:b/>
          <w:bCs/>
          <w:color w:val="000000" w:themeColor="text1"/>
        </w:rPr>
        <w:t xml:space="preserve"> </w:t>
      </w:r>
      <w:bookmarkStart w:id="1" w:name="_Int_tv8Nt0gi"/>
      <w:bookmarkStart w:id="2" w:name="_Int_S1aVXv7h"/>
      <w:r>
        <w:rPr>
          <w:rFonts w:ascii="Arial" w:eastAsia="Arial" w:hAnsi="Arial" w:cs="Arial"/>
          <w:b/>
          <w:bCs/>
          <w:color w:val="000000" w:themeColor="text1"/>
        </w:rPr>
        <w:t>Lucro cesante</w:t>
      </w:r>
      <w:r w:rsidR="00A475B3">
        <w:rPr>
          <w:rFonts w:ascii="Arial" w:eastAsia="Arial" w:hAnsi="Arial" w:cs="Arial"/>
          <w:b/>
          <w:bCs/>
          <w:color w:val="000000" w:themeColor="text1"/>
        </w:rPr>
        <w:t xml:space="preserve"> pasado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 xml:space="preserve">Aunque la pretensión </w:t>
      </w:r>
      <w:r w:rsidRPr="00115BC2">
        <w:rPr>
          <w:rFonts w:ascii="Arial" w:eastAsia="Arial" w:hAnsi="Arial" w:cs="Arial"/>
          <w:color w:val="000000" w:themeColor="text1"/>
        </w:rPr>
        <w:lastRenderedPageBreak/>
        <w:t>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sidR="0089663A">
        <w:rPr>
          <w:rFonts w:ascii="Arial" w:eastAsia="Arial" w:hAnsi="Arial" w:cs="Arial"/>
          <w:color w:val="000000" w:themeColor="text1"/>
        </w:rPr>
        <w:t>David Caicedo Garzón</w:t>
      </w:r>
      <w:r>
        <w:rPr>
          <w:rFonts w:ascii="Arial" w:eastAsia="Arial" w:hAnsi="Arial" w:cs="Arial"/>
          <w:color w:val="000000" w:themeColor="text1"/>
        </w:rPr>
        <w:t xml:space="preserve"> </w:t>
      </w:r>
      <w:r w:rsidRPr="004551BE">
        <w:rPr>
          <w:rFonts w:ascii="Arial" w:eastAsia="Arial" w:hAnsi="Arial" w:cs="Arial"/>
          <w:color w:val="000000" w:themeColor="text1"/>
        </w:rPr>
        <w:t>para la época de</w:t>
      </w:r>
      <w:r>
        <w:rPr>
          <w:rFonts w:ascii="Arial" w:eastAsia="Arial" w:hAnsi="Arial" w:cs="Arial"/>
          <w:color w:val="000000" w:themeColor="text1"/>
        </w:rPr>
        <w:t xml:space="preserve"> los hechos</w:t>
      </w:r>
      <w:r w:rsidRPr="004551BE">
        <w:rPr>
          <w:rFonts w:ascii="Arial" w:eastAsia="Arial" w:hAnsi="Arial" w:cs="Arial"/>
          <w:color w:val="000000" w:themeColor="text1"/>
        </w:rPr>
        <w:t xml:space="preserve"> ejerciera una actividad productiva</w:t>
      </w:r>
      <w:r>
        <w:rPr>
          <w:rFonts w:ascii="Arial" w:eastAsia="Arial" w:hAnsi="Arial" w:cs="Arial"/>
          <w:color w:val="000000" w:themeColor="text1"/>
        </w:rPr>
        <w:t xml:space="preserve"> y que percibiera ingresos por ella</w:t>
      </w:r>
      <w:r w:rsidRPr="004551BE">
        <w:rPr>
          <w:rFonts w:ascii="Arial" w:eastAsia="Arial" w:hAnsi="Arial" w:cs="Arial"/>
          <w:color w:val="000000" w:themeColor="text1"/>
        </w:rPr>
        <w:t>, puesto que no allegó ningún elemento de convicción que permitiera establecer la existencia de una relación laboral</w:t>
      </w:r>
      <w:r>
        <w:rPr>
          <w:rFonts w:ascii="Arial" w:eastAsia="Arial" w:hAnsi="Arial" w:cs="Arial"/>
          <w:color w:val="000000" w:themeColor="text1"/>
        </w:rPr>
        <w:t xml:space="preserve"> que </w:t>
      </w:r>
      <w:r w:rsidR="00A475B3">
        <w:rPr>
          <w:rFonts w:ascii="Arial" w:eastAsia="Arial" w:hAnsi="Arial" w:cs="Arial"/>
          <w:color w:val="000000" w:themeColor="text1"/>
        </w:rPr>
        <w:t xml:space="preserve">fuese a estar </w:t>
      </w:r>
      <w:r>
        <w:rPr>
          <w:rFonts w:ascii="Arial" w:eastAsia="Arial" w:hAnsi="Arial" w:cs="Arial"/>
          <w:color w:val="000000" w:themeColor="text1"/>
        </w:rPr>
        <w:t>vigente en el tiempo</w:t>
      </w:r>
      <w:r w:rsidR="00A475B3">
        <w:rPr>
          <w:rFonts w:ascii="Arial" w:eastAsia="Arial" w:hAnsi="Arial" w:cs="Arial"/>
          <w:color w:val="000000" w:themeColor="text1"/>
        </w:rPr>
        <w:t>,</w:t>
      </w:r>
      <w:r>
        <w:rPr>
          <w:rFonts w:ascii="Arial" w:eastAsia="Arial" w:hAnsi="Arial" w:cs="Arial"/>
          <w:color w:val="000000" w:themeColor="text1"/>
        </w:rPr>
        <w:t xml:space="preserve"> pues </w:t>
      </w:r>
      <w:r w:rsidR="00A475B3">
        <w:rPr>
          <w:rFonts w:ascii="Arial" w:eastAsia="Arial" w:hAnsi="Arial" w:cs="Arial"/>
          <w:color w:val="000000" w:themeColor="text1"/>
        </w:rPr>
        <w:t>de los</w:t>
      </w:r>
      <w:r>
        <w:rPr>
          <w:rFonts w:ascii="Arial" w:eastAsia="Arial" w:hAnsi="Arial" w:cs="Arial"/>
          <w:color w:val="000000" w:themeColor="text1"/>
        </w:rPr>
        <w:t xml:space="preserve"> documento</w:t>
      </w:r>
      <w:r w:rsidR="00A475B3">
        <w:rPr>
          <w:rFonts w:ascii="Arial" w:eastAsia="Arial" w:hAnsi="Arial" w:cs="Arial"/>
          <w:color w:val="000000" w:themeColor="text1"/>
        </w:rPr>
        <w:t>s</w:t>
      </w:r>
      <w:r>
        <w:rPr>
          <w:rFonts w:ascii="Arial" w:eastAsia="Arial" w:hAnsi="Arial" w:cs="Arial"/>
          <w:color w:val="000000" w:themeColor="text1"/>
        </w:rPr>
        <w:t xml:space="preserve"> acercado</w:t>
      </w:r>
      <w:r w:rsidR="00A475B3">
        <w:rPr>
          <w:rFonts w:ascii="Arial" w:eastAsia="Arial" w:hAnsi="Arial" w:cs="Arial"/>
          <w:color w:val="000000" w:themeColor="text1"/>
        </w:rPr>
        <w:t>s</w:t>
      </w:r>
      <w:r>
        <w:rPr>
          <w:rFonts w:ascii="Arial" w:eastAsia="Arial" w:hAnsi="Arial" w:cs="Arial"/>
          <w:color w:val="000000" w:themeColor="text1"/>
        </w:rPr>
        <w:t xml:space="preserve"> al plenario</w:t>
      </w:r>
      <w:r w:rsidR="00A475B3">
        <w:rPr>
          <w:rFonts w:ascii="Arial" w:eastAsia="Arial" w:hAnsi="Arial" w:cs="Arial"/>
          <w:color w:val="000000" w:themeColor="text1"/>
        </w:rPr>
        <w:t>, se evidencia un contrato de aprendizaje que tendría como</w:t>
      </w:r>
      <w:r w:rsidR="003F414B">
        <w:rPr>
          <w:rFonts w:ascii="Arial" w:eastAsia="Arial" w:hAnsi="Arial" w:cs="Arial"/>
          <w:color w:val="000000" w:themeColor="text1"/>
        </w:rPr>
        <w:t xml:space="preserve"> fecha de inicio el 02 de noviembre de 2019 y fecha de</w:t>
      </w:r>
      <w:r w:rsidR="00A475B3">
        <w:rPr>
          <w:rFonts w:ascii="Arial" w:eastAsia="Arial" w:hAnsi="Arial" w:cs="Arial"/>
          <w:color w:val="000000" w:themeColor="text1"/>
        </w:rPr>
        <w:t xml:space="preserve"> finalización el 01 de mayo de 2020</w:t>
      </w:r>
      <w:r>
        <w:rPr>
          <w:rFonts w:ascii="Arial" w:eastAsia="Arial" w:hAnsi="Arial" w:cs="Arial"/>
          <w:color w:val="000000" w:themeColor="text1"/>
        </w:rPr>
        <w:t xml:space="preserve">, lo que impide considerar de manera inequívoca </w:t>
      </w:r>
      <w:r w:rsidR="00A475B3">
        <w:rPr>
          <w:rFonts w:ascii="Arial" w:eastAsia="Arial" w:hAnsi="Arial" w:cs="Arial"/>
          <w:color w:val="000000" w:themeColor="text1"/>
        </w:rPr>
        <w:t xml:space="preserve">que ese vínculo laboral sería estable, ello con fundamento </w:t>
      </w:r>
      <w:r w:rsidR="002F3226">
        <w:rPr>
          <w:rFonts w:ascii="Arial" w:eastAsia="Arial" w:hAnsi="Arial" w:cs="Arial"/>
          <w:color w:val="000000" w:themeColor="text1"/>
        </w:rPr>
        <w:t>en</w:t>
      </w:r>
      <w:r w:rsidR="00A475B3">
        <w:rPr>
          <w:rFonts w:ascii="Arial" w:eastAsia="Arial" w:hAnsi="Arial" w:cs="Arial"/>
          <w:color w:val="000000" w:themeColor="text1"/>
        </w:rPr>
        <w:t xml:space="preserve"> que </w:t>
      </w:r>
      <w:r w:rsidR="002F3226">
        <w:rPr>
          <w:rFonts w:ascii="Arial" w:eastAsia="Arial" w:hAnsi="Arial" w:cs="Arial"/>
          <w:color w:val="000000" w:themeColor="text1"/>
        </w:rPr>
        <w:t xml:space="preserve">la remuneración es de sostenimiento y no propiamente salarial, que la naturaleza de </w:t>
      </w:r>
      <w:r w:rsidR="00A475B3">
        <w:rPr>
          <w:rFonts w:ascii="Arial" w:eastAsia="Arial" w:hAnsi="Arial" w:cs="Arial"/>
          <w:color w:val="000000" w:themeColor="text1"/>
        </w:rPr>
        <w:t>ese contrato es justamente la de formación profesional, y porque la ley establece un periodo máximo de vigencia</w:t>
      </w:r>
      <w:r w:rsidR="002F3226">
        <w:rPr>
          <w:rFonts w:ascii="Arial" w:eastAsia="Arial" w:hAnsi="Arial" w:cs="Arial"/>
          <w:color w:val="000000" w:themeColor="text1"/>
        </w:rPr>
        <w:t xml:space="preserve"> para aquel</w:t>
      </w:r>
      <w:r w:rsidRPr="004551BE">
        <w:rPr>
          <w:rFonts w:ascii="Arial" w:eastAsia="Arial" w:hAnsi="Arial" w:cs="Arial"/>
          <w:color w:val="000000" w:themeColor="text1"/>
        </w:rPr>
        <w:t>.</w:t>
      </w:r>
      <w:r w:rsidR="00A475B3">
        <w:rPr>
          <w:rFonts w:ascii="Arial" w:eastAsia="Arial" w:hAnsi="Arial" w:cs="Arial"/>
          <w:color w:val="000000" w:themeColor="text1"/>
        </w:rPr>
        <w:t xml:space="preserve"> Aunado a ello, </w:t>
      </w:r>
      <w:r w:rsidR="003F414B">
        <w:rPr>
          <w:rFonts w:ascii="Arial" w:eastAsia="Arial" w:hAnsi="Arial" w:cs="Arial"/>
          <w:color w:val="000000" w:themeColor="text1"/>
        </w:rPr>
        <w:t>en cualquier</w:t>
      </w:r>
      <w:r w:rsidR="00A475B3">
        <w:rPr>
          <w:rFonts w:ascii="Arial" w:eastAsia="Arial" w:hAnsi="Arial" w:cs="Arial"/>
          <w:color w:val="000000" w:themeColor="text1"/>
        </w:rPr>
        <w:t xml:space="preserve"> </w:t>
      </w:r>
      <w:r w:rsidR="002F3226">
        <w:rPr>
          <w:rFonts w:ascii="Arial" w:eastAsia="Arial" w:hAnsi="Arial" w:cs="Arial"/>
          <w:color w:val="000000" w:themeColor="text1"/>
        </w:rPr>
        <w:t>caso,</w:t>
      </w:r>
      <w:r w:rsidR="00A475B3">
        <w:rPr>
          <w:rFonts w:ascii="Arial" w:eastAsia="Arial" w:hAnsi="Arial" w:cs="Arial"/>
          <w:color w:val="000000" w:themeColor="text1"/>
        </w:rPr>
        <w:t xml:space="preserve"> tenemos que obra en el expediente </w:t>
      </w:r>
      <w:r w:rsidR="003F414B">
        <w:rPr>
          <w:rFonts w:ascii="Arial" w:eastAsia="Arial" w:hAnsi="Arial" w:cs="Arial"/>
          <w:color w:val="000000" w:themeColor="text1"/>
        </w:rPr>
        <w:t xml:space="preserve">carta expedida por el </w:t>
      </w:r>
      <w:r w:rsidR="008817F9">
        <w:rPr>
          <w:rFonts w:ascii="Arial" w:eastAsia="Arial" w:hAnsi="Arial" w:cs="Arial"/>
          <w:color w:val="000000" w:themeColor="text1"/>
        </w:rPr>
        <w:t>C</w:t>
      </w:r>
      <w:r w:rsidR="003F414B">
        <w:rPr>
          <w:rFonts w:ascii="Arial" w:eastAsia="Arial" w:hAnsi="Arial" w:cs="Arial"/>
          <w:color w:val="000000" w:themeColor="text1"/>
        </w:rPr>
        <w:t>lub Colombia (empresa patrocinadora)</w:t>
      </w:r>
      <w:r w:rsidR="008817F9">
        <w:rPr>
          <w:rFonts w:ascii="Arial" w:eastAsia="Arial" w:hAnsi="Arial" w:cs="Arial"/>
          <w:color w:val="000000" w:themeColor="text1"/>
        </w:rPr>
        <w:t>,</w:t>
      </w:r>
      <w:r w:rsidR="003F414B">
        <w:rPr>
          <w:rFonts w:ascii="Arial" w:eastAsia="Arial" w:hAnsi="Arial" w:cs="Arial"/>
          <w:color w:val="000000" w:themeColor="text1"/>
        </w:rPr>
        <w:t xml:space="preserve"> en la que se hace referencia a que se pagaron efectivamente las cuotas de sostenimiento en los meses que correspondía para </w:t>
      </w:r>
      <w:r w:rsidR="002F3226">
        <w:rPr>
          <w:rFonts w:ascii="Arial" w:eastAsia="Arial" w:hAnsi="Arial" w:cs="Arial"/>
          <w:color w:val="000000" w:themeColor="text1"/>
        </w:rPr>
        <w:t>la vigencia d</w:t>
      </w:r>
      <w:r w:rsidR="003F414B">
        <w:rPr>
          <w:rFonts w:ascii="Arial" w:eastAsia="Arial" w:hAnsi="Arial" w:cs="Arial"/>
          <w:color w:val="000000" w:themeColor="text1"/>
        </w:rPr>
        <w:t>el contrato</w:t>
      </w:r>
      <w:r w:rsidR="00502C5F">
        <w:rPr>
          <w:rFonts w:ascii="Arial" w:eastAsia="Arial" w:hAnsi="Arial" w:cs="Arial"/>
          <w:color w:val="000000" w:themeColor="text1"/>
        </w:rPr>
        <w:t>, por ello no es coherente afirmar que se haya presentado un lucro cesante pasado.</w:t>
      </w:r>
      <w:r w:rsidRPr="004551BE">
        <w:rPr>
          <w:rFonts w:ascii="Arial" w:eastAsia="Arial" w:hAnsi="Arial" w:cs="Arial"/>
          <w:color w:val="000000" w:themeColor="text1"/>
        </w:rPr>
        <w:t xml:space="preserve"> </w:t>
      </w:r>
    </w:p>
    <w:p w14:paraId="72294029" w14:textId="77777777" w:rsidR="008817F9" w:rsidRDefault="008817F9" w:rsidP="00B851F2">
      <w:pPr>
        <w:spacing w:line="360" w:lineRule="auto"/>
        <w:jc w:val="both"/>
        <w:rPr>
          <w:rFonts w:ascii="Arial" w:eastAsia="Arial" w:hAnsi="Arial" w:cs="Arial"/>
          <w:color w:val="000000" w:themeColor="text1"/>
        </w:rPr>
      </w:pPr>
    </w:p>
    <w:p w14:paraId="26436E82" w14:textId="2ED4596E"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w:t>
      </w:r>
      <w:proofErr w:type="gramStart"/>
      <w:r>
        <w:rPr>
          <w:rFonts w:ascii="Arial" w:eastAsia="Arial" w:hAnsi="Arial" w:cs="Arial"/>
          <w:color w:val="000000" w:themeColor="text1"/>
        </w:rPr>
        <w:t>a</w:t>
      </w:r>
      <w:proofErr w:type="gramEnd"/>
      <w:r>
        <w:rPr>
          <w:rFonts w:ascii="Arial" w:eastAsia="Arial" w:hAnsi="Arial" w:cs="Arial"/>
          <w:color w:val="000000" w:themeColor="text1"/>
        </w:rPr>
        <w:t xml:space="preserve"> tener en cuenta para su cálculo, lo que lleva indudablemente a su negativa. </w:t>
      </w:r>
    </w:p>
    <w:p w14:paraId="1D9A83C2" w14:textId="77777777" w:rsidR="00502C5F" w:rsidRDefault="00502C5F" w:rsidP="00B851F2">
      <w:pPr>
        <w:spacing w:line="360" w:lineRule="auto"/>
        <w:jc w:val="both"/>
        <w:rPr>
          <w:rFonts w:ascii="Arial" w:eastAsia="Arial" w:hAnsi="Arial" w:cs="Arial"/>
          <w:color w:val="000000" w:themeColor="text1"/>
        </w:rPr>
      </w:pPr>
    </w:p>
    <w:p w14:paraId="72D55EFE" w14:textId="7C6D7E08" w:rsidR="00B851F2" w:rsidRDefault="00502C5F"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Pr>
          <w:rFonts w:ascii="Arial" w:eastAsia="Arial" w:hAnsi="Arial" w:cs="Arial"/>
          <w:b/>
          <w:bCs/>
          <w:color w:val="000000" w:themeColor="text1"/>
        </w:rPr>
        <w:t>1.2.</w:t>
      </w:r>
      <w:r w:rsidR="00DE3353">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Lucro cesante futuro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Pr>
          <w:rFonts w:ascii="Arial" w:eastAsia="Arial" w:hAnsi="Arial" w:cs="Arial"/>
          <w:color w:val="000000" w:themeColor="text1"/>
        </w:rPr>
        <w:t>David Caicedo Garzón tuviera una vinculación contractual o que devengará salarios de manera permanente, de tal forma que se pueda establecer lo que efectivamente dejaría de percibir por la imposibilidad (no demostrada y por tanto, no configurada) de ejercer labores, recordando que para ello se pudieron haber allegado por la parte actora desprendibles de pago o de nómina que dieran fe de los ingresos del demandante.</w:t>
      </w:r>
      <w:r w:rsidR="001937BF">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En este sentido, el Consejo de Estado ha manifestado </w:t>
      </w:r>
      <w:r w:rsidR="001937BF">
        <w:rPr>
          <w:rFonts w:ascii="Arial" w:eastAsia="Arial" w:hAnsi="Arial" w:cs="Arial"/>
          <w:color w:val="000000" w:themeColor="text1"/>
        </w:rPr>
        <w:t xml:space="preserve">en una línea de argumento pacifica, </w:t>
      </w:r>
      <w:r w:rsidR="00B851F2" w:rsidRPr="004551BE">
        <w:rPr>
          <w:rFonts w:ascii="Arial" w:eastAsia="Arial" w:hAnsi="Arial" w:cs="Arial"/>
          <w:color w:val="000000" w:themeColor="text1"/>
        </w:rPr>
        <w:t>que no se admite presunción</w:t>
      </w:r>
      <w:r w:rsidR="00B851F2">
        <w:rPr>
          <w:rFonts w:ascii="Arial" w:eastAsia="Arial" w:hAnsi="Arial" w:cs="Arial"/>
          <w:color w:val="000000" w:themeColor="text1"/>
        </w:rPr>
        <w:t xml:space="preserve"> </w:t>
      </w:r>
      <w:r w:rsidR="00A475B3">
        <w:rPr>
          <w:rFonts w:ascii="Arial" w:eastAsia="Arial" w:hAnsi="Arial" w:cs="Arial"/>
          <w:color w:val="000000" w:themeColor="text1"/>
        </w:rPr>
        <w:t xml:space="preserve">en </w:t>
      </w:r>
      <w:r w:rsidR="00B851F2">
        <w:rPr>
          <w:rFonts w:ascii="Arial" w:eastAsia="Arial" w:hAnsi="Arial" w:cs="Arial"/>
          <w:color w:val="000000" w:themeColor="text1"/>
        </w:rPr>
        <w:t>el ejercicio de un oficio</w:t>
      </w:r>
      <w:r w:rsidR="00B851F2" w:rsidRPr="004551BE">
        <w:rPr>
          <w:rFonts w:ascii="Arial" w:eastAsia="Arial" w:hAnsi="Arial" w:cs="Arial"/>
          <w:color w:val="000000" w:themeColor="text1"/>
        </w:rPr>
        <w:t xml:space="preserve">, por lo que, al no existir prueba </w:t>
      </w:r>
      <w:r w:rsidR="00B851F2">
        <w:rPr>
          <w:rFonts w:ascii="Arial" w:eastAsia="Arial" w:hAnsi="Arial" w:cs="Arial"/>
          <w:color w:val="000000" w:themeColor="text1"/>
        </w:rPr>
        <w:t>de ello,</w:t>
      </w:r>
      <w:r w:rsidR="001937BF">
        <w:rPr>
          <w:rFonts w:ascii="Arial" w:eastAsia="Arial" w:hAnsi="Arial" w:cs="Arial"/>
          <w:color w:val="000000" w:themeColor="text1"/>
        </w:rPr>
        <w:t xml:space="preserve"> o de</w:t>
      </w:r>
      <w:r w:rsidR="00B851F2">
        <w:rPr>
          <w:rFonts w:ascii="Arial" w:eastAsia="Arial" w:hAnsi="Arial" w:cs="Arial"/>
          <w:color w:val="000000" w:themeColor="text1"/>
        </w:rPr>
        <w:t xml:space="preserve"> mucho menos de su contraprestación, entonces </w:t>
      </w:r>
      <w:r w:rsidR="00B851F2" w:rsidRPr="004551BE">
        <w:rPr>
          <w:rFonts w:ascii="Arial" w:eastAsia="Arial" w:hAnsi="Arial" w:cs="Arial"/>
          <w:color w:val="000000" w:themeColor="text1"/>
        </w:rPr>
        <w:t xml:space="preserve">no </w:t>
      </w:r>
      <w:r w:rsidR="001937BF">
        <w:rPr>
          <w:rFonts w:ascii="Arial" w:eastAsia="Arial" w:hAnsi="Arial" w:cs="Arial"/>
          <w:color w:val="000000" w:themeColor="text1"/>
        </w:rPr>
        <w:t>resulta</w:t>
      </w:r>
      <w:r w:rsidR="00B851F2" w:rsidRPr="004551BE">
        <w:rPr>
          <w:rFonts w:ascii="Arial" w:eastAsia="Arial" w:hAnsi="Arial" w:cs="Arial"/>
          <w:color w:val="000000" w:themeColor="text1"/>
        </w:rPr>
        <w:t xml:space="preserve"> procedente acceder a dicha pretensión.</w:t>
      </w:r>
      <w:bookmarkEnd w:id="1"/>
    </w:p>
    <w:p w14:paraId="3F05FDA1" w14:textId="77777777" w:rsidR="008817F9" w:rsidRDefault="008817F9" w:rsidP="00B851F2">
      <w:pPr>
        <w:spacing w:line="360" w:lineRule="auto"/>
        <w:jc w:val="both"/>
        <w:rPr>
          <w:rFonts w:ascii="Arial" w:eastAsia="Arial" w:hAnsi="Arial" w:cs="Arial"/>
          <w:color w:val="000000" w:themeColor="text1"/>
        </w:rPr>
      </w:pPr>
    </w:p>
    <w:p w14:paraId="1C15E23D" w14:textId="51249929"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w:t>
      </w:r>
      <w:proofErr w:type="gramStart"/>
      <w:r>
        <w:rPr>
          <w:rFonts w:ascii="Arial" w:eastAsia="Arial" w:hAnsi="Arial" w:cs="Arial"/>
          <w:color w:val="000000" w:themeColor="text1"/>
        </w:rPr>
        <w:t>a</w:t>
      </w:r>
      <w:proofErr w:type="gramEnd"/>
      <w:r>
        <w:rPr>
          <w:rFonts w:ascii="Arial" w:eastAsia="Arial" w:hAnsi="Arial" w:cs="Arial"/>
          <w:color w:val="000000" w:themeColor="text1"/>
        </w:rPr>
        <w:t xml:space="preserve"> tener en cuenta para su cálculo, lo que lleva indudablemente a su negativa. </w:t>
      </w:r>
    </w:p>
    <w:p w14:paraId="7EAA3E44" w14:textId="77777777" w:rsidR="00B851F2" w:rsidRDefault="00B851F2" w:rsidP="00B851F2">
      <w:pPr>
        <w:spacing w:line="360" w:lineRule="auto"/>
        <w:jc w:val="both"/>
        <w:rPr>
          <w:rFonts w:ascii="Arial" w:eastAsia="Arial" w:hAnsi="Arial" w:cs="Arial"/>
          <w:color w:val="000000" w:themeColor="text1"/>
        </w:rPr>
      </w:pPr>
    </w:p>
    <w:p w14:paraId="6423AA9E" w14:textId="0AB686A8"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 LA PRETENSIÓN DENOMINADA 2.</w:t>
      </w:r>
      <w:r w:rsidR="00DE3353">
        <w:rPr>
          <w:rFonts w:ascii="Arial" w:eastAsia="Arial" w:hAnsi="Arial" w:cs="Arial"/>
          <w:b/>
          <w:bCs/>
          <w:color w:val="000000" w:themeColor="text1"/>
        </w:rPr>
        <w:t>1</w:t>
      </w:r>
      <w:r>
        <w:rPr>
          <w:rFonts w:ascii="Arial" w:eastAsia="Arial" w:hAnsi="Arial" w:cs="Arial"/>
          <w:b/>
          <w:bCs/>
          <w:color w:val="000000" w:themeColor="text1"/>
        </w:rPr>
        <w:t>.</w:t>
      </w:r>
      <w:r w:rsidRPr="004551BE">
        <w:rPr>
          <w:rFonts w:ascii="Arial" w:eastAsia="Arial" w:hAnsi="Arial" w:cs="Arial"/>
          <w:b/>
          <w:bCs/>
          <w:color w:val="000000" w:themeColor="text1"/>
        </w:rPr>
        <w:t xml:space="preserve"> D</w:t>
      </w:r>
      <w:r>
        <w:rPr>
          <w:rFonts w:ascii="Arial" w:eastAsia="Arial" w:hAnsi="Arial" w:cs="Arial"/>
          <w:b/>
          <w:bCs/>
          <w:color w:val="000000" w:themeColor="text1"/>
        </w:rPr>
        <w:t>año</w:t>
      </w:r>
      <w:r w:rsidRPr="004551BE">
        <w:rPr>
          <w:rFonts w:ascii="Arial" w:eastAsia="Arial" w:hAnsi="Arial" w:cs="Arial"/>
          <w:b/>
          <w:bCs/>
          <w:color w:val="000000" w:themeColor="text1"/>
        </w:rPr>
        <w:t xml:space="preserve"> </w:t>
      </w:r>
      <w:r>
        <w:rPr>
          <w:rFonts w:ascii="Arial" w:eastAsia="Arial" w:hAnsi="Arial" w:cs="Arial"/>
          <w:b/>
          <w:bCs/>
          <w:color w:val="000000" w:themeColor="text1"/>
        </w:rPr>
        <w:t>a</w:t>
      </w:r>
      <w:r w:rsidRPr="004551BE">
        <w:rPr>
          <w:rFonts w:ascii="Arial" w:eastAsia="Arial" w:hAnsi="Arial" w:cs="Arial"/>
          <w:b/>
          <w:bCs/>
          <w:color w:val="000000" w:themeColor="text1"/>
        </w:rPr>
        <w:t xml:space="preserve"> </w:t>
      </w:r>
      <w:r>
        <w:rPr>
          <w:rFonts w:ascii="Arial" w:eastAsia="Arial" w:hAnsi="Arial" w:cs="Arial"/>
          <w:b/>
          <w:bCs/>
          <w:color w:val="000000" w:themeColor="text1"/>
        </w:rPr>
        <w:t>la</w:t>
      </w:r>
      <w:r w:rsidRPr="004551BE">
        <w:rPr>
          <w:rFonts w:ascii="Arial" w:eastAsia="Arial" w:hAnsi="Arial" w:cs="Arial"/>
          <w:b/>
          <w:bCs/>
          <w:color w:val="000000" w:themeColor="text1"/>
        </w:rPr>
        <w:t xml:space="preserve"> </w:t>
      </w:r>
      <w:r>
        <w:rPr>
          <w:rFonts w:ascii="Arial" w:eastAsia="Arial" w:hAnsi="Arial" w:cs="Arial"/>
          <w:b/>
          <w:bCs/>
          <w:color w:val="000000" w:themeColor="text1"/>
        </w:rPr>
        <w:t>vida</w:t>
      </w:r>
      <w:r w:rsidRPr="004551BE">
        <w:rPr>
          <w:rFonts w:ascii="Arial" w:eastAsia="Arial" w:hAnsi="Arial" w:cs="Arial"/>
          <w:b/>
          <w:bCs/>
          <w:color w:val="000000" w:themeColor="text1"/>
        </w:rPr>
        <w:t xml:space="preserve"> </w:t>
      </w:r>
      <w:r>
        <w:rPr>
          <w:rFonts w:ascii="Arial" w:eastAsia="Arial" w:hAnsi="Arial" w:cs="Arial"/>
          <w:b/>
          <w:bCs/>
          <w:color w:val="000000" w:themeColor="text1"/>
        </w:rPr>
        <w:t>de</w:t>
      </w:r>
      <w:r w:rsidRPr="004551BE">
        <w:rPr>
          <w:rFonts w:ascii="Arial" w:eastAsia="Arial" w:hAnsi="Arial" w:cs="Arial"/>
          <w:b/>
          <w:bCs/>
          <w:color w:val="000000" w:themeColor="text1"/>
        </w:rPr>
        <w:t xml:space="preserve"> </w:t>
      </w:r>
      <w:r>
        <w:rPr>
          <w:rFonts w:ascii="Arial" w:eastAsia="Arial" w:hAnsi="Arial" w:cs="Arial"/>
          <w:b/>
          <w:bCs/>
          <w:color w:val="000000" w:themeColor="text1"/>
        </w:rPr>
        <w:t>relación</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 xml:space="preserve">Aunque la </w:t>
      </w:r>
      <w:r w:rsidRPr="00936A3A">
        <w:rPr>
          <w:rFonts w:ascii="Arial" w:eastAsia="Arial" w:hAnsi="Arial" w:cs="Arial"/>
          <w:color w:val="000000" w:themeColor="text1"/>
        </w:rPr>
        <w:lastRenderedPageBreak/>
        <w:t>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la prosperidad de este perjuicio en cuanto el Consejo de Estado en su jurisprudencia ha determinado que este perjuicio se encuentra subsumido en el daño a la salud, por lo que, no hay lugar a reconocer esta indemnización de manera autónoma, sino incluida en el perjuicio ya mencionado. </w:t>
      </w:r>
      <w:r w:rsidR="0050187F">
        <w:rPr>
          <w:rFonts w:ascii="Arial" w:eastAsia="Arial" w:hAnsi="Arial" w:cs="Arial"/>
          <w:color w:val="000000" w:themeColor="text1"/>
        </w:rPr>
        <w:t xml:space="preserve">Ello implica que desde la parte activa de la acción se debe demostrar de manera efectiva la existencia del daño a </w:t>
      </w:r>
      <w:r w:rsidR="00AA6395">
        <w:rPr>
          <w:rFonts w:ascii="Arial" w:eastAsia="Arial" w:hAnsi="Arial" w:cs="Arial"/>
          <w:color w:val="000000" w:themeColor="text1"/>
        </w:rPr>
        <w:t xml:space="preserve">la </w:t>
      </w:r>
      <w:r w:rsidR="0050187F">
        <w:rPr>
          <w:rFonts w:ascii="Arial" w:eastAsia="Arial" w:hAnsi="Arial" w:cs="Arial"/>
          <w:color w:val="000000" w:themeColor="text1"/>
        </w:rPr>
        <w:t>salud</w:t>
      </w:r>
      <w:r w:rsidR="00AA6395">
        <w:rPr>
          <w:rFonts w:ascii="Arial" w:eastAsia="Arial" w:hAnsi="Arial" w:cs="Arial"/>
          <w:color w:val="000000" w:themeColor="text1"/>
        </w:rPr>
        <w:t xml:space="preserve"> </w:t>
      </w:r>
      <w:r w:rsidR="0050187F">
        <w:rPr>
          <w:rFonts w:ascii="Arial" w:eastAsia="Arial" w:hAnsi="Arial" w:cs="Arial"/>
          <w:color w:val="000000" w:themeColor="text1"/>
        </w:rPr>
        <w:t>referido, y ello no se presenta en el caso</w:t>
      </w:r>
      <w:r w:rsidR="00AA6395">
        <w:rPr>
          <w:rFonts w:ascii="Arial" w:eastAsia="Arial" w:hAnsi="Arial" w:cs="Arial"/>
          <w:color w:val="000000" w:themeColor="text1"/>
        </w:rPr>
        <w:t>,</w:t>
      </w:r>
      <w:r w:rsidR="0050187F">
        <w:rPr>
          <w:rFonts w:ascii="Arial" w:eastAsia="Arial" w:hAnsi="Arial" w:cs="Arial"/>
          <w:color w:val="000000" w:themeColor="text1"/>
        </w:rPr>
        <w:t xml:space="preserve"> pues incluso desde el escrito petitorio salta a la vista que no se ha determinado, tan siquiera, una calificación en firme que dé fe de la pérdida de capacidad laboral, pero sumado a ello y de manera sustancial, la solicitud no procede porque, se reitera, no se ha podido demostrar por parte de los demandantes, la existencia de responsabilidad de la entidad demandada</w:t>
      </w:r>
      <w:r w:rsidR="00E7361E">
        <w:rPr>
          <w:rFonts w:ascii="Arial" w:eastAsia="Arial" w:hAnsi="Arial" w:cs="Arial"/>
          <w:color w:val="000000" w:themeColor="text1"/>
        </w:rPr>
        <w:t xml:space="preserve"> ni a la aseguradora</w:t>
      </w:r>
      <w:r w:rsidR="0050187F">
        <w:rPr>
          <w:rFonts w:ascii="Arial" w:eastAsia="Arial" w:hAnsi="Arial" w:cs="Arial"/>
          <w:color w:val="000000" w:themeColor="text1"/>
        </w:rPr>
        <w:t>, y con ello se evidencia la ausencia de obligación al respecto</w:t>
      </w:r>
      <w:r w:rsidRPr="004551BE">
        <w:rPr>
          <w:rFonts w:ascii="Arial" w:eastAsia="Arial" w:hAnsi="Arial" w:cs="Arial"/>
          <w:color w:val="000000" w:themeColor="text1"/>
        </w:rPr>
        <w:t xml:space="preserve">. </w:t>
      </w:r>
    </w:p>
    <w:p w14:paraId="4755493D" w14:textId="77777777" w:rsidR="00B851F2" w:rsidRPr="004551BE" w:rsidRDefault="00B851F2" w:rsidP="00B851F2">
      <w:pPr>
        <w:spacing w:line="360" w:lineRule="auto"/>
        <w:jc w:val="both"/>
        <w:rPr>
          <w:rFonts w:ascii="Arial" w:eastAsia="Arial" w:hAnsi="Arial" w:cs="Arial"/>
          <w:color w:val="000000" w:themeColor="text1"/>
        </w:rPr>
      </w:pPr>
    </w:p>
    <w:p w14:paraId="2DE77AD5" w14:textId="0F84352C"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 LA PRETENSIÓN DENOMINADA </w:t>
      </w:r>
      <w:r w:rsidR="00E7361E">
        <w:rPr>
          <w:rFonts w:ascii="Arial" w:eastAsia="Arial" w:hAnsi="Arial" w:cs="Arial"/>
          <w:b/>
          <w:bCs/>
          <w:color w:val="000000" w:themeColor="text1"/>
        </w:rPr>
        <w:t>2</w:t>
      </w:r>
      <w:r>
        <w:rPr>
          <w:rFonts w:ascii="Arial" w:eastAsia="Arial" w:hAnsi="Arial" w:cs="Arial"/>
          <w:b/>
          <w:bCs/>
          <w:color w:val="000000" w:themeColor="text1"/>
        </w:rPr>
        <w:t>.</w:t>
      </w:r>
      <w:r w:rsidR="00E7361E">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Perjuicios morales</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e</w:t>
      </w:r>
      <w:r w:rsidRPr="00435BAC">
        <w:rPr>
          <w:rFonts w:ascii="Arial" w:eastAsia="Arial" w:hAnsi="Arial" w:cs="Arial"/>
          <w:color w:val="000000" w:themeColor="text1"/>
        </w:rPr>
        <w:t xml:space="preserve"> opongo rotundamente a la prosperidad de este perjuicio, en razón a que la parte demandante no </w:t>
      </w:r>
      <w:r>
        <w:rPr>
          <w:rFonts w:ascii="Arial" w:eastAsia="Arial" w:hAnsi="Arial" w:cs="Arial"/>
          <w:color w:val="000000" w:themeColor="text1"/>
        </w:rPr>
        <w:t>puede endilgar esa responsabilidad a la entidad demandada ni a la aseguradora por haberse producido el daño a causa del hecho de un tercero</w:t>
      </w:r>
      <w:r w:rsidRPr="00435BAC">
        <w:rPr>
          <w:rFonts w:ascii="Arial" w:eastAsia="Arial" w:hAnsi="Arial" w:cs="Arial"/>
          <w:color w:val="000000" w:themeColor="text1"/>
        </w:rPr>
        <w:t>,</w:t>
      </w:r>
      <w:r>
        <w:rPr>
          <w:rFonts w:ascii="Arial" w:eastAsia="Arial" w:hAnsi="Arial" w:cs="Arial"/>
          <w:color w:val="000000" w:themeColor="text1"/>
        </w:rPr>
        <w:t xml:space="preserve"> como ya se manifestó.</w:t>
      </w:r>
      <w:r w:rsidR="009D557E">
        <w:rPr>
          <w:rFonts w:ascii="Arial" w:eastAsia="Arial" w:hAnsi="Arial" w:cs="Arial"/>
          <w:color w:val="000000" w:themeColor="text1"/>
        </w:rPr>
        <w:t xml:space="preserve"> De manera particular me opongo </w:t>
      </w:r>
      <w:r w:rsidR="009D557E" w:rsidRPr="009D557E">
        <w:rPr>
          <w:rFonts w:ascii="Arial" w:eastAsia="Arial" w:hAnsi="Arial" w:cs="Arial"/>
          <w:color w:val="000000" w:themeColor="text1"/>
        </w:rPr>
        <w:t xml:space="preserve">al reconocimiento de perjuicios morales a la señora ISABEL CAROLINA MEDINA, en la medida que no hay una sola prueba de la supuesta relación como compañera permanente de </w:t>
      </w:r>
      <w:r w:rsidR="009D557E">
        <w:rPr>
          <w:rFonts w:ascii="Arial" w:eastAsia="Arial" w:hAnsi="Arial" w:cs="Arial"/>
          <w:color w:val="000000" w:themeColor="text1"/>
        </w:rPr>
        <w:t>é</w:t>
      </w:r>
      <w:r w:rsidR="009D557E" w:rsidRPr="009D557E">
        <w:rPr>
          <w:rFonts w:ascii="Arial" w:eastAsia="Arial" w:hAnsi="Arial" w:cs="Arial"/>
          <w:color w:val="000000" w:themeColor="text1"/>
        </w:rPr>
        <w:t>sta con la víctima directa</w:t>
      </w:r>
      <w:r w:rsidR="009D557E">
        <w:rPr>
          <w:rFonts w:ascii="Arial" w:eastAsia="Arial" w:hAnsi="Arial" w:cs="Arial"/>
          <w:color w:val="000000" w:themeColor="text1"/>
        </w:rPr>
        <w:t>.</w:t>
      </w:r>
    </w:p>
    <w:p w14:paraId="246016C5" w14:textId="77777777" w:rsidR="00B851F2" w:rsidRDefault="00B851F2" w:rsidP="00B851F2">
      <w:pPr>
        <w:spacing w:line="360" w:lineRule="auto"/>
        <w:jc w:val="both"/>
        <w:rPr>
          <w:rFonts w:ascii="Arial" w:eastAsia="Arial" w:hAnsi="Arial" w:cs="Arial"/>
          <w:b/>
          <w:bCs/>
          <w:color w:val="000000" w:themeColor="text1"/>
        </w:rPr>
      </w:pPr>
    </w:p>
    <w:bookmarkEnd w:id="2"/>
    <w:p w14:paraId="69090268" w14:textId="487E13B6" w:rsidR="00B851F2" w:rsidRDefault="00B851F2" w:rsidP="0015536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55362">
        <w:rPr>
          <w:rFonts w:ascii="Arial" w:eastAsia="Arial" w:hAnsi="Arial" w:cs="Arial"/>
          <w:b/>
          <w:bCs/>
          <w:color w:val="000000" w:themeColor="text1"/>
        </w:rPr>
        <w:t>TERCERA</w:t>
      </w:r>
      <w:r w:rsidR="007E7B42">
        <w:rPr>
          <w:rFonts w:ascii="Arial" w:eastAsia="Arial" w:hAnsi="Arial" w:cs="Arial"/>
          <w:b/>
          <w:bCs/>
          <w:color w:val="000000" w:themeColor="text1"/>
        </w:rPr>
        <w:t xml:space="preserve"> (</w:t>
      </w:r>
      <w:r w:rsidR="007E7B42" w:rsidRPr="006251D1">
        <w:rPr>
          <w:rFonts w:ascii="Arial" w:eastAsia="Arial" w:hAnsi="Arial" w:cs="Arial"/>
          <w:b/>
          <w:bCs/>
          <w:color w:val="000000" w:themeColor="text1"/>
        </w:rPr>
        <w:t>Cu</w:t>
      </w:r>
      <w:r w:rsidR="007E7B42">
        <w:rPr>
          <w:rFonts w:ascii="Arial" w:eastAsia="Arial" w:hAnsi="Arial" w:cs="Arial"/>
          <w:b/>
          <w:bCs/>
          <w:color w:val="000000" w:themeColor="text1"/>
        </w:rPr>
        <w:t>mplimiento de la sentencia)</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xml:space="preserve">, </w:t>
      </w:r>
      <w:r w:rsidR="00155362">
        <w:rPr>
          <w:rFonts w:ascii="Arial" w:eastAsia="Arial" w:hAnsi="Arial" w:cs="Arial"/>
          <w:color w:val="000000" w:themeColor="text1"/>
        </w:rPr>
        <w:t>m</w:t>
      </w:r>
      <w:r w:rsidR="00155362" w:rsidRPr="004551BE">
        <w:rPr>
          <w:rFonts w:ascii="Arial" w:eastAsia="Arial" w:hAnsi="Arial" w:cs="Arial"/>
          <w:color w:val="000000" w:themeColor="text1"/>
        </w:rPr>
        <w:t>e</w:t>
      </w:r>
      <w:r w:rsidR="00155362" w:rsidRPr="00435BAC">
        <w:rPr>
          <w:rFonts w:ascii="Arial" w:eastAsia="Arial" w:hAnsi="Arial" w:cs="Arial"/>
          <w:color w:val="000000" w:themeColor="text1"/>
        </w:rPr>
        <w:t xml:space="preserve"> opongo rotundamente a la prosperidad de este perjuicio, en razón a que la parte demandante no </w:t>
      </w:r>
      <w:r w:rsidR="00155362">
        <w:rPr>
          <w:rFonts w:ascii="Arial" w:eastAsia="Arial" w:hAnsi="Arial" w:cs="Arial"/>
          <w:color w:val="000000" w:themeColor="text1"/>
        </w:rPr>
        <w:t>puede endilgar esa responsabilidad a la entidad demandada ni a la aseguradora por haberse producido el daño a causa del hecho de un tercero</w:t>
      </w:r>
      <w:r w:rsidR="00155362" w:rsidRPr="00435BAC">
        <w:rPr>
          <w:rFonts w:ascii="Arial" w:eastAsia="Arial" w:hAnsi="Arial" w:cs="Arial"/>
          <w:color w:val="000000" w:themeColor="text1"/>
        </w:rPr>
        <w:t>,</w:t>
      </w:r>
      <w:r w:rsidR="00155362">
        <w:rPr>
          <w:rFonts w:ascii="Arial" w:eastAsia="Arial" w:hAnsi="Arial" w:cs="Arial"/>
          <w:color w:val="000000" w:themeColor="text1"/>
        </w:rPr>
        <w:t xml:space="preserve"> y en el entendido de no existir responsabilidad de indemnización, no existe </w:t>
      </w:r>
      <w:r w:rsidR="00DA2B4D">
        <w:rPr>
          <w:rFonts w:ascii="Arial" w:eastAsia="Arial" w:hAnsi="Arial" w:cs="Arial"/>
          <w:color w:val="000000" w:themeColor="text1"/>
        </w:rPr>
        <w:t>la obligación de apegarse a los términos de la norma citada en este aparte</w:t>
      </w:r>
      <w:r>
        <w:rPr>
          <w:rFonts w:ascii="Arial" w:eastAsia="Arial" w:hAnsi="Arial" w:cs="Arial"/>
          <w:color w:val="000000" w:themeColor="text1"/>
        </w:rPr>
        <w:t>.</w:t>
      </w:r>
    </w:p>
    <w:p w14:paraId="19AE4BCA" w14:textId="77777777" w:rsidR="00B851F2" w:rsidRPr="004551BE" w:rsidRDefault="00B851F2" w:rsidP="00B851F2">
      <w:pPr>
        <w:spacing w:line="360" w:lineRule="auto"/>
        <w:jc w:val="both"/>
        <w:rPr>
          <w:rFonts w:ascii="Arial" w:eastAsia="Arial" w:hAnsi="Arial" w:cs="Arial"/>
          <w:color w:val="000000" w:themeColor="text1"/>
        </w:rPr>
      </w:pPr>
    </w:p>
    <w:p w14:paraId="341F69B3" w14:textId="185F5665" w:rsidR="00B851F2" w:rsidRPr="006251D1"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7E7B42">
        <w:rPr>
          <w:rFonts w:ascii="Arial" w:eastAsia="Arial" w:hAnsi="Arial" w:cs="Arial"/>
          <w:b/>
          <w:bCs/>
          <w:color w:val="000000" w:themeColor="text1"/>
        </w:rPr>
        <w:t>CUARTA</w:t>
      </w:r>
      <w:r w:rsidRPr="004551BE">
        <w:rPr>
          <w:rFonts w:ascii="Arial" w:eastAsia="Arial" w:hAnsi="Arial" w:cs="Arial"/>
          <w:b/>
          <w:bCs/>
          <w:color w:val="000000" w:themeColor="text1"/>
        </w:rPr>
        <w:t xml:space="preserve"> </w:t>
      </w:r>
      <w:r w:rsidRPr="006251D1">
        <w:rPr>
          <w:rFonts w:ascii="Arial" w:eastAsia="Arial" w:hAnsi="Arial" w:cs="Arial"/>
          <w:b/>
          <w:bCs/>
          <w:color w:val="000000" w:themeColor="text1"/>
        </w:rPr>
        <w:t>(</w:t>
      </w:r>
      <w:r>
        <w:rPr>
          <w:rFonts w:ascii="Arial" w:eastAsia="Arial" w:hAnsi="Arial" w:cs="Arial"/>
          <w:b/>
          <w:bCs/>
          <w:color w:val="000000" w:themeColor="text1"/>
        </w:rPr>
        <w:t>Costas</w:t>
      </w:r>
      <w:r w:rsidRPr="006251D1">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w:t>
      </w:r>
      <w:r w:rsidRPr="004A4174">
        <w:rPr>
          <w:rFonts w:ascii="Arial" w:eastAsia="Arial" w:hAnsi="Arial" w:cs="Arial"/>
          <w:color w:val="000000" w:themeColor="text1"/>
        </w:rPr>
        <w:t>opongo rotundamente a la declaratoria de esta pretensión, en cuanto la obligación para la compañía aseguradora nace en el momento en que se realice el siniestro, es decir, en el momento que se declar</w:t>
      </w:r>
      <w:r>
        <w:rPr>
          <w:rFonts w:ascii="Arial" w:eastAsia="Arial" w:hAnsi="Arial" w:cs="Arial"/>
          <w:color w:val="000000" w:themeColor="text1"/>
        </w:rPr>
        <w:t xml:space="preserve">ase </w:t>
      </w:r>
      <w:r w:rsidRPr="004A4174">
        <w:rPr>
          <w:rFonts w:ascii="Arial" w:eastAsia="Arial" w:hAnsi="Arial" w:cs="Arial"/>
          <w:color w:val="000000" w:themeColor="text1"/>
        </w:rPr>
        <w:t xml:space="preserve">que el Distrito de Santiago de Cali </w:t>
      </w:r>
      <w:r>
        <w:rPr>
          <w:rFonts w:ascii="Arial" w:eastAsia="Arial" w:hAnsi="Arial" w:cs="Arial"/>
          <w:color w:val="000000" w:themeColor="text1"/>
        </w:rPr>
        <w:t>resulta</w:t>
      </w:r>
      <w:r w:rsidRPr="004A4174">
        <w:rPr>
          <w:rFonts w:ascii="Arial" w:eastAsia="Arial" w:hAnsi="Arial" w:cs="Arial"/>
          <w:color w:val="000000" w:themeColor="text1"/>
        </w:rPr>
        <w:t xml:space="preserve"> responsable extracontractualmente por los daños </w:t>
      </w:r>
      <w:r>
        <w:rPr>
          <w:rFonts w:ascii="Arial" w:eastAsia="Arial" w:hAnsi="Arial" w:cs="Arial"/>
          <w:color w:val="000000" w:themeColor="text1"/>
        </w:rPr>
        <w:t>legados</w:t>
      </w:r>
      <w:r w:rsidRPr="004A4174">
        <w:rPr>
          <w:rFonts w:ascii="Arial" w:eastAsia="Arial" w:hAnsi="Arial" w:cs="Arial"/>
          <w:color w:val="000000" w:themeColor="text1"/>
        </w:rPr>
        <w:t xml:space="preserve"> </w:t>
      </w:r>
      <w:r>
        <w:rPr>
          <w:rFonts w:ascii="Arial" w:eastAsia="Arial" w:hAnsi="Arial" w:cs="Arial"/>
          <w:color w:val="000000" w:themeColor="text1"/>
        </w:rPr>
        <w:t>por</w:t>
      </w:r>
      <w:r w:rsidRPr="004A4174">
        <w:rPr>
          <w:rFonts w:ascii="Arial" w:eastAsia="Arial" w:hAnsi="Arial" w:cs="Arial"/>
          <w:color w:val="000000" w:themeColor="text1"/>
        </w:rPr>
        <w:t xml:space="preserve"> los demandantes. En este sentido, al ser este el objeto del litigio y al no existir una sentencia en firme, no es posible pretender </w:t>
      </w:r>
      <w:r>
        <w:rPr>
          <w:rFonts w:ascii="Arial" w:eastAsia="Arial" w:hAnsi="Arial" w:cs="Arial"/>
          <w:color w:val="000000" w:themeColor="text1"/>
        </w:rPr>
        <w:t>las costas del proceso</w:t>
      </w:r>
      <w:r w:rsidRPr="004A4174">
        <w:rPr>
          <w:rFonts w:ascii="Arial" w:eastAsia="Arial" w:hAnsi="Arial" w:cs="Arial"/>
          <w:color w:val="000000" w:themeColor="text1"/>
        </w:rPr>
        <w:t xml:space="preserve"> sobre una obligación que aún no ha nacido a la vida jurídica.</w:t>
      </w:r>
    </w:p>
    <w:p w14:paraId="3426CCFF" w14:textId="77777777" w:rsidR="00B851F2" w:rsidRPr="004551BE" w:rsidRDefault="00B851F2" w:rsidP="00B851F2">
      <w:pPr>
        <w:spacing w:line="360" w:lineRule="auto"/>
        <w:jc w:val="both"/>
        <w:rPr>
          <w:rFonts w:ascii="Arial" w:eastAsia="Arial" w:hAnsi="Arial" w:cs="Arial"/>
          <w:color w:val="000000" w:themeColor="text1"/>
        </w:rPr>
      </w:pPr>
    </w:p>
    <w:p w14:paraId="4F932BBA" w14:textId="77777777" w:rsidR="00B851F2" w:rsidRPr="003522C9" w:rsidRDefault="00B851F2" w:rsidP="00B851F2">
      <w:pPr>
        <w:pStyle w:val="Prrafodelista"/>
        <w:numPr>
          <w:ilvl w:val="0"/>
          <w:numId w:val="28"/>
        </w:numPr>
        <w:spacing w:after="160" w:line="360" w:lineRule="auto"/>
        <w:jc w:val="center"/>
        <w:rPr>
          <w:rFonts w:ascii="Arial" w:eastAsia="Arial" w:hAnsi="Arial" w:cs="Arial"/>
          <w:b/>
          <w:bCs/>
          <w:color w:val="000000" w:themeColor="text1"/>
          <w:u w:val="single"/>
        </w:rPr>
      </w:pPr>
      <w:r w:rsidRPr="003522C9">
        <w:rPr>
          <w:rFonts w:ascii="Arial" w:eastAsia="Arial" w:hAnsi="Arial" w:cs="Arial"/>
          <w:b/>
          <w:bCs/>
          <w:color w:val="000000" w:themeColor="text1"/>
          <w:u w:val="single"/>
          <w:lang w:val="es-ES"/>
        </w:rPr>
        <w:t>EXCEPCIONES FRENTE A LA DEMANDA</w:t>
      </w:r>
    </w:p>
    <w:p w14:paraId="66251982" w14:textId="77777777" w:rsidR="00166462" w:rsidRDefault="00166462" w:rsidP="00B851F2">
      <w:pPr>
        <w:pStyle w:val="Prrafodelista"/>
        <w:spacing w:line="360" w:lineRule="auto"/>
        <w:jc w:val="both"/>
        <w:rPr>
          <w:rFonts w:ascii="Arial" w:eastAsia="Arial" w:hAnsi="Arial" w:cs="Arial"/>
          <w:b/>
          <w:bCs/>
          <w:color w:val="000000" w:themeColor="text1"/>
        </w:rPr>
      </w:pPr>
    </w:p>
    <w:p w14:paraId="5C015749" w14:textId="3385C73D" w:rsidR="00B851F2" w:rsidRDefault="00166462" w:rsidP="00166462">
      <w:pPr>
        <w:pStyle w:val="Prrafodelista"/>
        <w:numPr>
          <w:ilvl w:val="0"/>
          <w:numId w:val="37"/>
        </w:numPr>
        <w:spacing w:line="360" w:lineRule="auto"/>
        <w:jc w:val="both"/>
        <w:rPr>
          <w:rFonts w:ascii="Arial" w:eastAsia="Arial" w:hAnsi="Arial" w:cs="Arial"/>
          <w:b/>
          <w:bCs/>
          <w:color w:val="000000" w:themeColor="text1"/>
        </w:rPr>
      </w:pPr>
      <w:r>
        <w:rPr>
          <w:rFonts w:ascii="Arial" w:eastAsia="Arial" w:hAnsi="Arial" w:cs="Arial"/>
          <w:b/>
          <w:bCs/>
          <w:color w:val="000000" w:themeColor="text1"/>
        </w:rPr>
        <w:t>EXCEPCIÓN MIXTA:</w:t>
      </w:r>
    </w:p>
    <w:p w14:paraId="78B1703B" w14:textId="77777777" w:rsidR="00166462" w:rsidRPr="008F4C7C" w:rsidRDefault="00166462" w:rsidP="00166462">
      <w:pPr>
        <w:pStyle w:val="Prrafodelista"/>
        <w:numPr>
          <w:ilvl w:val="0"/>
          <w:numId w:val="38"/>
        </w:numPr>
        <w:spacing w:after="0" w:line="360" w:lineRule="auto"/>
        <w:jc w:val="both"/>
        <w:rPr>
          <w:rFonts w:ascii="Arial" w:eastAsia="Arial" w:hAnsi="Arial" w:cs="Arial"/>
          <w:b/>
          <w:bCs/>
          <w:color w:val="000000" w:themeColor="text1"/>
        </w:rPr>
      </w:pPr>
      <w:r w:rsidRPr="008F4C7C">
        <w:rPr>
          <w:rFonts w:ascii="Arial" w:eastAsia="Arial" w:hAnsi="Arial" w:cs="Arial"/>
          <w:b/>
          <w:bCs/>
          <w:color w:val="000000" w:themeColor="text1"/>
        </w:rPr>
        <w:t xml:space="preserve">FALTA DE LEGITIMACIÓN EN CAUSA POR ACTIVA DE ISABEL CAROLINA MEDINA </w:t>
      </w:r>
    </w:p>
    <w:p w14:paraId="4A2B883C" w14:textId="77777777" w:rsidR="00166462" w:rsidRDefault="00166462" w:rsidP="00166462">
      <w:pPr>
        <w:spacing w:line="360" w:lineRule="auto"/>
        <w:jc w:val="both"/>
        <w:rPr>
          <w:rFonts w:ascii="Arial" w:eastAsia="Arial" w:hAnsi="Arial" w:cs="Arial"/>
          <w:color w:val="000000" w:themeColor="text1"/>
        </w:rPr>
      </w:pPr>
    </w:p>
    <w:p w14:paraId="031648EE"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Se puede evidenciar del escrito de la demanda y sus anexos, que no está probada la calidad con la que la señora </w:t>
      </w:r>
      <w:r w:rsidRPr="00FA7E2E">
        <w:rPr>
          <w:rFonts w:ascii="Arial" w:eastAsia="Arial" w:hAnsi="Arial" w:cs="Arial"/>
          <w:color w:val="000000" w:themeColor="text1"/>
        </w:rPr>
        <w:t>Isabel Carolina Medina</w:t>
      </w:r>
      <w:r>
        <w:rPr>
          <w:rFonts w:ascii="Arial" w:eastAsia="Arial" w:hAnsi="Arial" w:cs="Arial"/>
          <w:color w:val="000000" w:themeColor="text1"/>
        </w:rPr>
        <w:t xml:space="preserve"> actúa, dado que en el libelo se menciona que la señora sostenía una unión marital de hecho vigente para la fecha de la demanda con el señor David Caicedo Garzón, sobre lo cual no se anexa - tan siquiera – una declaración juramentada que deje entrever la existencia de la situación alegada.</w:t>
      </w:r>
    </w:p>
    <w:p w14:paraId="08F891DB" w14:textId="77777777" w:rsidR="00166462" w:rsidRDefault="00166462" w:rsidP="00166462">
      <w:pPr>
        <w:spacing w:line="360" w:lineRule="auto"/>
        <w:jc w:val="both"/>
        <w:rPr>
          <w:rFonts w:ascii="Arial" w:eastAsia="Arial" w:hAnsi="Arial" w:cs="Arial"/>
          <w:color w:val="000000" w:themeColor="text1"/>
        </w:rPr>
      </w:pPr>
    </w:p>
    <w:p w14:paraId="4300254D"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indica el artículo 2 de la ley 979 de 2005, el cual modificó al artículo 4 de </w:t>
      </w:r>
      <w:r w:rsidRPr="00AB7E2F">
        <w:rPr>
          <w:rFonts w:ascii="Arial" w:eastAsia="Arial" w:hAnsi="Arial" w:cs="Arial"/>
          <w:color w:val="000000" w:themeColor="text1"/>
        </w:rPr>
        <w:t xml:space="preserve">la </w:t>
      </w:r>
      <w:r>
        <w:rPr>
          <w:rFonts w:ascii="Arial" w:eastAsia="Arial" w:hAnsi="Arial" w:cs="Arial"/>
          <w:color w:val="000000" w:themeColor="text1"/>
        </w:rPr>
        <w:t>l</w:t>
      </w:r>
      <w:r w:rsidRPr="00AB7E2F">
        <w:rPr>
          <w:rFonts w:ascii="Arial" w:eastAsia="Arial" w:hAnsi="Arial" w:cs="Arial"/>
          <w:color w:val="000000" w:themeColor="text1"/>
        </w:rPr>
        <w:t xml:space="preserve">ey 54 de 1990, </w:t>
      </w:r>
      <w:r>
        <w:rPr>
          <w:rFonts w:ascii="Arial" w:eastAsia="Arial" w:hAnsi="Arial" w:cs="Arial"/>
          <w:color w:val="000000" w:themeColor="text1"/>
        </w:rPr>
        <w:t>que</w:t>
      </w:r>
      <w:r w:rsidRPr="00AB7E2F">
        <w:rPr>
          <w:rFonts w:ascii="Arial" w:eastAsia="Arial" w:hAnsi="Arial" w:cs="Arial"/>
          <w:color w:val="000000" w:themeColor="text1"/>
        </w:rPr>
        <w:t>:</w:t>
      </w:r>
    </w:p>
    <w:p w14:paraId="77A3C1EB" w14:textId="77777777" w:rsidR="00166462" w:rsidRPr="00AB7E2F" w:rsidRDefault="00166462" w:rsidP="00166462">
      <w:pPr>
        <w:spacing w:line="360" w:lineRule="auto"/>
        <w:jc w:val="both"/>
        <w:rPr>
          <w:rFonts w:ascii="Arial" w:eastAsia="Arial" w:hAnsi="Arial" w:cs="Arial"/>
          <w:color w:val="000000" w:themeColor="text1"/>
        </w:rPr>
      </w:pPr>
    </w:p>
    <w:p w14:paraId="605345D0"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“La existencia de la unión marital de hecho entre compañeros permanentes, se declarará por cualquiera de los siguientes mecanismos:</w:t>
      </w:r>
    </w:p>
    <w:p w14:paraId="75AA16B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1. Por escritura pública ante Notario por mutuo consentimiento de los compañeros permanentes.</w:t>
      </w:r>
    </w:p>
    <w:p w14:paraId="1935BE9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2. Por Acta de Conciliación suscrita por los compañeros permanentes, en centro legalmente constituido.</w:t>
      </w:r>
    </w:p>
    <w:p w14:paraId="3DDCD675" w14:textId="77777777" w:rsidR="00166462"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3. Por sentencia judicial, mediante los medios ordinarios de prueba consagrados en el Código de Procedimiento Civil, con conocimiento de los Jueces de Familia de Primera Instancia”.</w:t>
      </w:r>
    </w:p>
    <w:p w14:paraId="5C1C242A" w14:textId="77777777" w:rsidR="00166462" w:rsidRDefault="00166462" w:rsidP="00166462">
      <w:pPr>
        <w:spacing w:line="360" w:lineRule="auto"/>
        <w:ind w:left="851"/>
        <w:jc w:val="both"/>
        <w:rPr>
          <w:rFonts w:ascii="Arial" w:eastAsia="Arial" w:hAnsi="Arial" w:cs="Arial"/>
          <w:color w:val="000000" w:themeColor="text1"/>
        </w:rPr>
      </w:pPr>
    </w:p>
    <w:p w14:paraId="3EA43B0C"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 xml:space="preserve">Si bien es cierto la jurisprudencia constitucional ha ampliado dicha concepción para indicar que se puede hacer uso de diferentes medios para probar la existencia de la unión marital de hecho, pero siempre consolidando la idea de </w:t>
      </w:r>
      <w:r>
        <w:rPr>
          <w:rFonts w:ascii="Arial" w:eastAsia="Arial" w:hAnsi="Arial" w:cs="Arial"/>
          <w:i/>
          <w:iCs/>
          <w:color w:val="000000" w:themeColor="text1"/>
          <w:lang w:val="es-CO"/>
        </w:rPr>
        <w:t xml:space="preserve">demostrar </w:t>
      </w:r>
      <w:r>
        <w:rPr>
          <w:rFonts w:ascii="Arial" w:eastAsia="Arial" w:hAnsi="Arial" w:cs="Arial"/>
          <w:color w:val="000000" w:themeColor="text1"/>
          <w:lang w:val="es-CO"/>
        </w:rPr>
        <w:t xml:space="preserve">la misma, en especial si su existencia o no, es sustento para la exigencia de derechos de contenido patrimonial, como es este caso, en el presente asunto no se ha aportado prueba siquiera sumaria de la existencia de unión marital de hecho entre la demandante citada y la víctima directa. </w:t>
      </w:r>
    </w:p>
    <w:p w14:paraId="3D7A0264" w14:textId="77777777" w:rsidR="00166462" w:rsidRPr="00752B36" w:rsidRDefault="00166462" w:rsidP="00166462">
      <w:pPr>
        <w:spacing w:line="360" w:lineRule="auto"/>
        <w:jc w:val="both"/>
        <w:rPr>
          <w:rFonts w:ascii="Arial" w:eastAsia="Arial" w:hAnsi="Arial" w:cs="Arial"/>
          <w:color w:val="000000" w:themeColor="text1"/>
          <w:lang w:val="es-CO"/>
        </w:rPr>
      </w:pPr>
    </w:p>
    <w:p w14:paraId="0CBA97AA"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Ahora bien, respecto de la legitimación en la causa, e</w:t>
      </w:r>
      <w:r w:rsidRPr="003063B5">
        <w:rPr>
          <w:rFonts w:ascii="Arial" w:eastAsia="Arial" w:hAnsi="Arial" w:cs="Arial"/>
          <w:color w:val="000000" w:themeColor="text1"/>
          <w:lang w:val="es-CO"/>
        </w:rPr>
        <w:t>l Consejo de Estado en reiterada jurisprudencia establece que se debe interpretar la legitimación en la causa por activa de la siguiente manera</w:t>
      </w:r>
      <w:r w:rsidRPr="003A434F">
        <w:rPr>
          <w:rFonts w:ascii="Arial" w:eastAsia="Arial" w:hAnsi="Arial" w:cs="Arial"/>
          <w:color w:val="000000" w:themeColor="text1"/>
          <w:lang w:val="es-CO"/>
        </w:rPr>
        <w:t>:</w:t>
      </w:r>
    </w:p>
    <w:p w14:paraId="6D59065C" w14:textId="77777777" w:rsidR="00166462" w:rsidRPr="003A434F" w:rsidRDefault="00166462" w:rsidP="00166462">
      <w:pPr>
        <w:spacing w:line="360" w:lineRule="auto"/>
        <w:jc w:val="both"/>
        <w:rPr>
          <w:rFonts w:ascii="Arial" w:eastAsia="Arial" w:hAnsi="Arial" w:cs="Arial"/>
          <w:color w:val="000000" w:themeColor="text1"/>
          <w:lang w:val="es-CO"/>
        </w:rPr>
      </w:pPr>
    </w:p>
    <w:p w14:paraId="0B55DAB5" w14:textId="77777777" w:rsidR="00166462" w:rsidRPr="003A434F" w:rsidRDefault="00166462" w:rsidP="00166462">
      <w:pPr>
        <w:spacing w:line="360" w:lineRule="auto"/>
        <w:ind w:left="851" w:right="560"/>
        <w:jc w:val="both"/>
        <w:rPr>
          <w:rFonts w:ascii="Arial" w:eastAsia="Arial" w:hAnsi="Arial" w:cs="Arial"/>
          <w:i/>
          <w:iCs/>
          <w:color w:val="000000" w:themeColor="text1"/>
          <w:sz w:val="20"/>
          <w:szCs w:val="20"/>
          <w:lang w:val="es-CO"/>
        </w:rPr>
      </w:pPr>
      <w:r>
        <w:rPr>
          <w:rFonts w:ascii="Arial" w:eastAsia="Arial" w:hAnsi="Arial" w:cs="Arial"/>
          <w:i/>
          <w:iCs/>
          <w:color w:val="000000" w:themeColor="text1"/>
          <w:sz w:val="20"/>
          <w:szCs w:val="20"/>
          <w:lang w:val="es-CO"/>
        </w:rPr>
        <w:t>“(…) L</w:t>
      </w:r>
      <w:r w:rsidRPr="003A434F">
        <w:rPr>
          <w:rFonts w:ascii="Arial" w:eastAsia="Arial" w:hAnsi="Arial" w:cs="Arial"/>
          <w:i/>
          <w:iCs/>
          <w:color w:val="000000" w:themeColor="text1"/>
          <w:sz w:val="20"/>
          <w:szCs w:val="20"/>
          <w:lang w:val="es-CO"/>
        </w:rPr>
        <w:t xml:space="preserve">a legitimación en la causa corresponde a uno de los presupuestos necesarios para obtener sentencia favorable a las pretensiones contenidas en la demanda y, por lo tanto, </w:t>
      </w:r>
      <w:r w:rsidRPr="003A434F">
        <w:rPr>
          <w:rFonts w:ascii="Arial" w:eastAsia="Arial" w:hAnsi="Arial" w:cs="Arial"/>
          <w:b/>
          <w:bCs/>
          <w:i/>
          <w:iCs/>
          <w:color w:val="000000" w:themeColor="text1"/>
          <w:sz w:val="20"/>
          <w:szCs w:val="20"/>
          <w:u w:val="single"/>
          <w:lang w:val="es-CO"/>
        </w:rPr>
        <w:t>desde el extremo activo significa ser la persona titular del interés jurídico que se debate en el proceso</w:t>
      </w:r>
      <w:r w:rsidRPr="003A434F">
        <w:rPr>
          <w:rFonts w:ascii="Arial" w:eastAsia="Arial" w:hAnsi="Arial" w:cs="Arial"/>
          <w:i/>
          <w:iCs/>
          <w:color w:val="000000" w:themeColor="text1"/>
          <w:sz w:val="20"/>
          <w:szCs w:val="20"/>
          <w:lang w:val="es-CO"/>
        </w:rPr>
        <w:t>, mientras que, desde la perspectiva pasiva de la relación jurídico – procesal, supone ser el sujeto llamado a responder a partir de la relación jurídica sustancial, por el derecho o  interés que es objeto de controversia”</w:t>
      </w:r>
      <w:r w:rsidRPr="003A434F">
        <w:rPr>
          <w:rFonts w:ascii="Arial" w:eastAsia="Arial" w:hAnsi="Arial" w:cs="Arial"/>
          <w:i/>
          <w:iCs/>
          <w:color w:val="000000" w:themeColor="text1"/>
          <w:sz w:val="20"/>
          <w:szCs w:val="20"/>
          <w:vertAlign w:val="superscript"/>
          <w:lang w:val="es-CO"/>
        </w:rPr>
        <w:footnoteReference w:id="2"/>
      </w:r>
      <w:r w:rsidRPr="003A434F">
        <w:rPr>
          <w:rFonts w:ascii="Arial" w:eastAsia="Arial" w:hAnsi="Arial" w:cs="Arial"/>
          <w:i/>
          <w:iCs/>
          <w:color w:val="000000" w:themeColor="text1"/>
          <w:sz w:val="20"/>
          <w:szCs w:val="20"/>
          <w:lang w:val="es-CO"/>
        </w:rPr>
        <w:t>. Negrilla y subrayado fuera de texto.</w:t>
      </w:r>
    </w:p>
    <w:p w14:paraId="77B3F8CA"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p>
    <w:p w14:paraId="4E5C4F93"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r w:rsidRPr="003A434F">
        <w:rPr>
          <w:rFonts w:ascii="Arial" w:eastAsia="Arial" w:hAnsi="Arial" w:cs="Arial"/>
          <w:i/>
          <w:iCs/>
          <w:color w:val="000000" w:themeColor="text1"/>
          <w:sz w:val="20"/>
          <w:szCs w:val="20"/>
          <w:lang w:val="es-CO"/>
        </w:rPr>
        <w:t>La legitimación en la causa -</w:t>
      </w:r>
      <w:proofErr w:type="spellStart"/>
      <w:r w:rsidRPr="003A434F">
        <w:rPr>
          <w:rFonts w:ascii="Arial" w:eastAsia="Arial" w:hAnsi="Arial" w:cs="Arial"/>
          <w:i/>
          <w:iCs/>
          <w:color w:val="000000" w:themeColor="text1"/>
          <w:sz w:val="20"/>
          <w:szCs w:val="20"/>
          <w:lang w:val="es-CO"/>
        </w:rPr>
        <w:t>legitimatio</w:t>
      </w:r>
      <w:proofErr w:type="spellEnd"/>
      <w:r w:rsidRPr="003A434F">
        <w:rPr>
          <w:rFonts w:ascii="Arial" w:eastAsia="Arial" w:hAnsi="Arial" w:cs="Arial"/>
          <w:i/>
          <w:iCs/>
          <w:color w:val="000000" w:themeColor="text1"/>
          <w:sz w:val="20"/>
          <w:szCs w:val="20"/>
          <w:lang w:val="es-CO"/>
        </w:rPr>
        <w:t xml:space="preserve"> ad </w:t>
      </w:r>
      <w:proofErr w:type="spellStart"/>
      <w:r w:rsidRPr="003A434F">
        <w:rPr>
          <w:rFonts w:ascii="Arial" w:eastAsia="Arial" w:hAnsi="Arial" w:cs="Arial"/>
          <w:i/>
          <w:iCs/>
          <w:color w:val="000000" w:themeColor="text1"/>
          <w:sz w:val="20"/>
          <w:szCs w:val="20"/>
          <w:lang w:val="es-CO"/>
        </w:rPr>
        <w:t>causam</w:t>
      </w:r>
      <w:proofErr w:type="spellEnd"/>
      <w:r w:rsidRPr="003A434F">
        <w:rPr>
          <w:rFonts w:ascii="Arial" w:eastAsia="Arial" w:hAnsi="Arial" w:cs="Arial"/>
          <w:i/>
          <w:iCs/>
          <w:color w:val="000000" w:themeColor="text1"/>
          <w:sz w:val="20"/>
          <w:szCs w:val="20"/>
          <w:lang w:val="es-CO"/>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w:t>
      </w:r>
      <w:r w:rsidRPr="003A434F">
        <w:rPr>
          <w:rFonts w:ascii="Arial" w:eastAsia="Arial" w:hAnsi="Arial" w:cs="Arial"/>
          <w:i/>
          <w:iCs/>
          <w:color w:val="000000" w:themeColor="text1"/>
          <w:sz w:val="20"/>
          <w:szCs w:val="20"/>
          <w:lang w:val="es-CO"/>
        </w:rPr>
        <w:lastRenderedPageBreak/>
        <w:t xml:space="preserve">segundas. Es decir, </w:t>
      </w:r>
      <w:r w:rsidRPr="003A434F">
        <w:rPr>
          <w:rFonts w:ascii="Arial" w:eastAsia="Arial" w:hAnsi="Arial" w:cs="Arial"/>
          <w:b/>
          <w:bCs/>
          <w:i/>
          <w:iCs/>
          <w:color w:val="000000" w:themeColor="text1"/>
          <w:sz w:val="20"/>
          <w:szCs w:val="20"/>
          <w:u w:val="single"/>
          <w:lang w:val="es-CO"/>
        </w:rPr>
        <w:t>tener legitimación en la causa consiste en ser la persona que, de conformidad con la ley sustancial, se encuentra autorizada para intervenir en el proceso y formular o contradecir las pretensiones contenidas en la demanda por ser sujeto activo</w:t>
      </w:r>
      <w:r w:rsidRPr="003A434F">
        <w:rPr>
          <w:rFonts w:ascii="Arial" w:eastAsia="Arial" w:hAnsi="Arial" w:cs="Arial"/>
          <w:i/>
          <w:iCs/>
          <w:color w:val="000000" w:themeColor="text1"/>
          <w:sz w:val="20"/>
          <w:szCs w:val="20"/>
          <w:u w:val="single"/>
          <w:lang w:val="es-CO"/>
        </w:rPr>
        <w:t xml:space="preserve"> o pasivo </w:t>
      </w:r>
      <w:r w:rsidRPr="003A434F">
        <w:rPr>
          <w:rFonts w:ascii="Arial" w:eastAsia="Arial" w:hAnsi="Arial" w:cs="Arial"/>
          <w:b/>
          <w:bCs/>
          <w:i/>
          <w:iCs/>
          <w:color w:val="000000" w:themeColor="text1"/>
          <w:sz w:val="20"/>
          <w:szCs w:val="20"/>
          <w:u w:val="single"/>
          <w:lang w:val="es-CO"/>
        </w:rPr>
        <w:t>de la relación jurídica sustancial debatida objeto de la decisión del juez</w:t>
      </w:r>
      <w:r w:rsidRPr="003A434F">
        <w:rPr>
          <w:rFonts w:ascii="Arial" w:eastAsia="Arial" w:hAnsi="Arial" w:cs="Arial"/>
          <w:i/>
          <w:iCs/>
          <w:color w:val="000000" w:themeColor="text1"/>
          <w:sz w:val="20"/>
          <w:szCs w:val="20"/>
          <w:lang w:val="es-CO"/>
        </w:rPr>
        <w:t>, en el supuesto de que aquélla exista. Es un elemento de mérito de la litis y no un presupuesto procesa</w:t>
      </w:r>
      <w:r>
        <w:rPr>
          <w:rFonts w:ascii="Arial" w:eastAsia="Arial" w:hAnsi="Arial" w:cs="Arial"/>
          <w:i/>
          <w:iCs/>
          <w:color w:val="000000" w:themeColor="text1"/>
          <w:sz w:val="20"/>
          <w:szCs w:val="20"/>
          <w:lang w:val="es-CO"/>
        </w:rPr>
        <w:t>l (…)”</w:t>
      </w:r>
      <w:r w:rsidRPr="003A434F">
        <w:rPr>
          <w:rFonts w:ascii="Arial" w:eastAsia="Arial" w:hAnsi="Arial" w:cs="Arial"/>
          <w:i/>
          <w:iCs/>
          <w:color w:val="000000" w:themeColor="text1"/>
          <w:sz w:val="20"/>
          <w:szCs w:val="20"/>
          <w:vertAlign w:val="superscript"/>
          <w:lang w:val="es-CO"/>
        </w:rPr>
        <w:footnoteReference w:id="3"/>
      </w:r>
      <w:r w:rsidRPr="003A434F">
        <w:rPr>
          <w:rFonts w:ascii="Arial" w:eastAsia="Arial" w:hAnsi="Arial" w:cs="Arial"/>
          <w:i/>
          <w:iCs/>
          <w:color w:val="000000" w:themeColor="text1"/>
          <w:sz w:val="20"/>
          <w:szCs w:val="20"/>
          <w:lang w:val="es-CO"/>
        </w:rPr>
        <w:t xml:space="preserve"> </w:t>
      </w:r>
      <w:r>
        <w:rPr>
          <w:rFonts w:ascii="Arial" w:eastAsia="Arial" w:hAnsi="Arial" w:cs="Arial"/>
          <w:color w:val="000000" w:themeColor="text1"/>
          <w:sz w:val="20"/>
          <w:szCs w:val="20"/>
          <w:lang w:val="es-CO"/>
        </w:rPr>
        <w:t>(</w:t>
      </w:r>
      <w:r w:rsidRPr="003A434F">
        <w:rPr>
          <w:rFonts w:ascii="Arial" w:eastAsia="Arial" w:hAnsi="Arial" w:cs="Arial"/>
          <w:color w:val="000000" w:themeColor="text1"/>
          <w:lang w:val="es-CO"/>
        </w:rPr>
        <w:t>Negrilla y subrayado fuera de texto</w:t>
      </w:r>
      <w:r>
        <w:rPr>
          <w:rFonts w:ascii="Arial" w:eastAsia="Arial" w:hAnsi="Arial" w:cs="Arial"/>
          <w:color w:val="000000" w:themeColor="text1"/>
          <w:lang w:val="es-CO"/>
        </w:rPr>
        <w:t>)</w:t>
      </w:r>
      <w:r w:rsidRPr="003A434F">
        <w:rPr>
          <w:rFonts w:ascii="Arial" w:eastAsia="Arial" w:hAnsi="Arial" w:cs="Arial"/>
          <w:color w:val="000000" w:themeColor="text1"/>
          <w:lang w:val="es-CO"/>
        </w:rPr>
        <w:t>.</w:t>
      </w:r>
    </w:p>
    <w:p w14:paraId="46658D59" w14:textId="77777777" w:rsidR="00166462" w:rsidRPr="003A434F" w:rsidRDefault="00166462" w:rsidP="00166462">
      <w:pPr>
        <w:spacing w:line="360" w:lineRule="auto"/>
        <w:ind w:left="851"/>
        <w:jc w:val="both"/>
        <w:rPr>
          <w:rFonts w:ascii="Arial" w:eastAsia="Arial" w:hAnsi="Arial" w:cs="Arial"/>
          <w:i/>
          <w:iCs/>
          <w:color w:val="000000" w:themeColor="text1"/>
          <w:sz w:val="20"/>
          <w:szCs w:val="20"/>
          <w:lang w:val="es-CO"/>
        </w:rPr>
      </w:pPr>
    </w:p>
    <w:p w14:paraId="40EC6C18"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Conforme a lo anterior, la legitimación en la causa por activa según el Consejo de Estado hace referencia a ser el </w:t>
      </w:r>
      <w:r w:rsidRPr="003A434F">
        <w:rPr>
          <w:rFonts w:ascii="Arial" w:eastAsia="Arial" w:hAnsi="Arial" w:cs="Arial"/>
          <w:color w:val="000000" w:themeColor="text1"/>
          <w:u w:val="single"/>
          <w:lang w:val="es-CO"/>
        </w:rPr>
        <w:t>titular directo</w:t>
      </w:r>
      <w:r w:rsidRPr="003A434F">
        <w:rPr>
          <w:rFonts w:ascii="Arial" w:eastAsia="Arial" w:hAnsi="Arial" w:cs="Arial"/>
          <w:color w:val="000000" w:themeColor="text1"/>
          <w:lang w:val="es-CO"/>
        </w:rPr>
        <w:t xml:space="preserve"> del interés jurídico debatido, en este caso, contra la entidad estatal. </w:t>
      </w:r>
    </w:p>
    <w:p w14:paraId="48FBA99D" w14:textId="77777777" w:rsidR="00166462" w:rsidRPr="003A434F" w:rsidRDefault="00166462" w:rsidP="00166462">
      <w:pPr>
        <w:spacing w:line="360" w:lineRule="auto"/>
        <w:jc w:val="both"/>
        <w:rPr>
          <w:rFonts w:ascii="Arial" w:eastAsia="Arial" w:hAnsi="Arial" w:cs="Arial"/>
          <w:color w:val="000000" w:themeColor="text1"/>
          <w:lang w:val="es-CO"/>
        </w:rPr>
      </w:pPr>
    </w:p>
    <w:p w14:paraId="79A6BE27"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En ese sentido la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señora</w:t>
      </w:r>
      <w:r w:rsidRPr="003A434F">
        <w:rPr>
          <w:rFonts w:ascii="Arial" w:eastAsia="Arial" w:hAnsi="Arial" w:cs="Arial"/>
          <w:color w:val="000000" w:themeColor="text1"/>
          <w:lang w:val="es-CO"/>
        </w:rPr>
        <w:t xml:space="preserve"> </w:t>
      </w:r>
      <w:r w:rsidRPr="00FA7E2E">
        <w:rPr>
          <w:rFonts w:ascii="Arial" w:eastAsia="Arial" w:hAnsi="Arial" w:cs="Arial"/>
          <w:color w:val="000000" w:themeColor="text1"/>
        </w:rPr>
        <w:t>Isabel Carolina Medina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alega haberse visto afectada con las consecuencias del accidente del señor David Caicedo, debido a sus condiciones de compañera permanente; s</w:t>
      </w:r>
      <w:r w:rsidRPr="003A434F">
        <w:rPr>
          <w:rFonts w:ascii="Arial" w:eastAsia="Arial" w:hAnsi="Arial" w:cs="Arial"/>
          <w:color w:val="000000" w:themeColor="text1"/>
          <w:lang w:val="es-CO"/>
        </w:rPr>
        <w:t>in embargo,</w:t>
      </w:r>
      <w:r>
        <w:rPr>
          <w:rFonts w:ascii="Arial" w:eastAsia="Arial" w:hAnsi="Arial" w:cs="Arial"/>
          <w:color w:val="000000" w:themeColor="text1"/>
          <w:lang w:val="es-CO"/>
        </w:rPr>
        <w:t xml:space="preserve"> como se dijo anteriormente,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no se evidencia en el plenario pruebas que puedan dar fe de dicha calidad, aun teniendo en cuenta que son vínculos cuya existencia puede ser motivada con documentos idóneos de cualquier naturaleza</w:t>
      </w:r>
      <w:r w:rsidRPr="003A434F">
        <w:rPr>
          <w:rFonts w:ascii="Arial" w:eastAsia="Arial" w:hAnsi="Arial" w:cs="Arial"/>
          <w:color w:val="000000" w:themeColor="text1"/>
          <w:lang w:val="es-CO"/>
        </w:rPr>
        <w:t>.</w:t>
      </w:r>
    </w:p>
    <w:p w14:paraId="0CD9E15F" w14:textId="77777777" w:rsidR="00166462" w:rsidRPr="003A434F" w:rsidRDefault="00166462" w:rsidP="00166462">
      <w:pPr>
        <w:spacing w:line="360" w:lineRule="auto"/>
        <w:jc w:val="both"/>
        <w:rPr>
          <w:rFonts w:ascii="Arial" w:eastAsia="Arial" w:hAnsi="Arial" w:cs="Arial"/>
          <w:color w:val="000000" w:themeColor="text1"/>
          <w:lang w:val="es-CO"/>
        </w:rPr>
      </w:pPr>
    </w:p>
    <w:p w14:paraId="1DA7AF16"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Por </w:t>
      </w:r>
      <w:r>
        <w:rPr>
          <w:rFonts w:ascii="Arial" w:eastAsia="Arial" w:hAnsi="Arial" w:cs="Arial"/>
          <w:color w:val="000000" w:themeColor="text1"/>
          <w:lang w:val="es-CO"/>
        </w:rPr>
        <w:t>ampliamente expuesto en este punto, salta a la vista que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la parte actora </w:t>
      </w:r>
      <w:r w:rsidRPr="003A434F">
        <w:rPr>
          <w:rFonts w:ascii="Arial" w:eastAsia="Arial" w:hAnsi="Arial" w:cs="Arial"/>
          <w:color w:val="000000" w:themeColor="text1"/>
          <w:u w:val="single"/>
          <w:lang w:val="es-CO"/>
        </w:rPr>
        <w:t>no probó la legitimación en la causa por activa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de la señora </w:t>
      </w:r>
      <w:r w:rsidRPr="00FA7E2E">
        <w:rPr>
          <w:rFonts w:ascii="Arial" w:eastAsia="Arial" w:hAnsi="Arial" w:cs="Arial"/>
          <w:color w:val="000000" w:themeColor="text1"/>
        </w:rPr>
        <w:t>Isabel Carolina Medina</w:t>
      </w:r>
      <w:r>
        <w:rPr>
          <w:rFonts w:ascii="Arial" w:eastAsia="Arial" w:hAnsi="Arial" w:cs="Arial"/>
          <w:color w:val="000000" w:themeColor="text1"/>
        </w:rPr>
        <w:t>,</w:t>
      </w:r>
      <w:r w:rsidRPr="003A434F">
        <w:rPr>
          <w:rFonts w:ascii="Arial" w:eastAsia="Arial" w:hAnsi="Arial" w:cs="Arial"/>
          <w:color w:val="000000" w:themeColor="text1"/>
          <w:lang w:val="es-CO"/>
        </w:rPr>
        <w:t xml:space="preserve"> para </w:t>
      </w:r>
      <w:r>
        <w:rPr>
          <w:rFonts w:ascii="Arial" w:eastAsia="Arial" w:hAnsi="Arial" w:cs="Arial"/>
          <w:color w:val="000000" w:themeColor="text1"/>
          <w:lang w:val="es-CO"/>
        </w:rPr>
        <w:t xml:space="preserve">poder </w:t>
      </w:r>
      <w:r w:rsidRPr="003A434F">
        <w:rPr>
          <w:rFonts w:ascii="Arial" w:eastAsia="Arial" w:hAnsi="Arial" w:cs="Arial"/>
          <w:color w:val="000000" w:themeColor="text1"/>
          <w:lang w:val="es-CO"/>
        </w:rPr>
        <w:t xml:space="preserve">demandar en reparación directa los daños </w:t>
      </w:r>
      <w:r>
        <w:rPr>
          <w:rFonts w:ascii="Arial" w:eastAsia="Arial" w:hAnsi="Arial" w:cs="Arial"/>
          <w:color w:val="000000" w:themeColor="text1"/>
          <w:lang w:val="es-CO"/>
        </w:rPr>
        <w:t>alegados por el señor David Caicedo</w:t>
      </w:r>
      <w:r w:rsidRPr="003A434F">
        <w:rPr>
          <w:rFonts w:ascii="Arial" w:eastAsia="Arial" w:hAnsi="Arial" w:cs="Arial"/>
          <w:color w:val="000000" w:themeColor="text1"/>
          <w:lang w:val="es-CO"/>
        </w:rPr>
        <w:t>.</w:t>
      </w:r>
    </w:p>
    <w:p w14:paraId="46BA46A0" w14:textId="77777777" w:rsidR="00166462" w:rsidRDefault="00166462" w:rsidP="00166462">
      <w:pPr>
        <w:spacing w:line="360" w:lineRule="auto"/>
        <w:jc w:val="both"/>
        <w:rPr>
          <w:rFonts w:ascii="Arial" w:eastAsia="Arial" w:hAnsi="Arial" w:cs="Arial"/>
          <w:color w:val="000000" w:themeColor="text1"/>
          <w:lang w:val="es-CO"/>
        </w:rPr>
      </w:pPr>
    </w:p>
    <w:p w14:paraId="38A23D95" w14:textId="36C6BF9A" w:rsidR="00166462" w:rsidRPr="00166462" w:rsidRDefault="00C43D09" w:rsidP="0020110F">
      <w:pPr>
        <w:pStyle w:val="Prrafodelista"/>
        <w:numPr>
          <w:ilvl w:val="0"/>
          <w:numId w:val="37"/>
        </w:numPr>
        <w:spacing w:after="0" w:line="360" w:lineRule="auto"/>
        <w:ind w:left="357" w:hanging="357"/>
        <w:jc w:val="both"/>
        <w:rPr>
          <w:rFonts w:ascii="Arial" w:eastAsia="Arial" w:hAnsi="Arial" w:cs="Arial"/>
          <w:b/>
          <w:bCs/>
          <w:color w:val="000000" w:themeColor="text1"/>
        </w:rPr>
      </w:pPr>
      <w:r>
        <w:rPr>
          <w:rFonts w:ascii="Arial" w:eastAsia="Arial" w:hAnsi="Arial" w:cs="Arial"/>
          <w:b/>
          <w:bCs/>
          <w:color w:val="000000" w:themeColor="text1"/>
        </w:rPr>
        <w:t>EXCEPCIONES DE MÉRITO:</w:t>
      </w:r>
    </w:p>
    <w:p w14:paraId="638A9B03" w14:textId="77777777" w:rsidR="00166462" w:rsidRPr="00166462" w:rsidRDefault="00166462" w:rsidP="00166462">
      <w:pPr>
        <w:spacing w:line="360" w:lineRule="auto"/>
        <w:jc w:val="both"/>
        <w:rPr>
          <w:rFonts w:ascii="Arial" w:eastAsia="Arial" w:hAnsi="Arial" w:cs="Arial"/>
          <w:b/>
          <w:bCs/>
          <w:color w:val="000000" w:themeColor="text1"/>
        </w:rPr>
      </w:pPr>
    </w:p>
    <w:p w14:paraId="3A7E67C2" w14:textId="72DAE8C3" w:rsidR="00B851F2" w:rsidRDefault="00B851F2" w:rsidP="00AA6395">
      <w:pPr>
        <w:pStyle w:val="Prrafodelista"/>
        <w:numPr>
          <w:ilvl w:val="0"/>
          <w:numId w:val="30"/>
        </w:numPr>
        <w:spacing w:after="0" w:line="360" w:lineRule="auto"/>
        <w:jc w:val="both"/>
        <w:rPr>
          <w:rFonts w:ascii="Arial" w:eastAsia="Arial" w:hAnsi="Arial" w:cs="Arial"/>
          <w:b/>
          <w:bCs/>
          <w:color w:val="000000" w:themeColor="text1"/>
        </w:rPr>
      </w:pPr>
      <w:r w:rsidRPr="00D00F6B">
        <w:rPr>
          <w:rFonts w:ascii="Arial" w:eastAsia="Arial" w:hAnsi="Arial" w:cs="Arial"/>
          <w:b/>
          <w:bCs/>
          <w:color w:val="000000" w:themeColor="text1"/>
        </w:rPr>
        <w:t>EXCEPCIONES PLANTEADAS POR QUIEN FORMULÓ EL LLAMAMIENTO EN</w:t>
      </w:r>
      <w:r>
        <w:rPr>
          <w:rFonts w:ascii="Arial" w:eastAsia="Arial" w:hAnsi="Arial" w:cs="Arial"/>
          <w:b/>
          <w:bCs/>
          <w:color w:val="000000" w:themeColor="text1"/>
        </w:rPr>
        <w:t xml:space="preserve"> </w:t>
      </w:r>
      <w:r w:rsidRPr="00D00F6B">
        <w:rPr>
          <w:rFonts w:ascii="Arial" w:eastAsia="Arial" w:hAnsi="Arial" w:cs="Arial"/>
          <w:b/>
          <w:bCs/>
          <w:color w:val="000000" w:themeColor="text1"/>
        </w:rPr>
        <w:t>GARANTÍA A MI REPRESENTADA</w:t>
      </w:r>
    </w:p>
    <w:p w14:paraId="41B7793A"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68EDEB65" w14:textId="2C5B2ADC" w:rsidR="00AA6395" w:rsidRDefault="00B851F2" w:rsidP="003125FD">
      <w:pPr>
        <w:spacing w:line="360" w:lineRule="auto"/>
        <w:jc w:val="both"/>
        <w:rPr>
          <w:rFonts w:ascii="Arial" w:eastAsia="Arial" w:hAnsi="Arial" w:cs="Arial"/>
          <w:color w:val="000000" w:themeColor="text1"/>
        </w:rPr>
      </w:pPr>
      <w:r w:rsidRPr="00D00F6B">
        <w:rPr>
          <w:rFonts w:ascii="Arial" w:eastAsia="Arial" w:hAnsi="Arial" w:cs="Arial"/>
          <w:color w:val="000000" w:themeColor="text1"/>
        </w:rPr>
        <w:t xml:space="preserve">Coadyuvo las excepciones propuestas por </w:t>
      </w:r>
      <w:r>
        <w:rPr>
          <w:rFonts w:ascii="Arial" w:eastAsia="Arial" w:hAnsi="Arial" w:cs="Arial"/>
          <w:color w:val="000000" w:themeColor="text1"/>
        </w:rPr>
        <w:t xml:space="preserve">el </w:t>
      </w:r>
      <w:r w:rsidRPr="004A4174">
        <w:rPr>
          <w:rFonts w:ascii="Arial" w:eastAsia="Arial" w:hAnsi="Arial" w:cs="Arial"/>
          <w:color w:val="000000" w:themeColor="text1"/>
        </w:rPr>
        <w:t xml:space="preserve">Distrito </w:t>
      </w:r>
      <w:r>
        <w:rPr>
          <w:rFonts w:ascii="Arial" w:eastAsia="Arial" w:hAnsi="Arial" w:cs="Arial"/>
          <w:color w:val="000000" w:themeColor="text1"/>
        </w:rPr>
        <w:t xml:space="preserve">Especial </w:t>
      </w:r>
      <w:r w:rsidRPr="004A4174">
        <w:rPr>
          <w:rFonts w:ascii="Arial" w:eastAsia="Arial" w:hAnsi="Arial" w:cs="Arial"/>
          <w:color w:val="000000" w:themeColor="text1"/>
        </w:rPr>
        <w:t>de Santiago de Cali</w:t>
      </w:r>
      <w:r w:rsidRPr="00D00F6B">
        <w:rPr>
          <w:rFonts w:ascii="Arial" w:eastAsia="Arial" w:hAnsi="Arial" w:cs="Arial"/>
          <w:color w:val="000000" w:themeColor="text1"/>
        </w:rPr>
        <w:t>, sólo en cuanto las mismas no perjudiquen los intereses de mi representada y bajo ese mismo tenor formulo las siguientes:</w:t>
      </w:r>
    </w:p>
    <w:p w14:paraId="4241FBCC" w14:textId="77777777" w:rsidR="00AA6395" w:rsidRPr="00D00F6B" w:rsidRDefault="00AA6395" w:rsidP="003125FD">
      <w:pPr>
        <w:spacing w:line="360" w:lineRule="auto"/>
        <w:jc w:val="both"/>
        <w:rPr>
          <w:rFonts w:ascii="Arial" w:eastAsia="Arial" w:hAnsi="Arial" w:cs="Arial"/>
          <w:color w:val="000000" w:themeColor="text1"/>
        </w:rPr>
      </w:pPr>
    </w:p>
    <w:p w14:paraId="48584A9C" w14:textId="27568D30"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rPr>
        <w:t>HECHO EXCLUSIVO Y DETERMINANTE DE UN TERCERO</w:t>
      </w:r>
      <w:r w:rsidR="008076C0">
        <w:rPr>
          <w:rFonts w:ascii="Arial" w:eastAsia="Arial" w:hAnsi="Arial" w:cs="Arial"/>
          <w:b/>
          <w:bCs/>
          <w:color w:val="000000" w:themeColor="text1"/>
        </w:rPr>
        <w:t xml:space="preserve"> COMO CAUSAL EXIMENTE DE RESPONSABILIDAD</w:t>
      </w:r>
    </w:p>
    <w:p w14:paraId="76A947A5"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09E7FE9E" w14:textId="2B88C8F6" w:rsidR="00B851F2" w:rsidRDefault="0057552E"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el presente asunto,</w:t>
      </w:r>
      <w:r w:rsidR="00B851F2" w:rsidRPr="005C32A6">
        <w:rPr>
          <w:rFonts w:ascii="Arial" w:eastAsia="Arial" w:hAnsi="Arial" w:cs="Arial"/>
          <w:color w:val="000000" w:themeColor="text1"/>
        </w:rPr>
        <w:t xml:space="preserve"> de</w:t>
      </w:r>
      <w:r>
        <w:rPr>
          <w:rFonts w:ascii="Arial" w:eastAsia="Arial" w:hAnsi="Arial" w:cs="Arial"/>
          <w:color w:val="000000" w:themeColor="text1"/>
        </w:rPr>
        <w:t>be</w:t>
      </w:r>
      <w:r w:rsidR="00B851F2" w:rsidRPr="005C32A6">
        <w:rPr>
          <w:rFonts w:ascii="Arial" w:eastAsia="Arial" w:hAnsi="Arial" w:cs="Arial"/>
          <w:color w:val="000000" w:themeColor="text1"/>
        </w:rPr>
        <w:t xml:space="preserve"> tenerse en cuenta el contenido del Informe Policial de Accidente de Tránsito No. </w:t>
      </w:r>
      <w:r w:rsidR="003522C9" w:rsidRPr="003522C9">
        <w:rPr>
          <w:rFonts w:ascii="Arial" w:eastAsia="Arial" w:hAnsi="Arial" w:cs="Arial"/>
          <w:color w:val="000000" w:themeColor="text1"/>
        </w:rPr>
        <w:t>0001111290</w:t>
      </w:r>
      <w:r w:rsidR="00B851F2" w:rsidRPr="005C32A6">
        <w:rPr>
          <w:rFonts w:ascii="Arial" w:eastAsia="Arial" w:hAnsi="Arial" w:cs="Arial"/>
          <w:color w:val="000000" w:themeColor="text1"/>
        </w:rPr>
        <w:t xml:space="preserve">, </w:t>
      </w:r>
      <w:r>
        <w:rPr>
          <w:rFonts w:ascii="Arial" w:eastAsia="Arial" w:hAnsi="Arial" w:cs="Arial"/>
          <w:color w:val="000000" w:themeColor="text1"/>
        </w:rPr>
        <w:t xml:space="preserve">en donde se consignó como </w:t>
      </w:r>
      <w:r w:rsidR="00B851F2" w:rsidRPr="005C32A6">
        <w:rPr>
          <w:rFonts w:ascii="Arial" w:eastAsia="Arial" w:hAnsi="Arial" w:cs="Arial"/>
          <w:color w:val="000000" w:themeColor="text1"/>
        </w:rPr>
        <w:t xml:space="preserve">hipótesis que eventualmente podría constituir </w:t>
      </w:r>
      <w:r w:rsidR="00B851F2">
        <w:rPr>
          <w:rFonts w:ascii="Arial" w:eastAsia="Arial" w:hAnsi="Arial" w:cs="Arial"/>
          <w:color w:val="000000" w:themeColor="text1"/>
        </w:rPr>
        <w:t>el sustento</w:t>
      </w:r>
      <w:r w:rsidR="00B851F2" w:rsidRPr="005C32A6">
        <w:rPr>
          <w:rFonts w:ascii="Arial" w:eastAsia="Arial" w:hAnsi="Arial" w:cs="Arial"/>
          <w:color w:val="000000" w:themeColor="text1"/>
        </w:rPr>
        <w:t xml:space="preserve"> eficiente de lo ocurrido</w:t>
      </w:r>
      <w:r>
        <w:rPr>
          <w:rFonts w:ascii="Arial" w:eastAsia="Arial" w:hAnsi="Arial" w:cs="Arial"/>
          <w:color w:val="000000" w:themeColor="text1"/>
        </w:rPr>
        <w:t xml:space="preserve">, frente al peatón: </w:t>
      </w:r>
      <w:r w:rsidR="00B851F2">
        <w:rPr>
          <w:rFonts w:ascii="Arial" w:eastAsia="Arial" w:hAnsi="Arial" w:cs="Arial"/>
          <w:color w:val="000000" w:themeColor="text1"/>
        </w:rPr>
        <w:t>“</w:t>
      </w:r>
      <w:r w:rsidR="003522C9" w:rsidRPr="003522C9">
        <w:rPr>
          <w:rFonts w:ascii="Arial" w:eastAsia="Arial" w:hAnsi="Arial" w:cs="Arial"/>
          <w:i/>
          <w:iCs/>
          <w:color w:val="000000" w:themeColor="text1"/>
        </w:rPr>
        <w:t>pasar el semáforo peatonal en rojo</w:t>
      </w:r>
      <w:r w:rsidR="00B851F2">
        <w:rPr>
          <w:rFonts w:ascii="Arial" w:eastAsia="Arial" w:hAnsi="Arial" w:cs="Arial"/>
          <w:color w:val="000000" w:themeColor="text1"/>
        </w:rPr>
        <w:t>”</w:t>
      </w:r>
      <w:r>
        <w:rPr>
          <w:rFonts w:ascii="Arial" w:eastAsia="Arial" w:hAnsi="Arial" w:cs="Arial"/>
          <w:color w:val="000000" w:themeColor="text1"/>
        </w:rPr>
        <w:t>,</w:t>
      </w:r>
      <w:r w:rsidR="00B851F2">
        <w:rPr>
          <w:rFonts w:ascii="Arial" w:eastAsia="Arial" w:hAnsi="Arial" w:cs="Arial"/>
          <w:color w:val="000000" w:themeColor="text1"/>
        </w:rPr>
        <w:t xml:space="preserve"> </w:t>
      </w:r>
      <w:r w:rsidR="003522C9">
        <w:rPr>
          <w:rFonts w:ascii="Arial" w:eastAsia="Arial" w:hAnsi="Arial" w:cs="Arial"/>
          <w:color w:val="000000" w:themeColor="text1"/>
        </w:rPr>
        <w:t>es decir</w:t>
      </w:r>
      <w:r>
        <w:rPr>
          <w:rFonts w:ascii="Arial" w:eastAsia="Arial" w:hAnsi="Arial" w:cs="Arial"/>
          <w:color w:val="000000" w:themeColor="text1"/>
        </w:rPr>
        <w:t>,</w:t>
      </w:r>
      <w:r w:rsidR="003522C9">
        <w:rPr>
          <w:rFonts w:ascii="Arial" w:eastAsia="Arial" w:hAnsi="Arial" w:cs="Arial"/>
          <w:color w:val="000000" w:themeColor="text1"/>
        </w:rPr>
        <w:t xml:space="preserve"> que el señor Gustavo Rodríguez </w:t>
      </w:r>
      <w:r>
        <w:rPr>
          <w:rFonts w:ascii="Arial" w:eastAsia="Arial" w:hAnsi="Arial" w:cs="Arial"/>
          <w:color w:val="000000" w:themeColor="text1"/>
        </w:rPr>
        <w:t xml:space="preserve">se encontraba transitando </w:t>
      </w:r>
      <w:r w:rsidR="003522C9">
        <w:rPr>
          <w:rFonts w:ascii="Arial" w:eastAsia="Arial" w:hAnsi="Arial" w:cs="Arial"/>
          <w:color w:val="000000" w:themeColor="text1"/>
        </w:rPr>
        <w:t>como peatón y actu</w:t>
      </w:r>
      <w:r>
        <w:rPr>
          <w:rFonts w:ascii="Arial" w:eastAsia="Arial" w:hAnsi="Arial" w:cs="Arial"/>
          <w:color w:val="000000" w:themeColor="text1"/>
        </w:rPr>
        <w:t>ando</w:t>
      </w:r>
      <w:r w:rsidR="003522C9">
        <w:rPr>
          <w:rFonts w:ascii="Arial" w:eastAsia="Arial" w:hAnsi="Arial" w:cs="Arial"/>
          <w:color w:val="000000" w:themeColor="text1"/>
        </w:rPr>
        <w:t xml:space="preserve"> </w:t>
      </w:r>
      <w:r w:rsidR="00B851F2" w:rsidRPr="005C32A6">
        <w:rPr>
          <w:rFonts w:ascii="Arial" w:eastAsia="Arial" w:hAnsi="Arial" w:cs="Arial"/>
          <w:color w:val="000000" w:themeColor="text1"/>
        </w:rPr>
        <w:t>en desconocimiento de las normas de tránsito</w:t>
      </w:r>
      <w:r w:rsidR="003522C9">
        <w:rPr>
          <w:rFonts w:ascii="Arial" w:eastAsia="Arial" w:hAnsi="Arial" w:cs="Arial"/>
          <w:color w:val="000000" w:themeColor="text1"/>
        </w:rPr>
        <w:t>,</w:t>
      </w:r>
      <w:r w:rsidR="00B851F2" w:rsidRPr="005C32A6">
        <w:rPr>
          <w:rFonts w:ascii="Arial" w:eastAsia="Arial" w:hAnsi="Arial" w:cs="Arial"/>
          <w:color w:val="000000" w:themeColor="text1"/>
        </w:rPr>
        <w:t xml:space="preserve"> </w:t>
      </w:r>
      <w:r w:rsidR="003522C9">
        <w:rPr>
          <w:rFonts w:ascii="Arial" w:eastAsia="Arial" w:hAnsi="Arial" w:cs="Arial"/>
          <w:color w:val="000000" w:themeColor="text1"/>
        </w:rPr>
        <w:t xml:space="preserve">decidió atravesar la </w:t>
      </w:r>
      <w:r w:rsidR="005D4E65">
        <w:rPr>
          <w:rFonts w:ascii="Arial" w:eastAsia="Arial" w:hAnsi="Arial" w:cs="Arial"/>
          <w:color w:val="000000" w:themeColor="text1"/>
        </w:rPr>
        <w:t xml:space="preserve">avenida cuando el semáforo peatonal se encontraba en rojo, generando de esta manera la situación imprevista e irresistible que </w:t>
      </w:r>
      <w:r w:rsidR="005D4E65">
        <w:rPr>
          <w:rFonts w:ascii="Arial" w:eastAsia="Arial" w:hAnsi="Arial" w:cs="Arial"/>
          <w:color w:val="000000" w:themeColor="text1"/>
        </w:rPr>
        <w:lastRenderedPageBreak/>
        <w:t>generó el accidente en el que se vio involucrado el demandante</w:t>
      </w:r>
      <w:r w:rsidR="00B851F2" w:rsidRPr="000473E3">
        <w:rPr>
          <w:rFonts w:ascii="Arial" w:eastAsia="Arial" w:hAnsi="Arial" w:cs="Arial"/>
          <w:color w:val="000000" w:themeColor="text1"/>
        </w:rPr>
        <w:t>.</w:t>
      </w:r>
      <w:r>
        <w:rPr>
          <w:rFonts w:ascii="Arial" w:eastAsia="Arial" w:hAnsi="Arial" w:cs="Arial"/>
          <w:color w:val="000000" w:themeColor="text1"/>
        </w:rPr>
        <w:t xml:space="preserve"> Esto no sólo se logra constatar con el IPAT aportado, sino en el hecho segundo de la demanda, que a manera de confesión el apoderado de la parte actora afirma que la causa del accidente fue la conducta imprudente del peatón al cruzar la vía con el semáforo en rojo, y en esta medida se evidencia la configuración del hecho de un tercero como causal eximente de responsabilidad. </w:t>
      </w:r>
    </w:p>
    <w:p w14:paraId="4CF32D17" w14:textId="77777777" w:rsidR="00B851F2" w:rsidRDefault="00B851F2" w:rsidP="008076C0">
      <w:pPr>
        <w:spacing w:line="360" w:lineRule="auto"/>
        <w:jc w:val="both"/>
        <w:rPr>
          <w:rFonts w:ascii="Arial" w:eastAsia="Arial" w:hAnsi="Arial" w:cs="Arial"/>
          <w:color w:val="000000" w:themeColor="text1"/>
        </w:rPr>
      </w:pPr>
    </w:p>
    <w:p w14:paraId="2815B90D" w14:textId="0FDAFC0E" w:rsidR="00B851F2" w:rsidRPr="00C42FD9" w:rsidRDefault="008076C0" w:rsidP="00B851F2">
      <w:pPr>
        <w:spacing w:line="360" w:lineRule="auto"/>
        <w:jc w:val="both"/>
        <w:rPr>
          <w:rFonts w:ascii="Arial" w:eastAsia="Arial" w:hAnsi="Arial" w:cs="Arial"/>
          <w:color w:val="000000" w:themeColor="text1"/>
          <w:highlight w:val="yellow"/>
        </w:rPr>
      </w:pPr>
      <w:r>
        <w:rPr>
          <w:rFonts w:ascii="Arial" w:eastAsia="Arial" w:hAnsi="Arial" w:cs="Arial"/>
          <w:color w:val="000000" w:themeColor="text1"/>
        </w:rPr>
        <w:t>Ahora bien, frente a la conducta de los peatones al cruzar las vías</w:t>
      </w:r>
      <w:r w:rsidR="0057552E">
        <w:rPr>
          <w:rFonts w:ascii="Arial" w:eastAsia="Arial" w:hAnsi="Arial" w:cs="Arial"/>
          <w:color w:val="000000" w:themeColor="text1"/>
        </w:rPr>
        <w:t>,</w:t>
      </w:r>
      <w:r w:rsidR="00B851F2" w:rsidRPr="00B51E9F">
        <w:rPr>
          <w:rFonts w:ascii="Arial" w:eastAsia="Arial" w:hAnsi="Arial" w:cs="Arial"/>
          <w:color w:val="000000" w:themeColor="text1"/>
        </w:rPr>
        <w:t xml:space="preserve"> ha dicho </w:t>
      </w:r>
      <w:r w:rsidR="00B51E9F" w:rsidRPr="00B51E9F">
        <w:rPr>
          <w:rFonts w:ascii="Arial" w:eastAsia="Arial" w:hAnsi="Arial" w:cs="Arial"/>
          <w:color w:val="000000" w:themeColor="text1"/>
        </w:rPr>
        <w:t>el</w:t>
      </w:r>
      <w:r w:rsidR="00B851F2" w:rsidRPr="00B51E9F">
        <w:rPr>
          <w:rFonts w:ascii="Arial" w:eastAsia="Arial" w:hAnsi="Arial" w:cs="Arial"/>
          <w:color w:val="000000" w:themeColor="text1"/>
        </w:rPr>
        <w:t xml:space="preserve"> Co</w:t>
      </w:r>
      <w:r w:rsidR="00B51E9F" w:rsidRPr="00B51E9F">
        <w:rPr>
          <w:rFonts w:ascii="Arial" w:eastAsia="Arial" w:hAnsi="Arial" w:cs="Arial"/>
          <w:color w:val="000000" w:themeColor="text1"/>
        </w:rPr>
        <w:t>nsejo de Estado</w:t>
      </w:r>
      <w:r w:rsidR="00B851F2" w:rsidRPr="00B51E9F">
        <w:rPr>
          <w:rFonts w:ascii="Arial" w:eastAsia="Arial" w:hAnsi="Arial" w:cs="Arial"/>
          <w:color w:val="000000" w:themeColor="text1"/>
        </w:rPr>
        <w:t xml:space="preserve"> en sentencia de </w:t>
      </w:r>
      <w:r w:rsidR="00B51E9F" w:rsidRPr="00B51E9F">
        <w:rPr>
          <w:rFonts w:ascii="Arial" w:eastAsia="Arial" w:hAnsi="Arial" w:cs="Arial"/>
          <w:color w:val="000000" w:themeColor="text1"/>
        </w:rPr>
        <w:t>05</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octubre</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2011 con radicación 25000-23-26-000-1996-02585-01(18890)</w:t>
      </w:r>
      <w:r w:rsidR="00B851F2" w:rsidRPr="00B51E9F">
        <w:rPr>
          <w:rFonts w:ascii="Arial" w:eastAsia="Arial" w:hAnsi="Arial" w:cs="Arial"/>
          <w:color w:val="000000" w:themeColor="text1"/>
        </w:rPr>
        <w:t xml:space="preserve">, </w:t>
      </w:r>
      <w:r w:rsidR="00AF14BD">
        <w:rPr>
          <w:rFonts w:ascii="Arial" w:eastAsia="Arial" w:hAnsi="Arial" w:cs="Arial"/>
          <w:color w:val="000000" w:themeColor="text1"/>
        </w:rPr>
        <w:t xml:space="preserve">cuya consejera ponente fue la doctora </w:t>
      </w:r>
      <w:r w:rsidR="00AF14BD" w:rsidRPr="00AF14BD">
        <w:rPr>
          <w:rFonts w:ascii="Arial" w:eastAsia="Arial" w:hAnsi="Arial" w:cs="Arial"/>
          <w:color w:val="000000" w:themeColor="text1"/>
        </w:rPr>
        <w:t>Olga Mélida Valle De La Hoz</w:t>
      </w:r>
      <w:r w:rsidR="00AF14BD">
        <w:rPr>
          <w:rFonts w:ascii="Arial" w:eastAsia="Arial" w:hAnsi="Arial" w:cs="Arial"/>
          <w:color w:val="000000" w:themeColor="text1"/>
        </w:rPr>
        <w:t>,</w:t>
      </w:r>
      <w:r w:rsidR="00AF14BD" w:rsidRPr="00AF14BD">
        <w:rPr>
          <w:rFonts w:ascii="Arial" w:eastAsia="Arial" w:hAnsi="Arial" w:cs="Arial"/>
          <w:color w:val="000000" w:themeColor="text1"/>
        </w:rPr>
        <w:t xml:space="preserve"> </w:t>
      </w:r>
      <w:r w:rsidR="00B851F2" w:rsidRPr="00B51E9F">
        <w:rPr>
          <w:rFonts w:ascii="Arial" w:eastAsia="Arial" w:hAnsi="Arial" w:cs="Arial"/>
          <w:color w:val="000000" w:themeColor="text1"/>
        </w:rPr>
        <w:t>que:</w:t>
      </w:r>
    </w:p>
    <w:p w14:paraId="6468FE90" w14:textId="77777777" w:rsidR="00B851F2" w:rsidRPr="00C42FD9" w:rsidRDefault="00B851F2" w:rsidP="00B851F2">
      <w:pPr>
        <w:spacing w:line="360" w:lineRule="auto"/>
        <w:jc w:val="both"/>
        <w:rPr>
          <w:rFonts w:ascii="Arial" w:eastAsia="Arial" w:hAnsi="Arial" w:cs="Arial"/>
          <w:color w:val="000000" w:themeColor="text1"/>
          <w:highlight w:val="yellow"/>
        </w:rPr>
      </w:pPr>
    </w:p>
    <w:p w14:paraId="2AFAC829" w14:textId="124EE5BE" w:rsidR="00B851F2" w:rsidRPr="00AF14BD"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 xml:space="preserve">Es evidente, entonces, que </w:t>
      </w:r>
      <w:r w:rsidR="00B51E9F" w:rsidRPr="00AF14BD">
        <w:rPr>
          <w:rFonts w:ascii="Arial" w:eastAsia="Arial" w:hAnsi="Arial" w:cs="Arial"/>
          <w:i/>
          <w:iCs/>
          <w:color w:val="000000" w:themeColor="text1"/>
          <w:sz w:val="20"/>
          <w:szCs w:val="20"/>
          <w:u w:val="single"/>
        </w:rPr>
        <w:t>un peatón asume las consecuencias de su actuación imprudente, si atraviesa una vía por sitios diferentes a las intersecciones debidamente demarcadas para realizar ese paso, no respeta las señales de tránsito y no verifica los riesgos existentes al realizar el cruce</w:t>
      </w:r>
      <w:r w:rsidR="00B51E9F" w:rsidRPr="00B51E9F">
        <w:rPr>
          <w:rFonts w:ascii="Arial" w:eastAsia="Arial" w:hAnsi="Arial" w:cs="Arial"/>
          <w:i/>
          <w:iCs/>
          <w:color w:val="000000" w:themeColor="text1"/>
          <w:sz w:val="20"/>
          <w:szCs w:val="20"/>
        </w:rPr>
        <w:t>. En el incumplimiento de lo ordenado por la normatividad citada, si se produce un accidente por el hecho del peatón, implica que éste se somete a las consecuencias que su actuar equivocado conlleva</w:t>
      </w: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w:t>
      </w:r>
      <w:r w:rsidR="00AF14BD">
        <w:rPr>
          <w:rFonts w:ascii="Arial" w:eastAsia="Arial" w:hAnsi="Arial" w:cs="Arial"/>
          <w:i/>
          <w:iCs/>
          <w:color w:val="000000" w:themeColor="text1"/>
          <w:sz w:val="20"/>
          <w:szCs w:val="20"/>
        </w:rPr>
        <w:t xml:space="preserve"> </w:t>
      </w:r>
      <w:r w:rsidR="00AF14BD">
        <w:rPr>
          <w:rFonts w:ascii="Arial" w:eastAsia="Arial" w:hAnsi="Arial" w:cs="Arial"/>
          <w:color w:val="000000" w:themeColor="text1"/>
          <w:sz w:val="20"/>
          <w:szCs w:val="20"/>
          <w:lang w:val="es-CO"/>
        </w:rPr>
        <w:t>(</w:t>
      </w:r>
      <w:r w:rsidR="00E5625C">
        <w:rPr>
          <w:rFonts w:ascii="Arial" w:eastAsia="Arial" w:hAnsi="Arial" w:cs="Arial"/>
          <w:color w:val="000000" w:themeColor="text1"/>
          <w:lang w:val="es-CO"/>
        </w:rPr>
        <w:t>S</w:t>
      </w:r>
      <w:r w:rsidR="00AF14BD" w:rsidRPr="003A434F">
        <w:rPr>
          <w:rFonts w:ascii="Arial" w:eastAsia="Arial" w:hAnsi="Arial" w:cs="Arial"/>
          <w:color w:val="000000" w:themeColor="text1"/>
          <w:lang w:val="es-CO"/>
        </w:rPr>
        <w:t>ubrayado fuera de texto</w:t>
      </w:r>
      <w:r w:rsidR="00AF14BD">
        <w:rPr>
          <w:rFonts w:ascii="Arial" w:eastAsia="Arial" w:hAnsi="Arial" w:cs="Arial"/>
          <w:color w:val="000000" w:themeColor="text1"/>
          <w:lang w:val="es-CO"/>
        </w:rPr>
        <w:t>)</w:t>
      </w:r>
      <w:r w:rsidR="00AF14BD" w:rsidRPr="003A434F">
        <w:rPr>
          <w:rFonts w:ascii="Arial" w:eastAsia="Arial" w:hAnsi="Arial" w:cs="Arial"/>
          <w:color w:val="000000" w:themeColor="text1"/>
          <w:lang w:val="es-CO"/>
        </w:rPr>
        <w:t>.</w:t>
      </w:r>
    </w:p>
    <w:p w14:paraId="71DD8B4F" w14:textId="77777777" w:rsidR="00B851F2" w:rsidRDefault="00B851F2" w:rsidP="00B851F2">
      <w:pPr>
        <w:spacing w:line="360" w:lineRule="auto"/>
        <w:jc w:val="both"/>
        <w:rPr>
          <w:rFonts w:ascii="Arial" w:eastAsia="Arial" w:hAnsi="Arial" w:cs="Arial"/>
          <w:color w:val="000000" w:themeColor="text1"/>
        </w:rPr>
      </w:pPr>
    </w:p>
    <w:p w14:paraId="1B95B94C" w14:textId="5F0453B1" w:rsidR="00B851F2" w:rsidRDefault="00B851F2" w:rsidP="00B851F2">
      <w:pPr>
        <w:spacing w:line="360" w:lineRule="auto"/>
        <w:jc w:val="both"/>
        <w:rPr>
          <w:rFonts w:ascii="Arial" w:eastAsia="Arial" w:hAnsi="Arial" w:cs="Arial"/>
          <w:color w:val="000000" w:themeColor="text1"/>
        </w:rPr>
      </w:pPr>
      <w:r w:rsidRPr="00F25821">
        <w:rPr>
          <w:rFonts w:ascii="Arial" w:eastAsia="Arial" w:hAnsi="Arial" w:cs="Arial"/>
          <w:color w:val="000000" w:themeColor="text1"/>
        </w:rPr>
        <w:t>En efecto, las condiciones de modo bajo las cuales ocurrió el accidente de tránsito que convoca este litigio, son suficientes para afirmar la existencia de una causa extraña que exonera de responsabilidad a Distrito Especial de Santiago de Cali; lo anterior de conformidad con los requisitos exigidos por el máximo órgano de la jurisdicción contencioso administrativa</w:t>
      </w:r>
      <w:r w:rsidR="008076C0">
        <w:rPr>
          <w:rFonts w:ascii="Arial" w:eastAsia="Arial" w:hAnsi="Arial" w:cs="Arial"/>
          <w:color w:val="000000" w:themeColor="text1"/>
        </w:rPr>
        <w:t>:</w:t>
      </w:r>
    </w:p>
    <w:p w14:paraId="59F25813" w14:textId="77777777" w:rsidR="00B851F2" w:rsidRDefault="00B851F2" w:rsidP="00B851F2">
      <w:pPr>
        <w:spacing w:line="360" w:lineRule="auto"/>
        <w:jc w:val="both"/>
        <w:rPr>
          <w:rFonts w:ascii="Arial" w:eastAsia="Arial" w:hAnsi="Arial" w:cs="Arial"/>
          <w:color w:val="000000" w:themeColor="text1"/>
        </w:rPr>
      </w:pPr>
    </w:p>
    <w:p w14:paraId="4129A4F9" w14:textId="440B8664" w:rsidR="00B851F2"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851F2" w:rsidRPr="00233033">
        <w:rPr>
          <w:rFonts w:ascii="Arial" w:eastAsia="Arial" w:hAnsi="Arial" w:cs="Arial"/>
          <w:i/>
          <w:iCs/>
          <w:color w:val="000000" w:themeColor="text1"/>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r>
        <w:rPr>
          <w:rFonts w:ascii="Arial" w:eastAsia="Arial" w:hAnsi="Arial" w:cs="Arial"/>
          <w:i/>
          <w:iCs/>
          <w:color w:val="000000" w:themeColor="text1"/>
          <w:sz w:val="20"/>
          <w:szCs w:val="20"/>
        </w:rPr>
        <w:t>”.</w:t>
      </w:r>
    </w:p>
    <w:p w14:paraId="75AAB6A7" w14:textId="77777777" w:rsidR="00B851F2" w:rsidRDefault="00B851F2" w:rsidP="00B851F2">
      <w:pPr>
        <w:spacing w:line="360" w:lineRule="auto"/>
        <w:jc w:val="both"/>
        <w:rPr>
          <w:rFonts w:ascii="Arial" w:eastAsia="Arial" w:hAnsi="Arial" w:cs="Arial"/>
          <w:color w:val="000000" w:themeColor="text1"/>
        </w:rPr>
      </w:pPr>
    </w:p>
    <w:p w14:paraId="666E9FA9" w14:textId="1DABDD47"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t>E</w:t>
      </w:r>
      <w:r w:rsidR="008076C0">
        <w:rPr>
          <w:rFonts w:ascii="Arial" w:eastAsia="Arial" w:hAnsi="Arial" w:cs="Arial"/>
          <w:color w:val="000000" w:themeColor="text1"/>
        </w:rPr>
        <w:t>n el caso concreto, e</w:t>
      </w:r>
      <w:r>
        <w:rPr>
          <w:rFonts w:ascii="Arial" w:eastAsia="Arial" w:hAnsi="Arial" w:cs="Arial"/>
          <w:color w:val="000000" w:themeColor="text1"/>
        </w:rPr>
        <w:t xml:space="preserve">s incuestionable que es </w:t>
      </w:r>
      <w:r w:rsidR="008076C0">
        <w:rPr>
          <w:rFonts w:ascii="Arial" w:eastAsia="Arial" w:hAnsi="Arial" w:cs="Arial"/>
          <w:color w:val="000000" w:themeColor="text1"/>
        </w:rPr>
        <w:t>la conducta de un tercero</w:t>
      </w:r>
      <w:r w:rsidRPr="00233033">
        <w:rPr>
          <w:rFonts w:ascii="Arial" w:eastAsia="Arial" w:hAnsi="Arial" w:cs="Arial"/>
          <w:color w:val="000000" w:themeColor="text1"/>
        </w:rPr>
        <w:t xml:space="preserve"> la que constituye la causa eficiente del accidente, pues </w:t>
      </w:r>
      <w:r w:rsidR="008076C0">
        <w:rPr>
          <w:rFonts w:ascii="Arial" w:eastAsia="Arial" w:hAnsi="Arial" w:cs="Arial"/>
          <w:color w:val="000000" w:themeColor="text1"/>
        </w:rPr>
        <w:t>el actuar</w:t>
      </w:r>
      <w:r>
        <w:rPr>
          <w:rFonts w:ascii="Arial" w:eastAsia="Arial" w:hAnsi="Arial" w:cs="Arial"/>
          <w:color w:val="000000" w:themeColor="text1"/>
        </w:rPr>
        <w:t xml:space="preserve"> irresponsable del peatón</w:t>
      </w:r>
      <w:r w:rsidRPr="00233033">
        <w:rPr>
          <w:rFonts w:ascii="Arial" w:eastAsia="Arial" w:hAnsi="Arial" w:cs="Arial"/>
          <w:color w:val="000000" w:themeColor="text1"/>
        </w:rPr>
        <w:t xml:space="preserve"> fue</w:t>
      </w:r>
      <w:r>
        <w:rPr>
          <w:rFonts w:ascii="Arial" w:eastAsia="Arial" w:hAnsi="Arial" w:cs="Arial"/>
          <w:color w:val="000000" w:themeColor="text1"/>
        </w:rPr>
        <w:t xml:space="preserve"> </w:t>
      </w:r>
      <w:r w:rsidRPr="00233033">
        <w:rPr>
          <w:rFonts w:ascii="Arial" w:eastAsia="Arial" w:hAnsi="Arial" w:cs="Arial"/>
          <w:color w:val="000000" w:themeColor="text1"/>
        </w:rPr>
        <w:t xml:space="preserve">la que generó la colisión </w:t>
      </w:r>
      <w:r>
        <w:rPr>
          <w:rFonts w:ascii="Arial" w:eastAsia="Arial" w:hAnsi="Arial" w:cs="Arial"/>
          <w:color w:val="000000" w:themeColor="text1"/>
        </w:rPr>
        <w:t>entre</w:t>
      </w:r>
      <w:r w:rsidRPr="00233033">
        <w:rPr>
          <w:rFonts w:ascii="Arial" w:eastAsia="Arial" w:hAnsi="Arial" w:cs="Arial"/>
          <w:color w:val="000000" w:themeColor="text1"/>
        </w:rPr>
        <w:t xml:space="preserve"> e</w:t>
      </w:r>
      <w:r>
        <w:rPr>
          <w:rFonts w:ascii="Arial" w:eastAsia="Arial" w:hAnsi="Arial" w:cs="Arial"/>
          <w:color w:val="000000" w:themeColor="text1"/>
        </w:rPr>
        <w:t>ste y el vehículo conducido por el señor David Caicedo</w:t>
      </w:r>
      <w:r w:rsidRPr="00233033">
        <w:rPr>
          <w:rFonts w:ascii="Arial" w:eastAsia="Arial" w:hAnsi="Arial" w:cs="Arial"/>
          <w:color w:val="000000" w:themeColor="text1"/>
        </w:rPr>
        <w:t>. Esta situación es pacíficamente</w:t>
      </w:r>
      <w:r>
        <w:rPr>
          <w:rFonts w:ascii="Arial" w:eastAsia="Arial" w:hAnsi="Arial" w:cs="Arial"/>
          <w:color w:val="000000" w:themeColor="text1"/>
        </w:rPr>
        <w:t xml:space="preserve"> </w:t>
      </w:r>
      <w:r w:rsidRPr="00233033">
        <w:rPr>
          <w:rFonts w:ascii="Arial" w:eastAsia="Arial" w:hAnsi="Arial" w:cs="Arial"/>
          <w:color w:val="000000" w:themeColor="text1"/>
        </w:rPr>
        <w:t xml:space="preserve">aceptada por la parte demandante, </w:t>
      </w:r>
      <w:r>
        <w:rPr>
          <w:rFonts w:ascii="Arial" w:eastAsia="Arial" w:hAnsi="Arial" w:cs="Arial"/>
          <w:color w:val="000000" w:themeColor="text1"/>
        </w:rPr>
        <w:t xml:space="preserve">pues se puede advertir como el en hecho segundo del escrito de la demanda, el togado manifiesta “(…) </w:t>
      </w:r>
      <w:r w:rsidRPr="00F227B5">
        <w:rPr>
          <w:rFonts w:ascii="Arial" w:eastAsia="Arial" w:hAnsi="Arial" w:cs="Arial"/>
          <w:i/>
          <w:iCs/>
          <w:color w:val="000000" w:themeColor="text1"/>
        </w:rPr>
        <w:t>el señor David Caicedo Garzón se movilizaba en calidad de conductor</w:t>
      </w:r>
      <w:r>
        <w:rPr>
          <w:rFonts w:ascii="Arial" w:eastAsia="Arial" w:hAnsi="Arial" w:cs="Arial"/>
          <w:i/>
          <w:iCs/>
          <w:color w:val="000000" w:themeColor="text1"/>
        </w:rPr>
        <w:t xml:space="preserve"> </w:t>
      </w:r>
      <w:r w:rsidRPr="00F227B5">
        <w:rPr>
          <w:rFonts w:ascii="Arial" w:eastAsia="Arial" w:hAnsi="Arial" w:cs="Arial"/>
          <w:i/>
          <w:iCs/>
          <w:color w:val="000000" w:themeColor="text1"/>
        </w:rPr>
        <w:t>de la motocicleta de placas IGU52D, sobre la Avenida 2 y a la altura de la calle 12</w:t>
      </w:r>
      <w:r>
        <w:rPr>
          <w:rFonts w:ascii="Arial" w:eastAsia="Arial" w:hAnsi="Arial" w:cs="Arial"/>
          <w:i/>
          <w:iCs/>
          <w:color w:val="000000" w:themeColor="text1"/>
        </w:rPr>
        <w:t xml:space="preserve"> </w:t>
      </w:r>
      <w:r w:rsidRPr="00F227B5">
        <w:rPr>
          <w:rFonts w:ascii="Arial" w:eastAsia="Arial" w:hAnsi="Arial" w:cs="Arial"/>
          <w:i/>
          <w:iCs/>
          <w:color w:val="000000" w:themeColor="text1"/>
        </w:rPr>
        <w:t>norte de la ciudad de Cali, sufrió un accidente de tránsito cuando un peatón se</w:t>
      </w:r>
      <w:r>
        <w:rPr>
          <w:rFonts w:ascii="Arial" w:eastAsia="Arial" w:hAnsi="Arial" w:cs="Arial"/>
          <w:i/>
          <w:iCs/>
          <w:color w:val="000000" w:themeColor="text1"/>
        </w:rPr>
        <w:t xml:space="preserve"> </w:t>
      </w:r>
      <w:r w:rsidRPr="00F227B5">
        <w:rPr>
          <w:rFonts w:ascii="Arial" w:eastAsia="Arial" w:hAnsi="Arial" w:cs="Arial"/>
          <w:i/>
          <w:iCs/>
          <w:color w:val="000000" w:themeColor="text1"/>
        </w:rPr>
        <w:t>atravesó en la intersección semaforizada</w:t>
      </w:r>
      <w:r>
        <w:rPr>
          <w:rFonts w:ascii="Arial" w:eastAsia="Arial" w:hAnsi="Arial" w:cs="Arial"/>
          <w:i/>
          <w:iCs/>
          <w:color w:val="000000" w:themeColor="text1"/>
        </w:rPr>
        <w:t xml:space="preserve"> (…)</w:t>
      </w:r>
      <w:r>
        <w:rPr>
          <w:rFonts w:ascii="Arial" w:eastAsia="Arial" w:hAnsi="Arial" w:cs="Arial"/>
          <w:color w:val="000000" w:themeColor="text1"/>
        </w:rPr>
        <w:t>”</w:t>
      </w:r>
      <w:r w:rsidRPr="00A163C9">
        <w:rPr>
          <w:rFonts w:ascii="Arial" w:eastAsia="Arial" w:hAnsi="Arial" w:cs="Arial"/>
          <w:color w:val="000000" w:themeColor="text1"/>
        </w:rPr>
        <w:t>.</w:t>
      </w:r>
    </w:p>
    <w:p w14:paraId="3CEFF747" w14:textId="77777777" w:rsidR="0057552E" w:rsidRDefault="0057552E" w:rsidP="0057552E">
      <w:pPr>
        <w:spacing w:line="360" w:lineRule="auto"/>
        <w:jc w:val="both"/>
        <w:rPr>
          <w:rFonts w:ascii="Arial" w:eastAsia="Arial" w:hAnsi="Arial" w:cs="Arial"/>
          <w:color w:val="000000" w:themeColor="text1"/>
        </w:rPr>
      </w:pPr>
      <w:r w:rsidRPr="00233033">
        <w:rPr>
          <w:rFonts w:ascii="Arial" w:eastAsia="Arial" w:hAnsi="Arial" w:cs="Arial"/>
          <w:color w:val="000000" w:themeColor="text1"/>
        </w:rPr>
        <w:t xml:space="preserve"> </w:t>
      </w:r>
    </w:p>
    <w:p w14:paraId="5CEE3350" w14:textId="6478B6B2"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dicha situación se colige que, si el </w:t>
      </w:r>
      <w:r w:rsidRPr="005C32A6">
        <w:rPr>
          <w:rFonts w:ascii="Arial" w:eastAsia="Arial" w:hAnsi="Arial" w:cs="Arial"/>
          <w:color w:val="000000" w:themeColor="text1"/>
        </w:rPr>
        <w:t xml:space="preserve">señor </w:t>
      </w:r>
      <w:r>
        <w:rPr>
          <w:rFonts w:ascii="Arial" w:eastAsia="Arial" w:hAnsi="Arial" w:cs="Arial"/>
          <w:color w:val="000000" w:themeColor="text1"/>
        </w:rPr>
        <w:t xml:space="preserve">Gustavo Rodríguez no hubiese travesado la avenida cuando el semáforo peatonal que le indicaba la procedencia o no de la acción, le </w:t>
      </w:r>
      <w:r w:rsidR="008076C0">
        <w:rPr>
          <w:rFonts w:ascii="Arial" w:eastAsia="Arial" w:hAnsi="Arial" w:cs="Arial"/>
          <w:color w:val="000000" w:themeColor="text1"/>
        </w:rPr>
        <w:t>señalaba</w:t>
      </w:r>
      <w:r>
        <w:rPr>
          <w:rFonts w:ascii="Arial" w:eastAsia="Arial" w:hAnsi="Arial" w:cs="Arial"/>
          <w:color w:val="000000" w:themeColor="text1"/>
        </w:rPr>
        <w:t xml:space="preserve"> con su </w:t>
      </w:r>
      <w:r>
        <w:rPr>
          <w:rFonts w:ascii="Arial" w:eastAsia="Arial" w:hAnsi="Arial" w:cs="Arial"/>
          <w:color w:val="000000" w:themeColor="text1"/>
        </w:rPr>
        <w:lastRenderedPageBreak/>
        <w:t>caracter</w:t>
      </w:r>
      <w:r w:rsidR="008076C0">
        <w:rPr>
          <w:rFonts w:ascii="Arial" w:eastAsia="Arial" w:hAnsi="Arial" w:cs="Arial"/>
          <w:color w:val="000000" w:themeColor="text1"/>
        </w:rPr>
        <w:t xml:space="preserve">ística </w:t>
      </w:r>
      <w:r>
        <w:rPr>
          <w:rFonts w:ascii="Arial" w:eastAsia="Arial" w:hAnsi="Arial" w:cs="Arial"/>
          <w:color w:val="000000" w:themeColor="text1"/>
        </w:rPr>
        <w:t>señal roja que no podía ni debía transitar la avenida, no se hubiese generado la colisión</w:t>
      </w:r>
      <w:r w:rsidR="008076C0">
        <w:rPr>
          <w:rFonts w:ascii="Arial" w:eastAsia="Arial" w:hAnsi="Arial" w:cs="Arial"/>
          <w:color w:val="000000" w:themeColor="text1"/>
        </w:rPr>
        <w:t>;</w:t>
      </w:r>
      <w:r>
        <w:rPr>
          <w:rFonts w:ascii="Arial" w:eastAsia="Arial" w:hAnsi="Arial" w:cs="Arial"/>
          <w:color w:val="000000" w:themeColor="text1"/>
        </w:rPr>
        <w:t xml:space="preserve"> pues es claro que la acción peligrosa e irresponsable de ponerse y poner a los demás en riesgo por ubicarse en un sitio en el cual no debía estar para ese momento y lugar específico, es la acción primordial y por tanto determinante del suceso</w:t>
      </w:r>
      <w:r w:rsidR="008076C0">
        <w:rPr>
          <w:rFonts w:ascii="Arial" w:eastAsia="Arial" w:hAnsi="Arial" w:cs="Arial"/>
          <w:color w:val="000000" w:themeColor="text1"/>
        </w:rPr>
        <w:t xml:space="preserve">. Así las cosas, </w:t>
      </w:r>
      <w:r>
        <w:rPr>
          <w:rFonts w:ascii="Arial" w:eastAsia="Arial" w:hAnsi="Arial" w:cs="Arial"/>
          <w:color w:val="000000" w:themeColor="text1"/>
        </w:rPr>
        <w:t xml:space="preserve">sin </w:t>
      </w:r>
      <w:r w:rsidR="008076C0">
        <w:rPr>
          <w:rFonts w:ascii="Arial" w:eastAsia="Arial" w:hAnsi="Arial" w:cs="Arial"/>
          <w:color w:val="000000" w:themeColor="text1"/>
        </w:rPr>
        <w:t xml:space="preserve">el peatón </w:t>
      </w:r>
      <w:r>
        <w:rPr>
          <w:rFonts w:ascii="Arial" w:eastAsia="Arial" w:hAnsi="Arial" w:cs="Arial"/>
          <w:color w:val="000000" w:themeColor="text1"/>
        </w:rPr>
        <w:t>en medio de la avenida cuando otros vehículos tienen la facultad de transitar, el accidente no se hubiese producido, no existe un acto anterior al del señor Rodríguez que ocasione indefectiblemente la situación de riesgo para él y los demás conductores del sector. En ese sentido</w:t>
      </w:r>
      <w:r w:rsidR="008076C0">
        <w:rPr>
          <w:rFonts w:ascii="Arial" w:eastAsia="Arial" w:hAnsi="Arial" w:cs="Arial"/>
          <w:color w:val="000000" w:themeColor="text1"/>
        </w:rPr>
        <w:t>,</w:t>
      </w:r>
      <w:r>
        <w:rPr>
          <w:rFonts w:ascii="Arial" w:eastAsia="Arial" w:hAnsi="Arial" w:cs="Arial"/>
          <w:color w:val="000000" w:themeColor="text1"/>
        </w:rPr>
        <w:t xml:space="preserve"> es claro que en la acción del peatón no tiene injerencia ni determinación el Distrito Especial de Cali, lo cual exhibe, no sólo la configuración del hecho exclusivo y determinante de un tercero, sino consecuencialmente, el rompimiento del nexo causal, sobre el cual se ahondará más adelante.</w:t>
      </w:r>
    </w:p>
    <w:p w14:paraId="4CFBDD9C" w14:textId="77777777" w:rsidR="0057552E" w:rsidRDefault="0057552E" w:rsidP="00B851F2">
      <w:pPr>
        <w:spacing w:line="360" w:lineRule="auto"/>
        <w:jc w:val="both"/>
        <w:rPr>
          <w:rFonts w:ascii="Arial" w:eastAsia="Arial" w:hAnsi="Arial" w:cs="Arial"/>
          <w:color w:val="000000" w:themeColor="text1"/>
        </w:rPr>
      </w:pPr>
    </w:p>
    <w:p w14:paraId="44DBFADB" w14:textId="21793B0E" w:rsidR="0057552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Pr="00233033">
        <w:rPr>
          <w:rFonts w:ascii="Arial" w:eastAsia="Arial" w:hAnsi="Arial" w:cs="Arial"/>
          <w:color w:val="000000" w:themeColor="text1"/>
        </w:rPr>
        <w:t xml:space="preserve">esulta claro </w:t>
      </w:r>
      <w:r>
        <w:rPr>
          <w:rFonts w:ascii="Arial" w:eastAsia="Arial" w:hAnsi="Arial" w:cs="Arial"/>
          <w:color w:val="000000" w:themeColor="text1"/>
        </w:rPr>
        <w:t>entonces que todas las características planteadas por el órgano de cierre de la jurisdicción contenciosa administrativa para se configure un</w:t>
      </w:r>
      <w:r w:rsidR="008076C0">
        <w:rPr>
          <w:rFonts w:ascii="Arial" w:eastAsia="Arial" w:hAnsi="Arial" w:cs="Arial"/>
          <w:color w:val="000000" w:themeColor="text1"/>
        </w:rPr>
        <w:t xml:space="preserve">a </w:t>
      </w:r>
      <w:r>
        <w:rPr>
          <w:rFonts w:ascii="Arial" w:eastAsia="Arial" w:hAnsi="Arial" w:cs="Arial"/>
          <w:color w:val="000000" w:themeColor="text1"/>
        </w:rPr>
        <w:t>causa extraña</w:t>
      </w:r>
      <w:r w:rsidR="008076C0">
        <w:rPr>
          <w:rFonts w:ascii="Arial" w:eastAsia="Arial" w:hAnsi="Arial" w:cs="Arial"/>
          <w:color w:val="000000" w:themeColor="text1"/>
        </w:rPr>
        <w:t xml:space="preserve"> </w:t>
      </w:r>
      <w:r>
        <w:rPr>
          <w:rFonts w:ascii="Arial" w:eastAsia="Arial" w:hAnsi="Arial" w:cs="Arial"/>
          <w:color w:val="000000" w:themeColor="text1"/>
        </w:rPr>
        <w:t xml:space="preserve">, en este caso, la culpa exclusiva y determinante de un tercero, se cumplen a cabalidad, y tanto los hechos como los elementos de prueba dejan en evidencia </w:t>
      </w:r>
      <w:r w:rsidRPr="00233033">
        <w:rPr>
          <w:rFonts w:ascii="Arial" w:eastAsia="Arial" w:hAnsi="Arial" w:cs="Arial"/>
          <w:color w:val="000000" w:themeColor="text1"/>
        </w:rPr>
        <w:t xml:space="preserve">que la causa eficiente del accidente de tránsito fue la violación de la normatividad de tránsito que se materializó por la conducta </w:t>
      </w:r>
      <w:r w:rsidR="00373211">
        <w:rPr>
          <w:rFonts w:ascii="Arial" w:eastAsia="Arial" w:hAnsi="Arial" w:cs="Arial"/>
          <w:color w:val="000000" w:themeColor="text1"/>
        </w:rPr>
        <w:t xml:space="preserve">irresponsable </w:t>
      </w:r>
      <w:r>
        <w:rPr>
          <w:rFonts w:ascii="Arial" w:eastAsia="Arial" w:hAnsi="Arial" w:cs="Arial"/>
          <w:color w:val="000000" w:themeColor="text1"/>
        </w:rPr>
        <w:t>realizada</w:t>
      </w:r>
      <w:r w:rsidRPr="00233033">
        <w:rPr>
          <w:rFonts w:ascii="Arial" w:eastAsia="Arial" w:hAnsi="Arial" w:cs="Arial"/>
          <w:color w:val="000000" w:themeColor="text1"/>
        </w:rPr>
        <w:t xml:space="preserve"> por el </w:t>
      </w:r>
      <w:r w:rsidR="00373211">
        <w:rPr>
          <w:rFonts w:ascii="Arial" w:eastAsia="Arial" w:hAnsi="Arial" w:cs="Arial"/>
          <w:color w:val="000000" w:themeColor="text1"/>
        </w:rPr>
        <w:t>señor Gustavo Rodríguez</w:t>
      </w:r>
      <w:r w:rsidRPr="00233033">
        <w:rPr>
          <w:rFonts w:ascii="Arial" w:eastAsia="Arial" w:hAnsi="Arial" w:cs="Arial"/>
          <w:color w:val="000000" w:themeColor="text1"/>
        </w:rPr>
        <w:t>,</w:t>
      </w:r>
      <w:r>
        <w:rPr>
          <w:rFonts w:ascii="Arial" w:eastAsia="Arial" w:hAnsi="Arial" w:cs="Arial"/>
          <w:color w:val="000000" w:themeColor="text1"/>
        </w:rPr>
        <w:t xml:space="preserve"> </w:t>
      </w:r>
      <w:r w:rsidRPr="00233033">
        <w:rPr>
          <w:rFonts w:ascii="Arial" w:eastAsia="Arial" w:hAnsi="Arial" w:cs="Arial"/>
          <w:color w:val="000000" w:themeColor="text1"/>
        </w:rPr>
        <w:t>por la cual, se deberá declarar como probada esta excepción.</w:t>
      </w:r>
    </w:p>
    <w:p w14:paraId="4E07E1B3" w14:textId="77777777" w:rsidR="00B851F2" w:rsidRPr="00233033" w:rsidRDefault="00B851F2" w:rsidP="00B851F2">
      <w:pPr>
        <w:spacing w:line="360" w:lineRule="auto"/>
        <w:jc w:val="both"/>
        <w:rPr>
          <w:rFonts w:ascii="Arial" w:eastAsia="Arial" w:hAnsi="Arial" w:cs="Arial"/>
          <w:color w:val="000000" w:themeColor="text1"/>
        </w:rPr>
      </w:pPr>
    </w:p>
    <w:p w14:paraId="6AFA86B7" w14:textId="0F6E1613" w:rsidR="008076C0"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6B3AEF">
        <w:rPr>
          <w:rFonts w:ascii="Arial" w:eastAsia="Arial" w:hAnsi="Arial" w:cs="Arial"/>
          <w:b/>
          <w:bCs/>
          <w:color w:val="000000" w:themeColor="text1"/>
        </w:rPr>
        <w:t>INEXISTENCIA</w:t>
      </w:r>
      <w:r w:rsidR="006A7372">
        <w:rPr>
          <w:rFonts w:ascii="Arial" w:eastAsia="Arial" w:hAnsi="Arial" w:cs="Arial"/>
          <w:b/>
          <w:bCs/>
          <w:color w:val="000000" w:themeColor="text1"/>
        </w:rPr>
        <w:t xml:space="preserve"> </w:t>
      </w:r>
      <w:r w:rsidR="006A7372" w:rsidRPr="006B3AEF">
        <w:rPr>
          <w:rFonts w:ascii="Arial" w:eastAsia="Arial" w:hAnsi="Arial" w:cs="Arial"/>
          <w:b/>
          <w:bCs/>
          <w:color w:val="000000" w:themeColor="text1"/>
        </w:rPr>
        <w:t>DE</w:t>
      </w:r>
      <w:r w:rsidRPr="006B3AEF">
        <w:rPr>
          <w:rFonts w:ascii="Arial" w:eastAsia="Arial" w:hAnsi="Arial" w:cs="Arial"/>
          <w:b/>
          <w:bCs/>
          <w:color w:val="000000" w:themeColor="text1"/>
        </w:rPr>
        <w:t xml:space="preserve"> FALLA EN LA PRESTACIÓN DEL SERVICIO</w:t>
      </w:r>
    </w:p>
    <w:p w14:paraId="176437F4" w14:textId="77777777" w:rsidR="008076C0" w:rsidRPr="003125FD" w:rsidRDefault="008076C0" w:rsidP="003125FD">
      <w:pPr>
        <w:pStyle w:val="Prrafodelista"/>
        <w:spacing w:after="0" w:line="360" w:lineRule="auto"/>
        <w:jc w:val="both"/>
        <w:rPr>
          <w:rFonts w:ascii="Arial" w:eastAsia="Arial" w:hAnsi="Arial" w:cs="Arial"/>
          <w:b/>
          <w:bCs/>
          <w:color w:val="000000" w:themeColor="text1"/>
        </w:rPr>
      </w:pPr>
    </w:p>
    <w:p w14:paraId="4EB46F1B" w14:textId="40B066DC" w:rsidR="00B851F2" w:rsidRDefault="00B851F2" w:rsidP="005364C1">
      <w:pPr>
        <w:spacing w:line="360" w:lineRule="auto"/>
        <w:jc w:val="both"/>
        <w:rPr>
          <w:rFonts w:ascii="Arial" w:eastAsia="Arial" w:hAnsi="Arial" w:cs="Arial"/>
          <w:color w:val="000000" w:themeColor="text1"/>
        </w:rPr>
      </w:pPr>
      <w:r>
        <w:rPr>
          <w:rFonts w:ascii="Arial" w:eastAsia="Arial" w:hAnsi="Arial" w:cs="Arial"/>
          <w:color w:val="000000" w:themeColor="text1"/>
        </w:rPr>
        <w:t>La parte actora en su relato aduce que e</w:t>
      </w:r>
      <w:r w:rsidRPr="004B571C">
        <w:rPr>
          <w:rFonts w:ascii="Arial" w:eastAsia="Arial" w:hAnsi="Arial" w:cs="Arial"/>
          <w:color w:val="000000" w:themeColor="text1"/>
        </w:rPr>
        <w:t xml:space="preserve">n el caso </w:t>
      </w:r>
      <w:r>
        <w:rPr>
          <w:rFonts w:ascii="Arial" w:eastAsia="Arial" w:hAnsi="Arial" w:cs="Arial"/>
          <w:color w:val="000000" w:themeColor="text1"/>
        </w:rPr>
        <w:t>en examen</w:t>
      </w:r>
      <w:r w:rsidRPr="004B571C">
        <w:rPr>
          <w:rFonts w:ascii="Arial" w:eastAsia="Arial" w:hAnsi="Arial" w:cs="Arial"/>
          <w:color w:val="000000" w:themeColor="text1"/>
        </w:rPr>
        <w:t xml:space="preserve"> </w:t>
      </w:r>
      <w:r w:rsidR="00221500">
        <w:rPr>
          <w:rFonts w:ascii="Arial" w:eastAsia="Arial" w:hAnsi="Arial" w:cs="Arial"/>
          <w:color w:val="000000" w:themeColor="text1"/>
        </w:rPr>
        <w:t>“</w:t>
      </w:r>
      <w:r w:rsidR="00221500" w:rsidRPr="00221500">
        <w:rPr>
          <w:rFonts w:ascii="Arial" w:eastAsia="Arial" w:hAnsi="Arial" w:cs="Arial"/>
          <w:i/>
          <w:iCs/>
          <w:color w:val="000000" w:themeColor="text1"/>
        </w:rPr>
        <w:t>la falla de servicio se presenta por la falta de mantenimiento de una SEÑAL DE TRANSITO</w:t>
      </w:r>
      <w:r>
        <w:rPr>
          <w:rFonts w:ascii="Arial" w:eastAsia="Arial" w:hAnsi="Arial" w:cs="Arial"/>
          <w:i/>
          <w:iCs/>
          <w:color w:val="000000" w:themeColor="text1"/>
        </w:rPr>
        <w:t>”</w:t>
      </w:r>
      <w:r w:rsidR="008076C0">
        <w:rPr>
          <w:rFonts w:ascii="Arial" w:eastAsia="Arial" w:hAnsi="Arial" w:cs="Arial"/>
          <w:i/>
          <w:iCs/>
          <w:color w:val="000000" w:themeColor="text1"/>
        </w:rPr>
        <w:t>,</w:t>
      </w:r>
      <w:r w:rsidRPr="004B571C">
        <w:rPr>
          <w:rFonts w:ascii="Arial" w:eastAsia="Arial" w:hAnsi="Arial" w:cs="Arial"/>
          <w:i/>
          <w:iCs/>
          <w:color w:val="000000" w:themeColor="text1"/>
        </w:rPr>
        <w:t xml:space="preserve"> </w:t>
      </w:r>
      <w:r>
        <w:rPr>
          <w:rFonts w:ascii="Arial" w:eastAsia="Arial" w:hAnsi="Arial" w:cs="Arial"/>
          <w:color w:val="000000" w:themeColor="text1"/>
        </w:rPr>
        <w:t xml:space="preserve">resaltando que la responsabilidad de </w:t>
      </w:r>
      <w:r w:rsidR="00D45D06">
        <w:rPr>
          <w:rFonts w:ascii="Arial" w:eastAsia="Arial" w:hAnsi="Arial" w:cs="Arial"/>
          <w:color w:val="000000" w:themeColor="text1"/>
        </w:rPr>
        <w:t>esta</w:t>
      </w:r>
      <w:r>
        <w:rPr>
          <w:rFonts w:ascii="Arial" w:eastAsia="Arial" w:hAnsi="Arial" w:cs="Arial"/>
          <w:color w:val="000000" w:themeColor="text1"/>
        </w:rPr>
        <w:t xml:space="preserve"> se estructura desde </w:t>
      </w:r>
      <w:r w:rsidR="008076C0">
        <w:rPr>
          <w:rFonts w:ascii="Arial" w:eastAsia="Arial" w:hAnsi="Arial" w:cs="Arial"/>
          <w:color w:val="000000" w:themeColor="text1"/>
        </w:rPr>
        <w:t>su</w:t>
      </w:r>
      <w:r w:rsidR="00D73934">
        <w:rPr>
          <w:rFonts w:ascii="Arial" w:eastAsia="Arial" w:hAnsi="Arial" w:cs="Arial"/>
          <w:color w:val="000000" w:themeColor="text1"/>
        </w:rPr>
        <w:t xml:space="preserve"> presunta omisión</w:t>
      </w:r>
      <w:r>
        <w:rPr>
          <w:rFonts w:ascii="Arial" w:eastAsia="Arial" w:hAnsi="Arial" w:cs="Arial"/>
          <w:color w:val="000000" w:themeColor="text1"/>
        </w:rPr>
        <w:t>, sin embargo, queda en evidencia por lo allegado al proceso</w:t>
      </w:r>
      <w:r w:rsidR="003E5AF0">
        <w:rPr>
          <w:rFonts w:ascii="Arial" w:eastAsia="Arial" w:hAnsi="Arial" w:cs="Arial"/>
          <w:color w:val="000000" w:themeColor="text1"/>
        </w:rPr>
        <w:t xml:space="preserve"> como material de convicción</w:t>
      </w:r>
      <w:r>
        <w:rPr>
          <w:rFonts w:ascii="Arial" w:eastAsia="Arial" w:hAnsi="Arial" w:cs="Arial"/>
          <w:color w:val="000000" w:themeColor="text1"/>
        </w:rPr>
        <w:t xml:space="preserve">, </w:t>
      </w:r>
      <w:r w:rsidR="001C0F4D">
        <w:rPr>
          <w:rFonts w:ascii="Arial" w:eastAsia="Arial" w:hAnsi="Arial" w:cs="Arial"/>
          <w:color w:val="000000" w:themeColor="text1"/>
        </w:rPr>
        <w:t>que tal</w:t>
      </w:r>
      <w:r>
        <w:rPr>
          <w:rFonts w:ascii="Arial" w:eastAsia="Arial" w:hAnsi="Arial" w:cs="Arial"/>
          <w:color w:val="000000" w:themeColor="text1"/>
        </w:rPr>
        <w:t xml:space="preserve"> aseveración no tiene soporte probatorio</w:t>
      </w:r>
      <w:r w:rsidR="008076C0">
        <w:rPr>
          <w:rFonts w:ascii="Arial" w:eastAsia="Arial" w:hAnsi="Arial" w:cs="Arial"/>
          <w:color w:val="000000" w:themeColor="text1"/>
        </w:rPr>
        <w:t>,</w:t>
      </w:r>
      <w:r>
        <w:rPr>
          <w:rFonts w:ascii="Arial" w:eastAsia="Arial" w:hAnsi="Arial" w:cs="Arial"/>
          <w:color w:val="000000" w:themeColor="text1"/>
        </w:rPr>
        <w:t xml:space="preserve"> ni sustento argumentativo desde </w:t>
      </w:r>
      <w:r w:rsidR="003E5AF0">
        <w:rPr>
          <w:rFonts w:ascii="Arial" w:eastAsia="Arial" w:hAnsi="Arial" w:cs="Arial"/>
          <w:color w:val="000000" w:themeColor="text1"/>
        </w:rPr>
        <w:t>el punto de</w:t>
      </w:r>
      <w:r>
        <w:rPr>
          <w:rFonts w:ascii="Arial" w:eastAsia="Arial" w:hAnsi="Arial" w:cs="Arial"/>
          <w:color w:val="000000" w:themeColor="text1"/>
        </w:rPr>
        <w:t xml:space="preserve"> vista de la sana critica.</w:t>
      </w:r>
      <w:r w:rsidR="008076C0">
        <w:rPr>
          <w:rFonts w:ascii="Arial" w:eastAsia="Arial" w:hAnsi="Arial" w:cs="Arial"/>
          <w:color w:val="000000" w:themeColor="text1"/>
        </w:rPr>
        <w:t xml:space="preserve"> Adicional a lo anterior, no se ha logrado acreditar con una prueba siquiera sumaria que se haya puesto en conocimiento de las autoridades sobre la falla del semáforo, ni se tiene certeza alguna desde cuando el semáforo estaba fallando, lo que hace evidente la ausencia de falla en el servicio en el presente asunto. </w:t>
      </w:r>
    </w:p>
    <w:p w14:paraId="03CDDDCA" w14:textId="77777777" w:rsidR="005364C1" w:rsidRDefault="005364C1" w:rsidP="005364C1">
      <w:pPr>
        <w:spacing w:line="360" w:lineRule="auto"/>
        <w:jc w:val="both"/>
        <w:rPr>
          <w:rFonts w:ascii="Arial" w:eastAsia="Arial" w:hAnsi="Arial" w:cs="Arial"/>
          <w:color w:val="000000" w:themeColor="text1"/>
        </w:rPr>
      </w:pPr>
    </w:p>
    <w:p w14:paraId="3FB4D6B2" w14:textId="77777777" w:rsidR="005364C1" w:rsidRPr="00E55479" w:rsidRDefault="005364C1" w:rsidP="003125FD">
      <w:pPr>
        <w:spacing w:line="360" w:lineRule="auto"/>
        <w:jc w:val="both"/>
        <w:rPr>
          <w:rFonts w:ascii="Arial" w:hAnsi="Arial" w:cs="Arial"/>
          <w:color w:val="2D2D2D"/>
          <w:shd w:val="clear" w:color="auto" w:fill="FFFFFF"/>
        </w:rPr>
      </w:pPr>
      <w:r w:rsidRPr="00E55479">
        <w:rPr>
          <w:rFonts w:ascii="Arial" w:hAnsi="Arial" w:cs="Arial"/>
          <w:color w:val="2D2D2D"/>
          <w:shd w:val="clear" w:color="auto" w:fill="FFFFFF"/>
        </w:rPr>
        <w:t xml:space="preserve">Para sostener la tesis anteriormente enunciada, el despacho debe tener en cuenta que, fuera de los regímenes objetivos de responsabilidad del Estado, la falla del servicio es el título de imputación por excelencia bajo el cual se juzga la conducta de la Administración Pública, </w:t>
      </w:r>
      <w:proofErr w:type="spellStart"/>
      <w:r w:rsidRPr="00E55479">
        <w:rPr>
          <w:rFonts w:ascii="Arial" w:hAnsi="Arial" w:cs="Arial"/>
          <w:i/>
          <w:iCs/>
          <w:color w:val="2D2D2D"/>
          <w:shd w:val="clear" w:color="auto" w:fill="FFFFFF"/>
        </w:rPr>
        <w:t>imputatio</w:t>
      </w:r>
      <w:proofErr w:type="spellEnd"/>
      <w:r w:rsidRPr="00E55479">
        <w:rPr>
          <w:rFonts w:ascii="Arial" w:hAnsi="Arial" w:cs="Arial"/>
          <w:i/>
          <w:iCs/>
          <w:color w:val="2D2D2D"/>
          <w:shd w:val="clear" w:color="auto" w:fill="FFFFFF"/>
        </w:rPr>
        <w:t xml:space="preserve"> iuris</w:t>
      </w:r>
      <w:r w:rsidRPr="00E55479">
        <w:rPr>
          <w:rFonts w:ascii="Arial" w:hAnsi="Arial" w:cs="Arial"/>
          <w:color w:val="2D2D2D"/>
          <w:shd w:val="clear" w:color="auto" w:fill="FFFFFF"/>
        </w:rPr>
        <w:t xml:space="preserve"> que requiere esencialmente su prueba y acreditación como la ha dicho el H. Consejo de Estado: </w:t>
      </w:r>
    </w:p>
    <w:p w14:paraId="179D390B" w14:textId="77777777" w:rsidR="005364C1" w:rsidRPr="00E55479" w:rsidRDefault="005364C1" w:rsidP="003125FD">
      <w:pPr>
        <w:spacing w:line="360" w:lineRule="auto"/>
        <w:jc w:val="both"/>
        <w:rPr>
          <w:rFonts w:ascii="Arial" w:hAnsi="Arial" w:cs="Arial"/>
          <w:color w:val="2D2D2D"/>
          <w:shd w:val="clear" w:color="auto" w:fill="FFFFFF"/>
        </w:rPr>
      </w:pPr>
    </w:p>
    <w:p w14:paraId="05A20E53" w14:textId="77777777" w:rsidR="005364C1" w:rsidRPr="003125FD" w:rsidRDefault="005364C1" w:rsidP="003125FD">
      <w:pPr>
        <w:pStyle w:val="Textodeglobo"/>
        <w:tabs>
          <w:tab w:val="left" w:pos="4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“Es preciso recordar 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w:t>
      </w:r>
      <w:r w:rsidRPr="003125FD">
        <w:rPr>
          <w:rFonts w:ascii="Arial" w:hAnsi="Arial" w:cs="Arial"/>
          <w:b/>
          <w:bCs/>
          <w:i/>
          <w:iCs/>
          <w:sz w:val="20"/>
          <w:szCs w:val="20"/>
          <w:u w:val="single"/>
        </w:rPr>
        <w:t xml:space="preserve">pues de otro modo, al juez no le resta otra posibilidad que negar las pretensiones por la insatisfacción del </w:t>
      </w:r>
      <w:proofErr w:type="spellStart"/>
      <w:r w:rsidRPr="003125FD">
        <w:rPr>
          <w:rFonts w:ascii="Arial" w:hAnsi="Arial" w:cs="Arial"/>
          <w:b/>
          <w:bCs/>
          <w:i/>
          <w:iCs/>
          <w:sz w:val="20"/>
          <w:szCs w:val="20"/>
          <w:u w:val="single"/>
        </w:rPr>
        <w:t>onus</w:t>
      </w:r>
      <w:proofErr w:type="spellEnd"/>
      <w:r w:rsidRPr="003125FD">
        <w:rPr>
          <w:rFonts w:ascii="Arial" w:hAnsi="Arial" w:cs="Arial"/>
          <w:b/>
          <w:bCs/>
          <w:i/>
          <w:iCs/>
          <w:sz w:val="20"/>
          <w:szCs w:val="20"/>
          <w:u w:val="single"/>
        </w:rPr>
        <w:t xml:space="preserve"> probandi que </w:t>
      </w:r>
      <w:r w:rsidRPr="003125FD">
        <w:rPr>
          <w:rFonts w:ascii="Arial" w:hAnsi="Arial" w:cs="Arial"/>
          <w:b/>
          <w:bCs/>
          <w:i/>
          <w:iCs/>
          <w:sz w:val="20"/>
          <w:szCs w:val="20"/>
          <w:u w:val="single"/>
        </w:rPr>
        <w:lastRenderedPageBreak/>
        <w:t>le asiste al interesado</w:t>
      </w:r>
      <w:r w:rsidRPr="003125FD">
        <w:rPr>
          <w:rFonts w:ascii="Arial" w:hAnsi="Arial" w:cs="Arial"/>
          <w:i/>
          <w:iCs/>
          <w:sz w:val="20"/>
          <w:szCs w:val="20"/>
        </w:rPr>
        <w:t>, conforme con las previsiones del artículo 177 del Código de Procedimiento Civil</w:t>
      </w:r>
      <w:r w:rsidRPr="003125FD">
        <w:rPr>
          <w:rFonts w:ascii="Arial" w:hAnsi="Arial" w:cs="Arial"/>
          <w:i/>
          <w:iCs/>
          <w:sz w:val="20"/>
          <w:szCs w:val="20"/>
          <w:vertAlign w:val="superscript"/>
        </w:rPr>
        <w:footnoteReference w:id="4"/>
      </w:r>
      <w:r w:rsidRPr="003125FD">
        <w:rPr>
          <w:rFonts w:ascii="Arial" w:hAnsi="Arial" w:cs="Arial"/>
          <w:i/>
          <w:iCs/>
          <w:sz w:val="20"/>
          <w:szCs w:val="20"/>
        </w:rPr>
        <w:t>.”</w:t>
      </w:r>
      <w:r w:rsidRPr="003125FD">
        <w:rPr>
          <w:rStyle w:val="Refdenotaalpie"/>
          <w:rFonts w:ascii="Arial" w:hAnsi="Arial" w:cs="Arial"/>
          <w:i/>
          <w:iCs/>
          <w:sz w:val="20"/>
          <w:szCs w:val="20"/>
        </w:rPr>
        <w:footnoteReference w:id="5"/>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350C49E3" w14:textId="77777777" w:rsidR="005364C1" w:rsidRPr="00E55479" w:rsidRDefault="005364C1" w:rsidP="003125FD">
      <w:pPr>
        <w:pStyle w:val="Textodeglobo"/>
        <w:tabs>
          <w:tab w:val="left" w:pos="426"/>
        </w:tabs>
        <w:spacing w:line="360" w:lineRule="auto"/>
        <w:jc w:val="both"/>
        <w:rPr>
          <w:rFonts w:ascii="Arial" w:hAnsi="Arial" w:cs="Arial"/>
          <w:i/>
          <w:iCs/>
          <w:sz w:val="22"/>
          <w:szCs w:val="22"/>
        </w:rPr>
      </w:pPr>
    </w:p>
    <w:p w14:paraId="337B6B19" w14:textId="77777777" w:rsidR="005364C1" w:rsidRPr="00E55479" w:rsidRDefault="005364C1" w:rsidP="003125FD">
      <w:pPr>
        <w:pStyle w:val="Textodeglobo"/>
        <w:tabs>
          <w:tab w:val="left" w:pos="426"/>
        </w:tabs>
        <w:spacing w:line="360" w:lineRule="auto"/>
        <w:jc w:val="both"/>
        <w:rPr>
          <w:rFonts w:ascii="Arial" w:hAnsi="Arial" w:cs="Arial"/>
          <w:sz w:val="22"/>
          <w:szCs w:val="22"/>
        </w:rPr>
      </w:pPr>
      <w:r w:rsidRPr="00E55479">
        <w:rPr>
          <w:rFonts w:ascii="Arial" w:hAnsi="Arial" w:cs="Arial"/>
          <w:sz w:val="22"/>
          <w:szCs w:val="22"/>
        </w:rPr>
        <w:t xml:space="preserve">Sobre la carga probatoria de los demandantes cuando se trata de regímenes subjetivos como al falla del servicio, la doctrina nacional ha reiterado la anterior posición jurisprudencial: </w:t>
      </w:r>
    </w:p>
    <w:p w14:paraId="20C86B8F" w14:textId="77777777" w:rsidR="005364C1" w:rsidRPr="00E55479" w:rsidRDefault="005364C1" w:rsidP="003125FD">
      <w:pPr>
        <w:tabs>
          <w:tab w:val="left" w:pos="5626"/>
        </w:tabs>
        <w:spacing w:line="360" w:lineRule="auto"/>
        <w:jc w:val="both"/>
        <w:rPr>
          <w:rFonts w:ascii="Arial" w:hAnsi="Arial" w:cs="Arial"/>
        </w:rPr>
      </w:pPr>
    </w:p>
    <w:p w14:paraId="43D31FBF"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r w:rsidRPr="003125FD">
        <w:rPr>
          <w:rFonts w:ascii="Arial" w:hAnsi="Arial" w:cs="Arial"/>
          <w:i/>
          <w:iCs/>
          <w:sz w:val="20"/>
          <w:szCs w:val="20"/>
        </w:rPr>
        <w:t xml:space="preserve">“…es claro que el hecho de que un daño le sea imputable a una persona pública no es suficiente normalmente para hacerla responsable: </w:t>
      </w:r>
      <w:r w:rsidRPr="003125FD">
        <w:rPr>
          <w:rFonts w:ascii="Arial" w:hAnsi="Arial" w:cs="Arial"/>
          <w:b/>
          <w:bCs/>
          <w:i/>
          <w:iCs/>
          <w:sz w:val="20"/>
          <w:szCs w:val="20"/>
          <w:u w:val="single"/>
        </w:rPr>
        <w:t>es necesario que la víctima demuestre que en su origen se encuentra un mal funcionamiento administrativo</w:t>
      </w:r>
      <w:r w:rsidRPr="003125FD">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3125FD">
        <w:rPr>
          <w:rFonts w:ascii="Arial" w:hAnsi="Arial" w:cs="Arial"/>
          <w:b/>
          <w:bCs/>
          <w:i/>
          <w:iCs/>
          <w:sz w:val="20"/>
          <w:szCs w:val="20"/>
        </w:rPr>
        <w:t>la responsabilidad por falta es una responsabilidad por falta probada.</w:t>
      </w:r>
      <w:r w:rsidRPr="003125FD">
        <w:rPr>
          <w:rFonts w:ascii="Arial" w:hAnsi="Arial" w:cs="Arial"/>
          <w:i/>
          <w:iCs/>
          <w:sz w:val="20"/>
          <w:szCs w:val="20"/>
        </w:rPr>
        <w:t xml:space="preserve"> Según Llorens-</w:t>
      </w:r>
      <w:proofErr w:type="spellStart"/>
      <w:r w:rsidRPr="003125FD">
        <w:rPr>
          <w:rFonts w:ascii="Arial" w:hAnsi="Arial" w:cs="Arial"/>
          <w:i/>
          <w:iCs/>
          <w:sz w:val="20"/>
          <w:szCs w:val="20"/>
        </w:rPr>
        <w:t>Fraysse</w:t>
      </w:r>
      <w:proofErr w:type="spellEnd"/>
      <w:r w:rsidRPr="003125FD">
        <w:rPr>
          <w:rFonts w:ascii="Arial" w:hAnsi="Arial" w:cs="Arial"/>
          <w:i/>
          <w:iCs/>
          <w:sz w:val="20"/>
          <w:szCs w:val="20"/>
        </w:rPr>
        <w:t>, “hay responsabilidad por falta probada cuando el juez exige que la falta sea establecida con certeza (habitualmente) el juez no se contenta con indicios”.</w:t>
      </w:r>
    </w:p>
    <w:p w14:paraId="1575B137"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p>
    <w:p w14:paraId="5F1C41C0"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r w:rsidRPr="003125FD">
        <w:rPr>
          <w:rFonts w:ascii="Arial" w:hAnsi="Arial" w:cs="Arial"/>
          <w:i/>
          <w:iCs/>
          <w:sz w:val="20"/>
          <w:szCs w:val="20"/>
        </w:rPr>
        <w:t xml:space="preserve">En consecuencia, </w:t>
      </w:r>
      <w:r w:rsidRPr="003125FD">
        <w:rPr>
          <w:rFonts w:ascii="Arial" w:hAnsi="Arial" w:cs="Arial"/>
          <w:b/>
          <w:bCs/>
          <w:i/>
          <w:iCs/>
          <w:sz w:val="20"/>
          <w:szCs w:val="20"/>
          <w:u w:val="single"/>
        </w:rPr>
        <w:t>si el demandante no prueba la falla y en el caso concreto ésta no se presume</w:t>
      </w:r>
      <w:r w:rsidRPr="003125FD">
        <w:rPr>
          <w:rFonts w:ascii="Arial" w:hAnsi="Arial" w:cs="Arial"/>
          <w:b/>
          <w:bCs/>
          <w:i/>
          <w:iCs/>
          <w:sz w:val="20"/>
          <w:szCs w:val="20"/>
        </w:rPr>
        <w:t xml:space="preserve">, </w:t>
      </w:r>
      <w:proofErr w:type="spellStart"/>
      <w:r w:rsidRPr="003125FD">
        <w:rPr>
          <w:rFonts w:ascii="Arial" w:hAnsi="Arial" w:cs="Arial"/>
          <w:b/>
          <w:bCs/>
          <w:i/>
          <w:iCs/>
          <w:sz w:val="20"/>
          <w:szCs w:val="20"/>
        </w:rPr>
        <w:t>aún</w:t>
      </w:r>
      <w:proofErr w:type="spellEnd"/>
      <w:r w:rsidRPr="003125FD">
        <w:rPr>
          <w:rFonts w:ascii="Arial" w:hAnsi="Arial" w:cs="Arial"/>
          <w:b/>
          <w:bCs/>
          <w:i/>
          <w:iCs/>
          <w:sz w:val="20"/>
          <w:szCs w:val="20"/>
        </w:rPr>
        <w:t xml:space="preserve"> cuando la Administración nada haga para exonerarse, </w:t>
      </w:r>
      <w:r w:rsidRPr="003125FD">
        <w:rPr>
          <w:rFonts w:ascii="Arial" w:hAnsi="Arial" w:cs="Arial"/>
          <w:b/>
          <w:bCs/>
          <w:i/>
          <w:iCs/>
          <w:sz w:val="20"/>
          <w:szCs w:val="20"/>
          <w:u w:val="single"/>
        </w:rPr>
        <w:t>el fallo será absolutorio</w:t>
      </w:r>
      <w:r w:rsidRPr="003125FD">
        <w:rPr>
          <w:rFonts w:ascii="Arial" w:hAnsi="Arial" w:cs="Arial"/>
          <w:i/>
          <w:iCs/>
          <w:sz w:val="20"/>
          <w:szCs w:val="20"/>
          <w:u w:val="single"/>
        </w:rPr>
        <w:t>.</w:t>
      </w:r>
    </w:p>
    <w:p w14:paraId="5A135A7C"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p>
    <w:p w14:paraId="33832AED" w14:textId="77777777" w:rsidR="005364C1" w:rsidRPr="003125FD" w:rsidRDefault="005364C1" w:rsidP="003125FD">
      <w:pPr>
        <w:tabs>
          <w:tab w:val="left" w:pos="56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Ahora bien, la prueba de la falta puede descomponerse en dos elementos, a saber: primero, la prueba del hecho invocado y, segundo, </w:t>
      </w:r>
      <w:r w:rsidRPr="003125FD">
        <w:rPr>
          <w:rFonts w:ascii="Arial" w:hAnsi="Arial" w:cs="Arial"/>
          <w:b/>
          <w:bCs/>
          <w:i/>
          <w:iCs/>
          <w:sz w:val="20"/>
          <w:szCs w:val="20"/>
          <w:u w:val="single"/>
        </w:rPr>
        <w:t xml:space="preserve">la prueba de su carácter anormal, o sea, la prueba de la violación de las obligaciones administrativas. </w:t>
      </w:r>
      <w:r w:rsidRPr="003125FD">
        <w:rPr>
          <w:rFonts w:ascii="Arial" w:hAnsi="Arial" w:cs="Arial"/>
          <w:i/>
          <w:iCs/>
          <w:sz w:val="20"/>
          <w:szCs w:val="20"/>
        </w:rPr>
        <w:t>Esta segunda cuestión es en realidad una operación de calificación jurídica que el actor demanda al juez confirmar, y en la cual interviene la apreciación de éste último.”</w:t>
      </w:r>
      <w:r w:rsidRPr="003125FD">
        <w:rPr>
          <w:rStyle w:val="Refdenotaalpie"/>
          <w:rFonts w:ascii="Arial" w:hAnsi="Arial" w:cs="Arial"/>
          <w:i/>
          <w:iCs/>
          <w:sz w:val="20"/>
          <w:szCs w:val="20"/>
        </w:rPr>
        <w:footnoteReference w:id="6"/>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4A12A4CF" w14:textId="77777777" w:rsidR="005364C1" w:rsidRPr="00E55479" w:rsidRDefault="005364C1" w:rsidP="003125FD">
      <w:pPr>
        <w:tabs>
          <w:tab w:val="left" w:pos="5626"/>
        </w:tabs>
        <w:spacing w:line="360" w:lineRule="auto"/>
        <w:jc w:val="both"/>
        <w:rPr>
          <w:rFonts w:ascii="Arial" w:hAnsi="Arial" w:cs="Arial"/>
          <w:i/>
          <w:iCs/>
        </w:rPr>
      </w:pPr>
    </w:p>
    <w:p w14:paraId="48496374" w14:textId="5D5185FA" w:rsidR="005364C1" w:rsidRPr="00E55479" w:rsidRDefault="005364C1" w:rsidP="003125FD">
      <w:pPr>
        <w:tabs>
          <w:tab w:val="left" w:pos="5626"/>
        </w:tabs>
        <w:spacing w:line="360" w:lineRule="auto"/>
        <w:jc w:val="both"/>
        <w:rPr>
          <w:rFonts w:ascii="Arial" w:hAnsi="Arial" w:cs="Arial"/>
        </w:rPr>
      </w:pPr>
      <w:r w:rsidRPr="00E55479">
        <w:rPr>
          <w:rFonts w:ascii="Arial" w:hAnsi="Arial" w:cs="Arial"/>
        </w:rPr>
        <w:t xml:space="preserve">En esa medida, </w:t>
      </w:r>
      <w:r>
        <w:rPr>
          <w:rFonts w:ascii="Arial" w:hAnsi="Arial" w:cs="Arial"/>
        </w:rPr>
        <w:t xml:space="preserve">es deber de la parte actora acreditar, en primer lugar, que la entidad pública tenía a cargo unos deberes y obligaciones y, en segunda medida, que estos fueron completamente desconocidos o cumplidos total o tardíamente, sin embargo, en el presente asunto, no se ha logrado acreditar ninguno de los elementos para derivar una falla en el servicio en la entidad territorial. </w:t>
      </w:r>
    </w:p>
    <w:p w14:paraId="740BA571" w14:textId="77777777" w:rsidR="008076C0" w:rsidRDefault="008076C0" w:rsidP="003125FD">
      <w:pPr>
        <w:spacing w:line="360" w:lineRule="auto"/>
        <w:jc w:val="both"/>
        <w:rPr>
          <w:rFonts w:ascii="Arial" w:eastAsia="Arial" w:hAnsi="Arial" w:cs="Arial"/>
          <w:color w:val="000000" w:themeColor="text1"/>
        </w:rPr>
      </w:pPr>
    </w:p>
    <w:p w14:paraId="48A1731E" w14:textId="5C14B230" w:rsidR="008D3A42" w:rsidRDefault="002258F8" w:rsidP="008076C0">
      <w:pPr>
        <w:spacing w:line="360" w:lineRule="auto"/>
        <w:jc w:val="both"/>
        <w:rPr>
          <w:rFonts w:ascii="Arial" w:eastAsia="Arial" w:hAnsi="Arial" w:cs="Arial"/>
          <w:color w:val="000000" w:themeColor="text1"/>
        </w:rPr>
      </w:pPr>
      <w:r>
        <w:rPr>
          <w:rFonts w:ascii="Arial" w:eastAsia="Arial" w:hAnsi="Arial" w:cs="Arial"/>
          <w:color w:val="000000" w:themeColor="text1"/>
        </w:rPr>
        <w:t>Ello</w:t>
      </w:r>
      <w:r w:rsidR="00B851F2">
        <w:rPr>
          <w:rFonts w:ascii="Arial" w:eastAsia="Arial" w:hAnsi="Arial" w:cs="Arial"/>
          <w:color w:val="000000" w:themeColor="text1"/>
        </w:rPr>
        <w:t xml:space="preserve"> se </w:t>
      </w:r>
      <w:r w:rsidR="001C0F4D">
        <w:rPr>
          <w:rFonts w:ascii="Arial" w:eastAsia="Arial" w:hAnsi="Arial" w:cs="Arial"/>
          <w:color w:val="000000" w:themeColor="text1"/>
        </w:rPr>
        <w:t>concluye</w:t>
      </w:r>
      <w:r w:rsidR="00B851F2">
        <w:rPr>
          <w:rFonts w:ascii="Arial" w:eastAsia="Arial" w:hAnsi="Arial" w:cs="Arial"/>
          <w:color w:val="000000" w:themeColor="text1"/>
        </w:rPr>
        <w:t xml:space="preserve"> porque en el escrito de la demanda el accionante no acompaña elementos probatorios que puedan dar fe de la presunta omisión, contrario a ello sustenta sus afirmaciones </w:t>
      </w:r>
      <w:r w:rsidR="00746CA2">
        <w:rPr>
          <w:rFonts w:ascii="Arial" w:eastAsia="Arial" w:hAnsi="Arial" w:cs="Arial"/>
          <w:color w:val="000000" w:themeColor="text1"/>
        </w:rPr>
        <w:t xml:space="preserve">en la descripción </w:t>
      </w:r>
      <w:r w:rsidR="00D45D06">
        <w:rPr>
          <w:rFonts w:ascii="Arial" w:eastAsia="Arial" w:hAnsi="Arial" w:cs="Arial"/>
          <w:color w:val="000000" w:themeColor="text1"/>
        </w:rPr>
        <w:t xml:space="preserve">realizada en el </w:t>
      </w:r>
      <w:r w:rsidR="00D45D06" w:rsidRPr="005C32A6">
        <w:rPr>
          <w:rFonts w:ascii="Arial" w:eastAsia="Arial" w:hAnsi="Arial" w:cs="Arial"/>
          <w:color w:val="000000" w:themeColor="text1"/>
        </w:rPr>
        <w:t xml:space="preserve">Informe Policial de Accidente de Tránsito No. </w:t>
      </w:r>
      <w:r w:rsidR="00D45D06" w:rsidRPr="003522C9">
        <w:rPr>
          <w:rFonts w:ascii="Arial" w:eastAsia="Arial" w:hAnsi="Arial" w:cs="Arial"/>
          <w:color w:val="000000" w:themeColor="text1"/>
        </w:rPr>
        <w:t>0001111290</w:t>
      </w:r>
      <w:r w:rsidR="00D45D06">
        <w:rPr>
          <w:rFonts w:ascii="Arial" w:eastAsia="Arial" w:hAnsi="Arial" w:cs="Arial"/>
          <w:color w:val="000000" w:themeColor="text1"/>
        </w:rPr>
        <w:t xml:space="preserve">, en donde a la hipótesis relacionada con </w:t>
      </w:r>
      <w:r w:rsidR="006A58DA">
        <w:rPr>
          <w:rFonts w:ascii="Arial" w:eastAsia="Arial" w:hAnsi="Arial" w:cs="Arial"/>
          <w:color w:val="000000" w:themeColor="text1"/>
        </w:rPr>
        <w:t xml:space="preserve">que el peatón atravesó la avenida estando el semáforo en rojo, se suma una manifestación acerca de que </w:t>
      </w:r>
      <w:r w:rsidR="005C0FAE">
        <w:rPr>
          <w:rFonts w:ascii="Arial" w:eastAsia="Arial" w:hAnsi="Arial" w:cs="Arial"/>
          <w:color w:val="000000" w:themeColor="text1"/>
        </w:rPr>
        <w:t>el semáforo sobre la avenida se encontraba</w:t>
      </w:r>
      <w:r w:rsidR="005364C1">
        <w:rPr>
          <w:rFonts w:ascii="Arial" w:eastAsia="Arial" w:hAnsi="Arial" w:cs="Arial"/>
          <w:color w:val="000000" w:themeColor="text1"/>
        </w:rPr>
        <w:t>:</w:t>
      </w:r>
      <w:r w:rsidR="005C0FAE">
        <w:rPr>
          <w:rFonts w:ascii="Arial" w:eastAsia="Arial" w:hAnsi="Arial" w:cs="Arial"/>
          <w:color w:val="000000" w:themeColor="text1"/>
        </w:rPr>
        <w:t xml:space="preserve"> “pegado en verde”</w:t>
      </w:r>
      <w:r w:rsidR="00EB5E3A">
        <w:rPr>
          <w:rFonts w:ascii="Arial" w:eastAsia="Arial" w:hAnsi="Arial" w:cs="Arial"/>
          <w:color w:val="000000" w:themeColor="text1"/>
        </w:rPr>
        <w:t xml:space="preserve">, sin embargo, dicha concepción no puede tener </w:t>
      </w:r>
      <w:r w:rsidR="00C1199C">
        <w:rPr>
          <w:rFonts w:ascii="Arial" w:eastAsia="Arial" w:hAnsi="Arial" w:cs="Arial"/>
          <w:color w:val="000000" w:themeColor="text1"/>
        </w:rPr>
        <w:t xml:space="preserve">la entidad suficiente para determinar la causa </w:t>
      </w:r>
      <w:r w:rsidR="00C1199C">
        <w:rPr>
          <w:rFonts w:ascii="Arial" w:eastAsia="Arial" w:hAnsi="Arial" w:cs="Arial"/>
          <w:color w:val="000000" w:themeColor="text1"/>
        </w:rPr>
        <w:lastRenderedPageBreak/>
        <w:t xml:space="preserve">efectiva del siniestro, toda vez que lo único que indica esa situación, es que el señor David Caicedo procedió a continuar </w:t>
      </w:r>
      <w:r w:rsidR="008C7D0A">
        <w:rPr>
          <w:rFonts w:ascii="Arial" w:eastAsia="Arial" w:hAnsi="Arial" w:cs="Arial"/>
          <w:color w:val="000000" w:themeColor="text1"/>
        </w:rPr>
        <w:t xml:space="preserve">circulando </w:t>
      </w:r>
      <w:r w:rsidR="00C1199C">
        <w:rPr>
          <w:rFonts w:ascii="Arial" w:eastAsia="Arial" w:hAnsi="Arial" w:cs="Arial"/>
          <w:color w:val="000000" w:themeColor="text1"/>
        </w:rPr>
        <w:t xml:space="preserve">por la avenida </w:t>
      </w:r>
      <w:r w:rsidR="008C7D0A">
        <w:rPr>
          <w:rFonts w:ascii="Arial" w:eastAsia="Arial" w:hAnsi="Arial" w:cs="Arial"/>
          <w:color w:val="000000" w:themeColor="text1"/>
        </w:rPr>
        <w:t>en atención del</w:t>
      </w:r>
      <w:r w:rsidR="00C1199C">
        <w:rPr>
          <w:rFonts w:ascii="Arial" w:eastAsia="Arial" w:hAnsi="Arial" w:cs="Arial"/>
          <w:color w:val="000000" w:themeColor="text1"/>
        </w:rPr>
        <w:t xml:space="preserve"> permiso que le otorgaba la luz en verde</w:t>
      </w:r>
      <w:r w:rsidR="005364C1">
        <w:rPr>
          <w:rFonts w:ascii="Arial" w:eastAsia="Arial" w:hAnsi="Arial" w:cs="Arial"/>
          <w:color w:val="000000" w:themeColor="text1"/>
        </w:rPr>
        <w:t xml:space="preserve">. De tal manera, </w:t>
      </w:r>
      <w:r w:rsidR="00C1199C">
        <w:rPr>
          <w:rFonts w:ascii="Arial" w:eastAsia="Arial" w:hAnsi="Arial" w:cs="Arial"/>
          <w:color w:val="000000" w:themeColor="text1"/>
        </w:rPr>
        <w:t xml:space="preserve">sin importar si el semáforo efectivamente estaba o no </w:t>
      </w:r>
      <w:r w:rsidR="005364C1">
        <w:rPr>
          <w:rFonts w:ascii="Arial" w:eastAsia="Arial" w:hAnsi="Arial" w:cs="Arial"/>
          <w:color w:val="000000" w:themeColor="text1"/>
        </w:rPr>
        <w:t>“</w:t>
      </w:r>
      <w:r w:rsidR="00C1199C">
        <w:rPr>
          <w:rFonts w:ascii="Arial" w:eastAsia="Arial" w:hAnsi="Arial" w:cs="Arial"/>
          <w:i/>
          <w:iCs/>
          <w:color w:val="000000" w:themeColor="text1"/>
        </w:rPr>
        <w:t>pegado</w:t>
      </w:r>
      <w:r w:rsidR="005364C1">
        <w:rPr>
          <w:rFonts w:ascii="Arial" w:eastAsia="Arial" w:hAnsi="Arial" w:cs="Arial"/>
          <w:i/>
          <w:iCs/>
          <w:color w:val="000000" w:themeColor="text1"/>
        </w:rPr>
        <w:t>”</w:t>
      </w:r>
      <w:r w:rsidR="00C1199C">
        <w:rPr>
          <w:rFonts w:ascii="Arial" w:eastAsia="Arial" w:hAnsi="Arial" w:cs="Arial"/>
          <w:i/>
          <w:iCs/>
          <w:color w:val="000000" w:themeColor="text1"/>
        </w:rPr>
        <w:t xml:space="preserve"> </w:t>
      </w:r>
      <w:r w:rsidR="00C1199C">
        <w:rPr>
          <w:rFonts w:ascii="Arial" w:eastAsia="Arial" w:hAnsi="Arial" w:cs="Arial"/>
          <w:color w:val="000000" w:themeColor="text1"/>
        </w:rPr>
        <w:t xml:space="preserve">en verde (situación que </w:t>
      </w:r>
      <w:r w:rsidR="00CB7135">
        <w:rPr>
          <w:rFonts w:ascii="Arial" w:eastAsia="Arial" w:hAnsi="Arial" w:cs="Arial"/>
          <w:color w:val="000000" w:themeColor="text1"/>
        </w:rPr>
        <w:t xml:space="preserve">no </w:t>
      </w:r>
      <w:r w:rsidR="00C1199C">
        <w:rPr>
          <w:rFonts w:ascii="Arial" w:eastAsia="Arial" w:hAnsi="Arial" w:cs="Arial"/>
          <w:color w:val="000000" w:themeColor="text1"/>
        </w:rPr>
        <w:t>está probada), el señor Caicedo hubiese transitado por la vía en tanto la señal le permitiera, es decir</w:t>
      </w:r>
      <w:r w:rsidR="000854FF">
        <w:rPr>
          <w:rFonts w:ascii="Arial" w:eastAsia="Arial" w:hAnsi="Arial" w:cs="Arial"/>
          <w:color w:val="000000" w:themeColor="text1"/>
        </w:rPr>
        <w:t>,</w:t>
      </w:r>
      <w:r w:rsidR="00C1199C">
        <w:rPr>
          <w:rFonts w:ascii="Arial" w:eastAsia="Arial" w:hAnsi="Arial" w:cs="Arial"/>
          <w:color w:val="000000" w:themeColor="text1"/>
        </w:rPr>
        <w:t xml:space="preserve"> mientras estuviese en verde, por lo que la acción normal y esperada </w:t>
      </w:r>
      <w:r w:rsidR="000854FF">
        <w:rPr>
          <w:rFonts w:ascii="Arial" w:eastAsia="Arial" w:hAnsi="Arial" w:cs="Arial"/>
          <w:color w:val="000000" w:themeColor="text1"/>
        </w:rPr>
        <w:t xml:space="preserve">de un conductor, </w:t>
      </w:r>
      <w:r w:rsidR="00C1199C">
        <w:rPr>
          <w:rFonts w:ascii="Arial" w:eastAsia="Arial" w:hAnsi="Arial" w:cs="Arial"/>
          <w:color w:val="000000" w:themeColor="text1"/>
        </w:rPr>
        <w:t>era continuar por la avenida</w:t>
      </w:r>
      <w:r w:rsidR="00CB7135">
        <w:rPr>
          <w:rFonts w:ascii="Arial" w:eastAsia="Arial" w:hAnsi="Arial" w:cs="Arial"/>
          <w:color w:val="000000" w:themeColor="text1"/>
        </w:rPr>
        <w:t>.</w:t>
      </w:r>
      <w:r w:rsidR="00C1199C">
        <w:rPr>
          <w:rFonts w:ascii="Arial" w:eastAsia="Arial" w:hAnsi="Arial" w:cs="Arial"/>
          <w:color w:val="000000" w:themeColor="text1"/>
        </w:rPr>
        <w:t xml:space="preserve"> </w:t>
      </w:r>
      <w:r w:rsidR="00CB7135">
        <w:rPr>
          <w:rFonts w:ascii="Arial" w:eastAsia="Arial" w:hAnsi="Arial" w:cs="Arial"/>
          <w:color w:val="000000" w:themeColor="text1"/>
        </w:rPr>
        <w:t>P</w:t>
      </w:r>
      <w:r w:rsidR="00C1199C">
        <w:rPr>
          <w:rFonts w:ascii="Arial" w:eastAsia="Arial" w:hAnsi="Arial" w:cs="Arial"/>
          <w:color w:val="000000" w:themeColor="text1"/>
        </w:rPr>
        <w:t xml:space="preserve">or el contrario, la acción del señor Gustavo Rodríguez </w:t>
      </w:r>
      <w:r w:rsidR="007006AF">
        <w:rPr>
          <w:rFonts w:ascii="Arial" w:eastAsia="Arial" w:hAnsi="Arial" w:cs="Arial"/>
          <w:color w:val="000000" w:themeColor="text1"/>
        </w:rPr>
        <w:t xml:space="preserve">es </w:t>
      </w:r>
      <w:r w:rsidR="005364C1">
        <w:rPr>
          <w:rFonts w:ascii="Arial" w:eastAsia="Arial" w:hAnsi="Arial" w:cs="Arial"/>
          <w:color w:val="000000" w:themeColor="text1"/>
        </w:rPr>
        <w:t xml:space="preserve">la </w:t>
      </w:r>
      <w:r w:rsidR="007006AF">
        <w:rPr>
          <w:rFonts w:ascii="Arial" w:eastAsia="Arial" w:hAnsi="Arial" w:cs="Arial"/>
          <w:color w:val="000000" w:themeColor="text1"/>
        </w:rPr>
        <w:t>que resulta como in</w:t>
      </w:r>
      <w:r w:rsidR="00C1199C">
        <w:rPr>
          <w:rFonts w:ascii="Arial" w:eastAsia="Arial" w:hAnsi="Arial" w:cs="Arial"/>
          <w:color w:val="000000" w:themeColor="text1"/>
        </w:rPr>
        <w:t>esperada</w:t>
      </w:r>
      <w:r w:rsidR="007006AF">
        <w:rPr>
          <w:rFonts w:ascii="Arial" w:eastAsia="Arial" w:hAnsi="Arial" w:cs="Arial"/>
          <w:color w:val="000000" w:themeColor="text1"/>
        </w:rPr>
        <w:t xml:space="preserve">, incorrecta </w:t>
      </w:r>
      <w:r w:rsidR="000854FF">
        <w:rPr>
          <w:rFonts w:ascii="Arial" w:eastAsia="Arial" w:hAnsi="Arial" w:cs="Arial"/>
          <w:color w:val="000000" w:themeColor="text1"/>
        </w:rPr>
        <w:t>e</w:t>
      </w:r>
      <w:r w:rsidR="007006AF">
        <w:rPr>
          <w:rFonts w:ascii="Arial" w:eastAsia="Arial" w:hAnsi="Arial" w:cs="Arial"/>
          <w:color w:val="000000" w:themeColor="text1"/>
        </w:rPr>
        <w:t xml:space="preserve"> im</w:t>
      </w:r>
      <w:r w:rsidR="00C1199C">
        <w:rPr>
          <w:rFonts w:ascii="Arial" w:eastAsia="Arial" w:hAnsi="Arial" w:cs="Arial"/>
          <w:color w:val="000000" w:themeColor="text1"/>
        </w:rPr>
        <w:t xml:space="preserve">previsible, pues atravesar una avenida </w:t>
      </w:r>
      <w:r w:rsidR="00562AD2">
        <w:rPr>
          <w:rFonts w:ascii="Arial" w:eastAsia="Arial" w:hAnsi="Arial" w:cs="Arial"/>
          <w:color w:val="000000" w:themeColor="text1"/>
        </w:rPr>
        <w:t>ante</w:t>
      </w:r>
      <w:r w:rsidR="00C1199C">
        <w:rPr>
          <w:rFonts w:ascii="Arial" w:eastAsia="Arial" w:hAnsi="Arial" w:cs="Arial"/>
          <w:color w:val="000000" w:themeColor="text1"/>
        </w:rPr>
        <w:t xml:space="preserve"> semáforo en rojo, </w:t>
      </w:r>
      <w:r w:rsidR="0004676F">
        <w:rPr>
          <w:rFonts w:ascii="Arial" w:eastAsia="Arial" w:hAnsi="Arial" w:cs="Arial"/>
          <w:color w:val="000000" w:themeColor="text1"/>
        </w:rPr>
        <w:t>es un</w:t>
      </w:r>
      <w:r w:rsidR="00CB7135">
        <w:rPr>
          <w:rFonts w:ascii="Arial" w:eastAsia="Arial" w:hAnsi="Arial" w:cs="Arial"/>
          <w:color w:val="000000" w:themeColor="text1"/>
        </w:rPr>
        <w:t>a</w:t>
      </w:r>
      <w:r w:rsidR="0004676F">
        <w:rPr>
          <w:rFonts w:ascii="Arial" w:eastAsia="Arial" w:hAnsi="Arial" w:cs="Arial"/>
          <w:color w:val="000000" w:themeColor="text1"/>
        </w:rPr>
        <w:t xml:space="preserve"> clara imprudencia</w:t>
      </w:r>
      <w:r w:rsidR="00562AD2">
        <w:rPr>
          <w:rFonts w:ascii="Arial" w:eastAsia="Arial" w:hAnsi="Arial" w:cs="Arial"/>
          <w:color w:val="000000" w:themeColor="text1"/>
        </w:rPr>
        <w:t xml:space="preserve"> e incumplimiento de las normas de tránsito</w:t>
      </w:r>
      <w:r w:rsidR="0004676F">
        <w:rPr>
          <w:rFonts w:ascii="Arial" w:eastAsia="Arial" w:hAnsi="Arial" w:cs="Arial"/>
          <w:color w:val="000000" w:themeColor="text1"/>
        </w:rPr>
        <w:t xml:space="preserve">, pues </w:t>
      </w:r>
      <w:r w:rsidR="00562AD2">
        <w:rPr>
          <w:rFonts w:ascii="Arial" w:eastAsia="Arial" w:hAnsi="Arial" w:cs="Arial"/>
          <w:color w:val="000000" w:themeColor="text1"/>
        </w:rPr>
        <w:t xml:space="preserve">para el </w:t>
      </w:r>
      <w:r w:rsidR="00C1199C">
        <w:rPr>
          <w:rFonts w:ascii="Arial" w:eastAsia="Arial" w:hAnsi="Arial" w:cs="Arial"/>
          <w:color w:val="000000" w:themeColor="text1"/>
        </w:rPr>
        <w:t xml:space="preserve">observador </w:t>
      </w:r>
      <w:r w:rsidR="00562AD2">
        <w:rPr>
          <w:rFonts w:ascii="Arial" w:eastAsia="Arial" w:hAnsi="Arial" w:cs="Arial"/>
          <w:color w:val="000000" w:themeColor="text1"/>
        </w:rPr>
        <w:t>es claro que</w:t>
      </w:r>
      <w:r w:rsidR="00C1199C">
        <w:rPr>
          <w:rFonts w:ascii="Arial" w:eastAsia="Arial" w:hAnsi="Arial" w:cs="Arial"/>
          <w:color w:val="000000" w:themeColor="text1"/>
        </w:rPr>
        <w:t xml:space="preserve"> </w:t>
      </w:r>
      <w:r w:rsidR="0004676F">
        <w:rPr>
          <w:rFonts w:ascii="Arial" w:eastAsia="Arial" w:hAnsi="Arial" w:cs="Arial"/>
          <w:color w:val="000000" w:themeColor="text1"/>
        </w:rPr>
        <w:t xml:space="preserve">se trata de </w:t>
      </w:r>
      <w:r w:rsidR="00C1199C">
        <w:rPr>
          <w:rFonts w:ascii="Arial" w:eastAsia="Arial" w:hAnsi="Arial" w:cs="Arial"/>
          <w:color w:val="000000" w:themeColor="text1"/>
        </w:rPr>
        <w:t>una señal de prohibición</w:t>
      </w:r>
      <w:r w:rsidR="00B851F2">
        <w:rPr>
          <w:rFonts w:ascii="Arial" w:eastAsia="Arial" w:hAnsi="Arial" w:cs="Arial"/>
          <w:color w:val="000000" w:themeColor="text1"/>
        </w:rPr>
        <w:t>.</w:t>
      </w:r>
    </w:p>
    <w:p w14:paraId="58C5B072" w14:textId="77777777" w:rsidR="008D3A42" w:rsidRDefault="008D3A42" w:rsidP="008D3A42">
      <w:pPr>
        <w:spacing w:line="360" w:lineRule="auto"/>
        <w:jc w:val="both"/>
        <w:rPr>
          <w:rFonts w:ascii="Arial" w:eastAsia="Arial" w:hAnsi="Arial" w:cs="Arial"/>
          <w:color w:val="000000" w:themeColor="text1"/>
        </w:rPr>
      </w:pPr>
    </w:p>
    <w:p w14:paraId="7C0EAC1C" w14:textId="77777777" w:rsidR="00094F30" w:rsidRDefault="008D3A42"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De lo anterior se extrae que l</w:t>
      </w:r>
      <w:r w:rsidRPr="004551BE">
        <w:rPr>
          <w:rFonts w:ascii="Arial" w:eastAsia="Arial" w:hAnsi="Arial" w:cs="Arial"/>
          <w:color w:val="000000" w:themeColor="text1"/>
        </w:rPr>
        <w:t xml:space="preserve">a parte demandante no ha logrado demostrar que la causa eficiente del hecho generador del daño fue la </w:t>
      </w:r>
      <w:r>
        <w:rPr>
          <w:rFonts w:ascii="Arial" w:eastAsia="Arial" w:hAnsi="Arial" w:cs="Arial"/>
          <w:color w:val="000000" w:themeColor="text1"/>
        </w:rPr>
        <w:t>presunta inoperatividad del semáforo</w:t>
      </w:r>
      <w:r w:rsidRPr="004551BE">
        <w:rPr>
          <w:rFonts w:ascii="Arial" w:eastAsia="Arial" w:hAnsi="Arial" w:cs="Arial"/>
          <w:color w:val="000000" w:themeColor="text1"/>
        </w:rPr>
        <w:t>, originad</w:t>
      </w:r>
      <w:r>
        <w:rPr>
          <w:rFonts w:ascii="Arial" w:eastAsia="Arial" w:hAnsi="Arial" w:cs="Arial"/>
          <w:color w:val="000000" w:themeColor="text1"/>
        </w:rPr>
        <w:t>a a su vez</w:t>
      </w:r>
      <w:r w:rsidRPr="004551BE">
        <w:rPr>
          <w:rFonts w:ascii="Arial" w:eastAsia="Arial" w:hAnsi="Arial" w:cs="Arial"/>
          <w:color w:val="000000" w:themeColor="text1"/>
        </w:rPr>
        <w:t xml:space="preserve"> por la omisión en el mantenimiento y reparación por parte del Distrito de Santiago de Cali, en razón a que, la única prueba que adjunta para su demostración es el </w:t>
      </w:r>
      <w:r w:rsidRPr="005C32A6">
        <w:rPr>
          <w:rFonts w:ascii="Arial" w:eastAsia="Arial" w:hAnsi="Arial" w:cs="Arial"/>
          <w:color w:val="000000" w:themeColor="text1"/>
        </w:rPr>
        <w:t xml:space="preserve">Informe Policial de Accidente de Tránsito No. </w:t>
      </w:r>
      <w:r w:rsidRPr="003522C9">
        <w:rPr>
          <w:rFonts w:ascii="Arial" w:eastAsia="Arial" w:hAnsi="Arial" w:cs="Arial"/>
          <w:color w:val="000000" w:themeColor="text1"/>
        </w:rPr>
        <w:t>0001111290</w:t>
      </w:r>
      <w:r w:rsidRPr="004551BE">
        <w:rPr>
          <w:rFonts w:ascii="Arial" w:eastAsia="Arial" w:hAnsi="Arial" w:cs="Arial"/>
          <w:color w:val="000000" w:themeColor="text1"/>
        </w:rPr>
        <w:t xml:space="preserve">, suscrito por la autoridad de tránsito </w:t>
      </w:r>
      <w:proofErr w:type="spellStart"/>
      <w:r w:rsidR="00EF30FF" w:rsidRPr="00EF30FF">
        <w:rPr>
          <w:rFonts w:ascii="Arial" w:eastAsia="Arial" w:hAnsi="Arial" w:cs="Arial"/>
          <w:color w:val="000000" w:themeColor="text1"/>
        </w:rPr>
        <w:t>Welmar</w:t>
      </w:r>
      <w:proofErr w:type="spellEnd"/>
      <w:r w:rsidR="00EF30FF" w:rsidRPr="00EF30FF">
        <w:rPr>
          <w:rFonts w:ascii="Arial" w:eastAsia="Arial" w:hAnsi="Arial" w:cs="Arial"/>
          <w:color w:val="000000" w:themeColor="text1"/>
        </w:rPr>
        <w:t xml:space="preserve"> Ortiz</w:t>
      </w:r>
      <w:r w:rsidRPr="004551BE">
        <w:rPr>
          <w:rFonts w:ascii="Arial" w:eastAsia="Arial" w:hAnsi="Arial" w:cs="Arial"/>
          <w:color w:val="000000" w:themeColor="text1"/>
        </w:rPr>
        <w:t>, quien no fue testigo de los hechos objeto de controversia, sino que llegó al lugar del accidente 1</w:t>
      </w:r>
      <w:r w:rsidR="005364C1">
        <w:rPr>
          <w:rFonts w:ascii="Arial" w:eastAsia="Arial" w:hAnsi="Arial" w:cs="Arial"/>
          <w:color w:val="000000" w:themeColor="text1"/>
        </w:rPr>
        <w:t>0</w:t>
      </w:r>
      <w:r w:rsidRPr="004551BE">
        <w:rPr>
          <w:rFonts w:ascii="Arial" w:eastAsia="Arial" w:hAnsi="Arial" w:cs="Arial"/>
          <w:color w:val="000000" w:themeColor="text1"/>
        </w:rPr>
        <w:t xml:space="preserve"> minutos después del suceso, por lo que, su informe no puede valorarse como plena prueba de la causa eficiente del hecho, ya que no estuvo en el momento </w:t>
      </w:r>
      <w:r w:rsidR="00EF30FF">
        <w:rPr>
          <w:rFonts w:ascii="Arial" w:eastAsia="Arial" w:hAnsi="Arial" w:cs="Arial"/>
          <w:color w:val="000000" w:themeColor="text1"/>
        </w:rPr>
        <w:t xml:space="preserve">en que colisionaron el señor David Caicedo en conducción de su motocicleta y el señor Gustavo Rodríguez </w:t>
      </w:r>
      <w:r w:rsidR="00287A41">
        <w:rPr>
          <w:rFonts w:ascii="Arial" w:eastAsia="Arial" w:hAnsi="Arial" w:cs="Arial"/>
          <w:color w:val="000000" w:themeColor="text1"/>
        </w:rPr>
        <w:t xml:space="preserve">como </w:t>
      </w:r>
      <w:r w:rsidR="00094F30">
        <w:rPr>
          <w:rFonts w:ascii="Arial" w:eastAsia="Arial" w:hAnsi="Arial" w:cs="Arial"/>
          <w:color w:val="000000" w:themeColor="text1"/>
        </w:rPr>
        <w:t>transeúnte</w:t>
      </w:r>
      <w:r w:rsidRPr="004551BE">
        <w:rPr>
          <w:rFonts w:ascii="Arial" w:eastAsia="Arial" w:hAnsi="Arial" w:cs="Arial"/>
          <w:color w:val="000000" w:themeColor="text1"/>
        </w:rPr>
        <w:t>.</w:t>
      </w:r>
    </w:p>
    <w:p w14:paraId="11B36667" w14:textId="1F71AA4E" w:rsidR="005364C1" w:rsidRPr="004551BE" w:rsidRDefault="00094F30"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consecuencia, es claro que </w:t>
      </w:r>
      <w:r w:rsidRPr="00094F30">
        <w:rPr>
          <w:rFonts w:ascii="Arial" w:eastAsia="Arial" w:hAnsi="Arial" w:cs="Arial"/>
          <w:color w:val="000000" w:themeColor="text1"/>
        </w:rPr>
        <w:t>no se ha logrado acreditar: i) desde cu</w:t>
      </w:r>
      <w:r>
        <w:rPr>
          <w:rFonts w:ascii="Arial" w:eastAsia="Arial" w:hAnsi="Arial" w:cs="Arial"/>
          <w:color w:val="000000" w:themeColor="text1"/>
        </w:rPr>
        <w:t>án</w:t>
      </w:r>
      <w:r w:rsidRPr="00094F30">
        <w:rPr>
          <w:rFonts w:ascii="Arial" w:eastAsia="Arial" w:hAnsi="Arial" w:cs="Arial"/>
          <w:color w:val="000000" w:themeColor="text1"/>
        </w:rPr>
        <w:t>do el semáforo estaba dañado, como lo indican los dem</w:t>
      </w:r>
      <w:r>
        <w:rPr>
          <w:rFonts w:ascii="Arial" w:eastAsia="Arial" w:hAnsi="Arial" w:cs="Arial"/>
          <w:color w:val="000000" w:themeColor="text1"/>
        </w:rPr>
        <w:t>a</w:t>
      </w:r>
      <w:r w:rsidRPr="00094F30">
        <w:rPr>
          <w:rFonts w:ascii="Arial" w:eastAsia="Arial" w:hAnsi="Arial" w:cs="Arial"/>
          <w:color w:val="000000" w:themeColor="text1"/>
        </w:rPr>
        <w:t xml:space="preserve">ndantes y </w:t>
      </w:r>
      <w:proofErr w:type="spellStart"/>
      <w:r w:rsidRPr="00094F30">
        <w:rPr>
          <w:rFonts w:ascii="Arial" w:eastAsia="Arial" w:hAnsi="Arial" w:cs="Arial"/>
          <w:color w:val="000000" w:themeColor="text1"/>
        </w:rPr>
        <w:t>ii</w:t>
      </w:r>
      <w:proofErr w:type="spellEnd"/>
      <w:r w:rsidRPr="00094F30">
        <w:rPr>
          <w:rFonts w:ascii="Arial" w:eastAsia="Arial" w:hAnsi="Arial" w:cs="Arial"/>
          <w:color w:val="000000" w:themeColor="text1"/>
        </w:rPr>
        <w:t>), si de ello se puso en conocimiento a las autoridades. Todo ello, con fundamento en la relatividad de la falla en el servicio</w:t>
      </w:r>
      <w:r>
        <w:rPr>
          <w:rFonts w:ascii="Arial" w:eastAsia="Arial" w:hAnsi="Arial" w:cs="Arial"/>
          <w:color w:val="000000" w:themeColor="text1"/>
        </w:rPr>
        <w:t xml:space="preserve">, </w:t>
      </w:r>
      <w:proofErr w:type="spellStart"/>
      <w:r>
        <w:rPr>
          <w:rFonts w:ascii="Arial" w:eastAsia="Arial" w:hAnsi="Arial" w:cs="Arial"/>
          <w:color w:val="000000" w:themeColor="text1"/>
        </w:rPr>
        <w:t>peus</w:t>
      </w:r>
      <w:proofErr w:type="spellEnd"/>
      <w:r w:rsidRPr="00094F30">
        <w:rPr>
          <w:rFonts w:ascii="Arial" w:eastAsia="Arial" w:hAnsi="Arial" w:cs="Arial"/>
          <w:color w:val="000000" w:themeColor="text1"/>
        </w:rPr>
        <w:t xml:space="preserve"> las entidades no están obligadas a lo imposible y, por tanto, no tienen la obligación de velar por </w:t>
      </w:r>
      <w:r>
        <w:rPr>
          <w:rFonts w:ascii="Arial" w:eastAsia="Arial" w:hAnsi="Arial" w:cs="Arial"/>
          <w:color w:val="000000" w:themeColor="text1"/>
        </w:rPr>
        <w:t xml:space="preserve">el correcto funcionamiento de </w:t>
      </w:r>
      <w:r w:rsidRPr="00094F30">
        <w:rPr>
          <w:rFonts w:ascii="Arial" w:eastAsia="Arial" w:hAnsi="Arial" w:cs="Arial"/>
          <w:color w:val="000000" w:themeColor="text1"/>
        </w:rPr>
        <w:t>absolutamente todo</w:t>
      </w:r>
      <w:r>
        <w:rPr>
          <w:rFonts w:ascii="Arial" w:eastAsia="Arial" w:hAnsi="Arial" w:cs="Arial"/>
          <w:color w:val="000000" w:themeColor="text1"/>
        </w:rPr>
        <w:t xml:space="preserve"> sin que importe el contexto</w:t>
      </w:r>
      <w:r w:rsidRPr="00094F30">
        <w:rPr>
          <w:rFonts w:ascii="Arial" w:eastAsia="Arial" w:hAnsi="Arial" w:cs="Arial"/>
          <w:color w:val="000000" w:themeColor="text1"/>
        </w:rPr>
        <w:t xml:space="preserve">. En este caso, si no se informó a las autoridades de la falla en el semáforo, y ni siquiera se </w:t>
      </w:r>
      <w:r>
        <w:rPr>
          <w:rFonts w:ascii="Arial" w:eastAsia="Arial" w:hAnsi="Arial" w:cs="Arial"/>
          <w:color w:val="000000" w:themeColor="text1"/>
        </w:rPr>
        <w:t>tiene conocimiento sobre</w:t>
      </w:r>
      <w:r w:rsidRPr="00094F30">
        <w:rPr>
          <w:rFonts w:ascii="Arial" w:eastAsia="Arial" w:hAnsi="Arial" w:cs="Arial"/>
          <w:color w:val="000000" w:themeColor="text1"/>
        </w:rPr>
        <w:t xml:space="preserve"> cuánto tiempo </w:t>
      </w:r>
      <w:r>
        <w:rPr>
          <w:rFonts w:ascii="Arial" w:eastAsia="Arial" w:hAnsi="Arial" w:cs="Arial"/>
          <w:color w:val="000000" w:themeColor="text1"/>
        </w:rPr>
        <w:t>la situación del semáforo se estaba presentando</w:t>
      </w:r>
      <w:r w:rsidRPr="00094F30">
        <w:rPr>
          <w:rFonts w:ascii="Arial" w:eastAsia="Arial" w:hAnsi="Arial" w:cs="Arial"/>
          <w:color w:val="000000" w:themeColor="text1"/>
        </w:rPr>
        <w:t xml:space="preserve">, es imposible atribuir una conducta negligente del ente territorial. </w:t>
      </w:r>
      <w:r w:rsidR="008D3A42" w:rsidRPr="004551BE">
        <w:rPr>
          <w:rFonts w:ascii="Arial" w:eastAsia="Arial" w:hAnsi="Arial" w:cs="Arial"/>
          <w:color w:val="000000" w:themeColor="text1"/>
        </w:rPr>
        <w:t xml:space="preserve"> </w:t>
      </w:r>
    </w:p>
    <w:p w14:paraId="55D7C0F9" w14:textId="053B34A6" w:rsidR="008D3A42" w:rsidRDefault="00094F30" w:rsidP="003125FD">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ese sentido ha dicho el H. Consejo de Estado en sentencia de </w:t>
      </w:r>
      <w:r w:rsidRPr="00094F30">
        <w:rPr>
          <w:rFonts w:ascii="Arial" w:eastAsia="Arial" w:hAnsi="Arial" w:cs="Arial"/>
          <w:color w:val="000000" w:themeColor="text1"/>
        </w:rPr>
        <w:t>Radicación número: 25000-23-26-000-1996-03282-01(20042)</w:t>
      </w:r>
      <w:r>
        <w:rPr>
          <w:rFonts w:ascii="Arial" w:eastAsia="Arial" w:hAnsi="Arial" w:cs="Arial"/>
          <w:color w:val="000000" w:themeColor="text1"/>
        </w:rPr>
        <w:t>, del 7 de marzo de 2012, que:</w:t>
      </w:r>
    </w:p>
    <w:p w14:paraId="2817B5C0" w14:textId="7559C0D9" w:rsidR="00094F30" w:rsidRPr="002258F8" w:rsidRDefault="00094F30" w:rsidP="00094F30">
      <w:pPr>
        <w:spacing w:after="160" w:line="360" w:lineRule="auto"/>
        <w:ind w:left="708"/>
        <w:jc w:val="both"/>
        <w:rPr>
          <w:rFonts w:ascii="Arial" w:eastAsia="Arial" w:hAnsi="Arial" w:cs="Arial"/>
          <w:color w:val="000000" w:themeColor="text1"/>
          <w:sz w:val="20"/>
          <w:szCs w:val="20"/>
        </w:rPr>
      </w:pPr>
      <w:r w:rsidRPr="002258F8">
        <w:rPr>
          <w:rFonts w:ascii="Arial" w:eastAsia="Arial" w:hAnsi="Arial" w:cs="Arial"/>
          <w:b/>
          <w:bCs/>
          <w:i/>
          <w:iCs/>
          <w:color w:val="000000" w:themeColor="text1"/>
          <w:sz w:val="20"/>
          <w:szCs w:val="20"/>
          <w:u w:val="single"/>
        </w:rPr>
        <w:t>No es el Estado un asegurador general, obligado a reparar todo daño, en toda circunstancia</w:t>
      </w:r>
      <w:r w:rsidRPr="00094F30">
        <w:rPr>
          <w:rFonts w:ascii="Arial" w:eastAsia="Arial" w:hAnsi="Arial" w:cs="Arial"/>
          <w:i/>
          <w:iCs/>
          <w:color w:val="000000" w:themeColor="text1"/>
          <w:sz w:val="20"/>
          <w:szCs w:val="20"/>
        </w:rPr>
        <w:t xml:space="preserve">, pues la Administración de Justicia, debe observar la ley sustantiva, consultar la jurisprudencia e inspirarse en la equidad, para aplicar los principios de derecho y fundamentar las decisiones en las diversas tesis sobre los cuales se edifica y sirve de razón a la imputación del deber reparador. </w:t>
      </w:r>
      <w:r w:rsidR="002258F8">
        <w:rPr>
          <w:rFonts w:ascii="Arial" w:eastAsia="Arial" w:hAnsi="Arial" w:cs="Arial"/>
          <w:i/>
          <w:iCs/>
          <w:color w:val="000000" w:themeColor="text1"/>
          <w:sz w:val="20"/>
          <w:szCs w:val="20"/>
        </w:rPr>
        <w:t>(…)</w:t>
      </w:r>
      <w:r w:rsidRPr="00094F30">
        <w:rPr>
          <w:rFonts w:ascii="Arial" w:eastAsia="Arial" w:hAnsi="Arial" w:cs="Arial"/>
          <w:i/>
          <w:iCs/>
          <w:color w:val="000000" w:themeColor="text1"/>
          <w:sz w:val="20"/>
          <w:szCs w:val="20"/>
        </w:rPr>
        <w:t xml:space="preserve"> </w:t>
      </w:r>
      <w:r w:rsidRPr="002258F8">
        <w:rPr>
          <w:rFonts w:ascii="Arial" w:eastAsia="Arial" w:hAnsi="Arial" w:cs="Arial"/>
          <w:b/>
          <w:bCs/>
          <w:i/>
          <w:iCs/>
          <w:color w:val="000000" w:themeColor="text1"/>
          <w:sz w:val="20"/>
          <w:szCs w:val="20"/>
          <w:u w:val="single"/>
        </w:rPr>
        <w:t>Se ha dicho que al Estado se le deben exigir los medios que corresponden a su realidad, haciendo caso omiso de las utopías de la concepción ideal del Estado perfecto, omnipotente y omnipresente</w:t>
      </w:r>
      <w:r w:rsidRPr="00094F30">
        <w:rPr>
          <w:rFonts w:ascii="Arial" w:eastAsia="Arial" w:hAnsi="Arial" w:cs="Arial"/>
          <w:i/>
          <w:iCs/>
          <w:color w:val="000000" w:themeColor="text1"/>
          <w:sz w:val="20"/>
          <w:szCs w:val="20"/>
        </w:rPr>
        <w:t>. A esto se ha llamado la teoría de la relatividad del servicio, a fin de no pedir más de lo posible, pero con la misma lógica debe concluirse que el Estado debe hacer todo cuanto está a su alcance.</w:t>
      </w:r>
      <w:r w:rsidR="002258F8">
        <w:rPr>
          <w:rFonts w:ascii="Arial" w:eastAsia="Arial" w:hAnsi="Arial" w:cs="Arial"/>
          <w:i/>
          <w:iCs/>
          <w:color w:val="000000" w:themeColor="text1"/>
          <w:sz w:val="20"/>
          <w:szCs w:val="20"/>
        </w:rPr>
        <w:t xml:space="preserve"> </w:t>
      </w:r>
      <w:r w:rsidR="002258F8">
        <w:rPr>
          <w:rFonts w:ascii="Arial" w:eastAsia="Arial" w:hAnsi="Arial" w:cs="Arial"/>
          <w:color w:val="000000" w:themeColor="text1"/>
          <w:sz w:val="20"/>
          <w:szCs w:val="20"/>
        </w:rPr>
        <w:t xml:space="preserve">(Subrayado y Negrita fuera del texto) </w:t>
      </w:r>
    </w:p>
    <w:p w14:paraId="0E8B5A1C" w14:textId="77777777" w:rsidR="008D3A42" w:rsidRDefault="008D3A42" w:rsidP="008D3A42">
      <w:pPr>
        <w:spacing w:line="360" w:lineRule="auto"/>
        <w:jc w:val="both"/>
        <w:rPr>
          <w:rFonts w:ascii="Arial" w:eastAsia="Arial" w:hAnsi="Arial" w:cs="Arial"/>
          <w:color w:val="000000" w:themeColor="text1"/>
        </w:rPr>
      </w:pPr>
    </w:p>
    <w:p w14:paraId="130C9B8C" w14:textId="05AB4235" w:rsidR="008D3A42" w:rsidRDefault="008D3A42" w:rsidP="008D3A4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es menester indicar al despacho que la parte actora no ha cumplido con la carga </w:t>
      </w:r>
      <w:r w:rsidRPr="004551BE">
        <w:rPr>
          <w:rFonts w:ascii="Arial" w:eastAsia="Arial" w:hAnsi="Arial" w:cs="Arial"/>
          <w:color w:val="000000" w:themeColor="text1"/>
        </w:rPr>
        <w:lastRenderedPageBreak/>
        <w:t xml:space="preserve">probatoria de demostrar </w:t>
      </w:r>
      <w:r w:rsidR="002258F8">
        <w:rPr>
          <w:rFonts w:ascii="Arial" w:eastAsia="Arial" w:hAnsi="Arial" w:cs="Arial"/>
          <w:color w:val="000000" w:themeColor="text1"/>
        </w:rPr>
        <w:t xml:space="preserve">la existencia de una falla en el servicio, </w:t>
      </w:r>
      <w:r w:rsidRPr="004551BE">
        <w:rPr>
          <w:rFonts w:ascii="Arial" w:eastAsia="Arial" w:hAnsi="Arial" w:cs="Arial"/>
          <w:color w:val="000000" w:themeColor="text1"/>
        </w:rPr>
        <w:t xml:space="preserve">como elemento constitutivo de la </w:t>
      </w:r>
      <w:r w:rsidR="002258F8">
        <w:rPr>
          <w:rFonts w:ascii="Arial" w:eastAsia="Arial" w:hAnsi="Arial" w:cs="Arial"/>
          <w:color w:val="000000" w:themeColor="text1"/>
        </w:rPr>
        <w:t>imputación a</w:t>
      </w:r>
      <w:r w:rsidRPr="004551BE">
        <w:rPr>
          <w:rFonts w:ascii="Arial" w:eastAsia="Arial" w:hAnsi="Arial" w:cs="Arial"/>
          <w:color w:val="000000" w:themeColor="text1"/>
        </w:rPr>
        <w:t xml:space="preserve">l Estado, pues no obra en el expediente algún medio de convicción que permita </w:t>
      </w:r>
      <w:r w:rsidR="002258F8">
        <w:rPr>
          <w:rFonts w:ascii="Arial" w:eastAsia="Arial" w:hAnsi="Arial" w:cs="Arial"/>
          <w:color w:val="000000" w:themeColor="text1"/>
        </w:rPr>
        <w:t>evidenciar</w:t>
      </w:r>
      <w:r w:rsidRPr="004551BE">
        <w:rPr>
          <w:rFonts w:ascii="Arial" w:eastAsia="Arial" w:hAnsi="Arial" w:cs="Arial"/>
          <w:color w:val="000000" w:themeColor="text1"/>
        </w:rPr>
        <w:t xml:space="preserve"> la conducta presuntamente omisiva del Distrito de Santiago de Cali </w:t>
      </w:r>
      <w:r w:rsidR="00E90655">
        <w:rPr>
          <w:rFonts w:ascii="Arial" w:eastAsia="Arial" w:hAnsi="Arial" w:cs="Arial"/>
          <w:color w:val="000000" w:themeColor="text1"/>
        </w:rPr>
        <w:t>acerca de no hacer mantenimiento a un semáforo</w:t>
      </w:r>
      <w:r w:rsidR="002258F8">
        <w:rPr>
          <w:rFonts w:ascii="Arial" w:eastAsia="Arial" w:hAnsi="Arial" w:cs="Arial"/>
          <w:color w:val="000000" w:themeColor="text1"/>
        </w:rPr>
        <w:t>, pues como se dijo ni siquiera se ha probado que dicha situación llevase el tiempo suficiente como para ser de conocimiento de la administración, o que la misma hubiese sido informada, de tal forma que nos encontramos ante la configuración de lo que en la jurisprudencia se ha denominado teoría de la relatividad del servicio</w:t>
      </w:r>
      <w:r w:rsidRPr="004551BE">
        <w:rPr>
          <w:rFonts w:ascii="Arial" w:eastAsia="Arial" w:hAnsi="Arial" w:cs="Arial"/>
          <w:color w:val="000000" w:themeColor="text1"/>
        </w:rPr>
        <w:t xml:space="preserve">. </w:t>
      </w:r>
    </w:p>
    <w:p w14:paraId="65B80640" w14:textId="77777777" w:rsidR="008D3A42" w:rsidRPr="004551BE" w:rsidRDefault="008D3A42" w:rsidP="008D3A42">
      <w:pPr>
        <w:spacing w:line="360" w:lineRule="auto"/>
        <w:jc w:val="both"/>
        <w:rPr>
          <w:rFonts w:ascii="Arial" w:eastAsia="Arial" w:hAnsi="Arial" w:cs="Arial"/>
          <w:color w:val="000000" w:themeColor="text1"/>
        </w:rPr>
      </w:pPr>
    </w:p>
    <w:p w14:paraId="6F02E43E" w14:textId="0E6C8529" w:rsidR="00B851F2" w:rsidRDefault="008D3A42" w:rsidP="00F415C6">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al no acreditarse </w:t>
      </w:r>
      <w:r w:rsidR="00AE6F16">
        <w:rPr>
          <w:rFonts w:ascii="Arial" w:eastAsia="Arial" w:hAnsi="Arial" w:cs="Arial"/>
          <w:color w:val="000000" w:themeColor="text1"/>
        </w:rPr>
        <w:t>la falla,</w:t>
      </w:r>
      <w:r w:rsidRPr="004551BE">
        <w:rPr>
          <w:rFonts w:ascii="Arial" w:eastAsia="Arial" w:hAnsi="Arial" w:cs="Arial"/>
          <w:color w:val="000000" w:themeColor="text1"/>
        </w:rPr>
        <w:t xml:space="preserve"> no es posible conceder una declaratoria de la responsabilidad, por lo que, solicito señor Juez que se declare probada esta excepción. </w:t>
      </w:r>
    </w:p>
    <w:p w14:paraId="3B0C033A" w14:textId="77777777" w:rsidR="00F415C6" w:rsidRPr="00F415C6" w:rsidRDefault="00F415C6" w:rsidP="00F415C6">
      <w:pPr>
        <w:spacing w:line="360" w:lineRule="auto"/>
        <w:jc w:val="both"/>
        <w:rPr>
          <w:rFonts w:ascii="Arial" w:eastAsia="Arial" w:hAnsi="Arial" w:cs="Arial"/>
          <w:color w:val="000000" w:themeColor="text1"/>
        </w:rPr>
      </w:pPr>
    </w:p>
    <w:p w14:paraId="5CFAFF1B" w14:textId="670617AB"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3125FD">
        <w:rPr>
          <w:rFonts w:ascii="Arial" w:eastAsia="Arial" w:hAnsi="Arial" w:cs="Arial"/>
          <w:b/>
          <w:bCs/>
          <w:color w:val="000000" w:themeColor="text1"/>
        </w:rPr>
        <w:t>INEXISTENCIA DE RESPONSABILIDAD POR FALTA DE ACREDITACIÓN DEL NEXO CAUSAL ENTRE EL ACTUAR DEL DISTRITO DE SANTIAGO DE CALI Y EL DAÑO CAUSADO</w:t>
      </w:r>
    </w:p>
    <w:p w14:paraId="69893DD5" w14:textId="77777777" w:rsidR="009E2DAE" w:rsidRPr="003125FD" w:rsidRDefault="009E2DAE" w:rsidP="003125FD">
      <w:pPr>
        <w:pStyle w:val="Prrafodelista"/>
        <w:spacing w:after="0" w:line="360" w:lineRule="auto"/>
        <w:jc w:val="both"/>
        <w:rPr>
          <w:rFonts w:ascii="Arial" w:eastAsia="Arial" w:hAnsi="Arial" w:cs="Arial"/>
          <w:b/>
          <w:bCs/>
          <w:color w:val="000000" w:themeColor="text1"/>
        </w:rPr>
      </w:pPr>
    </w:p>
    <w:p w14:paraId="60DE598E" w14:textId="3CD0116A" w:rsidR="00B851F2" w:rsidRDefault="00B851F2" w:rsidP="009E2DA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ha logrado demostrar que la causa eficiente del hecho generador del daño fue </w:t>
      </w:r>
      <w:r w:rsidR="00CD6FF3" w:rsidRPr="00CD6FF3">
        <w:rPr>
          <w:rFonts w:ascii="Arial" w:eastAsia="Arial" w:hAnsi="Arial" w:cs="Arial"/>
          <w:color w:val="000000" w:themeColor="text1"/>
        </w:rPr>
        <w:t>falta de mantenimiento de una señal de tránsito</w:t>
      </w:r>
      <w:r w:rsidRPr="004551BE">
        <w:rPr>
          <w:rFonts w:ascii="Arial" w:eastAsia="Arial" w:hAnsi="Arial" w:cs="Arial"/>
          <w:color w:val="000000" w:themeColor="text1"/>
        </w:rPr>
        <w:t xml:space="preserve">, </w:t>
      </w:r>
      <w:r w:rsidR="00CD6FF3">
        <w:rPr>
          <w:rFonts w:ascii="Arial" w:eastAsia="Arial" w:hAnsi="Arial" w:cs="Arial"/>
          <w:color w:val="000000" w:themeColor="text1"/>
        </w:rPr>
        <w:t xml:space="preserve">ello </w:t>
      </w:r>
      <w:r w:rsidRPr="004551BE">
        <w:rPr>
          <w:rFonts w:ascii="Arial" w:eastAsia="Arial" w:hAnsi="Arial" w:cs="Arial"/>
          <w:color w:val="000000" w:themeColor="text1"/>
        </w:rPr>
        <w:t>en razón a que la</w:t>
      </w:r>
      <w:r>
        <w:rPr>
          <w:rFonts w:ascii="Arial" w:eastAsia="Arial" w:hAnsi="Arial" w:cs="Arial"/>
          <w:color w:val="000000" w:themeColor="text1"/>
        </w:rPr>
        <w:t>s</w:t>
      </w:r>
      <w:r w:rsidRPr="004551BE">
        <w:rPr>
          <w:rFonts w:ascii="Arial" w:eastAsia="Arial" w:hAnsi="Arial" w:cs="Arial"/>
          <w:color w:val="000000" w:themeColor="text1"/>
        </w:rPr>
        <w:t xml:space="preserve"> prueba</w:t>
      </w:r>
      <w:r>
        <w:rPr>
          <w:rFonts w:ascii="Arial" w:eastAsia="Arial" w:hAnsi="Arial" w:cs="Arial"/>
          <w:color w:val="000000" w:themeColor="text1"/>
        </w:rPr>
        <w:t>s</w:t>
      </w:r>
      <w:r w:rsidRPr="004551BE">
        <w:rPr>
          <w:rFonts w:ascii="Arial" w:eastAsia="Arial" w:hAnsi="Arial" w:cs="Arial"/>
          <w:color w:val="000000" w:themeColor="text1"/>
        </w:rPr>
        <w:t xml:space="preserve"> que adjunta para su demostración </w:t>
      </w:r>
      <w:r w:rsidR="00D3413A">
        <w:rPr>
          <w:rFonts w:ascii="Arial" w:eastAsia="Arial" w:hAnsi="Arial" w:cs="Arial"/>
          <w:color w:val="000000" w:themeColor="text1"/>
        </w:rPr>
        <w:t>es</w:t>
      </w:r>
      <w:r w:rsidRPr="004551BE">
        <w:rPr>
          <w:rFonts w:ascii="Arial" w:eastAsia="Arial" w:hAnsi="Arial" w:cs="Arial"/>
          <w:color w:val="000000" w:themeColor="text1"/>
        </w:rPr>
        <w:t xml:space="preserve"> </w:t>
      </w:r>
      <w:r w:rsidR="00D3413A">
        <w:rPr>
          <w:rFonts w:ascii="Arial" w:eastAsia="Arial" w:hAnsi="Arial" w:cs="Arial"/>
          <w:color w:val="000000" w:themeColor="text1"/>
        </w:rPr>
        <w:t>el</w:t>
      </w:r>
      <w:r w:rsidRPr="004551BE">
        <w:rPr>
          <w:rFonts w:ascii="Arial" w:eastAsia="Arial" w:hAnsi="Arial" w:cs="Arial"/>
          <w:color w:val="000000" w:themeColor="text1"/>
        </w:rPr>
        <w:t xml:space="preserve"> </w:t>
      </w:r>
      <w:r w:rsidR="00D3413A" w:rsidRPr="005C32A6">
        <w:rPr>
          <w:rFonts w:ascii="Arial" w:eastAsia="Arial" w:hAnsi="Arial" w:cs="Arial"/>
          <w:color w:val="000000" w:themeColor="text1"/>
        </w:rPr>
        <w:t xml:space="preserve">Informe Policial de Accidente de Tránsito No. </w:t>
      </w:r>
      <w:r w:rsidR="00D3413A" w:rsidRPr="003522C9">
        <w:rPr>
          <w:rFonts w:ascii="Arial" w:eastAsia="Arial" w:hAnsi="Arial" w:cs="Arial"/>
          <w:color w:val="000000" w:themeColor="text1"/>
        </w:rPr>
        <w:t>0001111290</w:t>
      </w:r>
      <w:r w:rsidRPr="004551BE">
        <w:rPr>
          <w:rFonts w:ascii="Arial" w:eastAsia="Arial" w:hAnsi="Arial" w:cs="Arial"/>
          <w:color w:val="000000" w:themeColor="text1"/>
        </w:rPr>
        <w:t xml:space="preserve">, </w:t>
      </w:r>
      <w:r>
        <w:rPr>
          <w:rFonts w:ascii="Arial" w:eastAsia="Arial" w:hAnsi="Arial" w:cs="Arial"/>
          <w:color w:val="000000" w:themeColor="text1"/>
        </w:rPr>
        <w:t xml:space="preserve">en </w:t>
      </w:r>
      <w:r w:rsidR="00D3413A">
        <w:rPr>
          <w:rFonts w:ascii="Arial" w:eastAsia="Arial" w:hAnsi="Arial" w:cs="Arial"/>
          <w:color w:val="000000" w:themeColor="text1"/>
        </w:rPr>
        <w:t>el</w:t>
      </w:r>
      <w:r>
        <w:rPr>
          <w:rFonts w:ascii="Arial" w:eastAsia="Arial" w:hAnsi="Arial" w:cs="Arial"/>
          <w:color w:val="000000" w:themeColor="text1"/>
        </w:rPr>
        <w:t xml:space="preserve"> que se consigna (contrario al relato expuesto en el escrito de la demanda), que la hipótesis de la causa del accidente es la actuación imprudente y el desconocimiento de las normas de tránsit</w:t>
      </w:r>
      <w:r w:rsidR="009E2DAE">
        <w:rPr>
          <w:rFonts w:ascii="Arial" w:eastAsia="Arial" w:hAnsi="Arial" w:cs="Arial"/>
          <w:color w:val="000000" w:themeColor="text1"/>
        </w:rPr>
        <w:t>o</w:t>
      </w:r>
      <w:r>
        <w:rPr>
          <w:rFonts w:ascii="Arial" w:eastAsia="Arial" w:hAnsi="Arial" w:cs="Arial"/>
          <w:color w:val="000000" w:themeColor="text1"/>
        </w:rPr>
        <w:t xml:space="preserve"> de un tercero</w:t>
      </w:r>
      <w:r w:rsidR="009E2DAE">
        <w:rPr>
          <w:rFonts w:ascii="Arial" w:eastAsia="Arial" w:hAnsi="Arial" w:cs="Arial"/>
          <w:color w:val="000000" w:themeColor="text1"/>
        </w:rPr>
        <w:t xml:space="preserve">, </w:t>
      </w:r>
      <w:r w:rsidR="00D3413A">
        <w:rPr>
          <w:rFonts w:ascii="Arial" w:eastAsia="Arial" w:hAnsi="Arial" w:cs="Arial"/>
          <w:color w:val="000000" w:themeColor="text1"/>
        </w:rPr>
        <w:t>quién atravesó la avenida del sitio de los hechos mientras el semáforo se encontraba en rojo prohibiendo su tránsito.</w:t>
      </w:r>
      <w:r w:rsidR="009E2DAE">
        <w:rPr>
          <w:rFonts w:ascii="Arial" w:eastAsia="Arial" w:hAnsi="Arial" w:cs="Arial"/>
          <w:color w:val="000000" w:themeColor="text1"/>
        </w:rPr>
        <w:t xml:space="preserve"> En esta medida, se encuentra acreditado la inexistencia de nexo de causalidad entre el actuar u omitir del ente territorial demandado, y el hecho dañoso. </w:t>
      </w:r>
    </w:p>
    <w:p w14:paraId="6BD26710" w14:textId="77777777" w:rsidR="009E2DAE" w:rsidRDefault="009E2DAE" w:rsidP="003125FD">
      <w:pPr>
        <w:spacing w:line="360" w:lineRule="auto"/>
        <w:jc w:val="both"/>
        <w:rPr>
          <w:rFonts w:ascii="Arial" w:eastAsia="Arial" w:hAnsi="Arial" w:cs="Arial"/>
          <w:color w:val="000000" w:themeColor="text1"/>
        </w:rPr>
      </w:pPr>
    </w:p>
    <w:p w14:paraId="4D1E8509" w14:textId="1538EBBF" w:rsidR="00B851F2" w:rsidRDefault="00F34D0A"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B851F2">
        <w:rPr>
          <w:rFonts w:ascii="Arial" w:eastAsia="Arial" w:hAnsi="Arial" w:cs="Arial"/>
          <w:color w:val="000000" w:themeColor="text1"/>
        </w:rPr>
        <w:t xml:space="preserve">esulta trascendente </w:t>
      </w:r>
      <w:r>
        <w:rPr>
          <w:rFonts w:ascii="Arial" w:eastAsia="Arial" w:hAnsi="Arial" w:cs="Arial"/>
          <w:color w:val="000000" w:themeColor="text1"/>
        </w:rPr>
        <w:t xml:space="preserve">reiterarlo, </w:t>
      </w:r>
      <w:r w:rsidR="00B851F2">
        <w:rPr>
          <w:rFonts w:ascii="Arial" w:eastAsia="Arial" w:hAnsi="Arial" w:cs="Arial"/>
          <w:color w:val="000000" w:themeColor="text1"/>
        </w:rPr>
        <w:t xml:space="preserve">porque es indispensable establecer si los motivos que dieron lugar al </w:t>
      </w:r>
      <w:r w:rsidR="009E2DAE">
        <w:rPr>
          <w:rFonts w:ascii="Arial" w:eastAsia="Arial" w:hAnsi="Arial" w:cs="Arial"/>
          <w:color w:val="000000" w:themeColor="text1"/>
        </w:rPr>
        <w:t xml:space="preserve">accidente de tránsito </w:t>
      </w:r>
      <w:r w:rsidR="00B851F2">
        <w:rPr>
          <w:rFonts w:ascii="Arial" w:eastAsia="Arial" w:hAnsi="Arial" w:cs="Arial"/>
          <w:color w:val="000000" w:themeColor="text1"/>
        </w:rPr>
        <w:t>tienen responsabilidad directa con una actuación u omisión de la entidad demandada</w:t>
      </w:r>
      <w:r w:rsidR="00B851F2" w:rsidRPr="004551BE">
        <w:rPr>
          <w:rFonts w:ascii="Arial" w:eastAsia="Arial" w:hAnsi="Arial" w:cs="Arial"/>
          <w:color w:val="000000" w:themeColor="text1"/>
        </w:rPr>
        <w:t>.</w:t>
      </w:r>
      <w:r w:rsidR="00B851F2">
        <w:rPr>
          <w:rFonts w:ascii="Arial" w:eastAsia="Arial" w:hAnsi="Arial" w:cs="Arial"/>
          <w:color w:val="000000" w:themeColor="text1"/>
        </w:rPr>
        <w:t xml:space="preserve"> En el caso </w:t>
      </w:r>
      <w:r w:rsidR="00B851F2">
        <w:rPr>
          <w:rFonts w:ascii="Arial" w:eastAsia="Arial" w:hAnsi="Arial" w:cs="Arial"/>
          <w:i/>
          <w:iCs/>
          <w:color w:val="000000" w:themeColor="text1"/>
        </w:rPr>
        <w:t xml:space="preserve">sub examine </w:t>
      </w:r>
      <w:r w:rsidR="00B851F2">
        <w:rPr>
          <w:rFonts w:ascii="Arial" w:eastAsia="Arial" w:hAnsi="Arial" w:cs="Arial"/>
          <w:color w:val="000000" w:themeColor="text1"/>
        </w:rPr>
        <w:t xml:space="preserve">es claro que el siniestro se presenta exclusivamente porque un tercero involucrado, cuya actuación imprevisible, irresistible y ajena al actuar del Distrito Especial de Cali, decidió </w:t>
      </w:r>
      <w:r>
        <w:rPr>
          <w:rFonts w:ascii="Arial" w:eastAsia="Arial" w:hAnsi="Arial" w:cs="Arial"/>
          <w:color w:val="000000" w:themeColor="text1"/>
        </w:rPr>
        <w:t>atravesar una avenida mientras el semáforo se encontraba en rojo prohibiendo su tránsito</w:t>
      </w:r>
      <w:r w:rsidR="00B851F2">
        <w:rPr>
          <w:rFonts w:ascii="Arial" w:eastAsia="Arial" w:hAnsi="Arial" w:cs="Arial"/>
          <w:color w:val="000000" w:themeColor="text1"/>
        </w:rPr>
        <w:t xml:space="preserve">, desconociendo desde todo punto de vista los postulados de </w:t>
      </w:r>
      <w:r>
        <w:rPr>
          <w:rFonts w:ascii="Arial" w:eastAsia="Arial" w:hAnsi="Arial" w:cs="Arial"/>
          <w:color w:val="000000" w:themeColor="text1"/>
        </w:rPr>
        <w:t xml:space="preserve">las normas de </w:t>
      </w:r>
      <w:r w:rsidR="00B851F2">
        <w:rPr>
          <w:rFonts w:ascii="Arial" w:eastAsia="Arial" w:hAnsi="Arial" w:cs="Arial"/>
          <w:color w:val="000000" w:themeColor="text1"/>
        </w:rPr>
        <w:t xml:space="preserve">tránsito, por lo que ante una actuación de estas características, resulta incomprensible pretender atribuir el resultado dañoso a una </w:t>
      </w:r>
      <w:r>
        <w:rPr>
          <w:rFonts w:ascii="Arial" w:eastAsia="Arial" w:hAnsi="Arial" w:cs="Arial"/>
          <w:color w:val="000000" w:themeColor="text1"/>
        </w:rPr>
        <w:t>presunta situación de mantenimiento de señales de tránsito</w:t>
      </w:r>
      <w:r w:rsidR="00B851F2">
        <w:rPr>
          <w:rFonts w:ascii="Arial" w:eastAsia="Arial" w:hAnsi="Arial" w:cs="Arial"/>
          <w:color w:val="000000" w:themeColor="text1"/>
        </w:rPr>
        <w:t>. Y ello tiene asidero, porque no existe en el plenario una prueba o indicio que lleve a suponer que alguna actuación de la entidad demanda hubiese podido modificar el resultado de un accidente que se presentó por incumplimiento irresponsable de normas de tránsito de un tercero, pues si este fuese el caso, estaríamos ante una responsabilidad ilimitada del estado tendiente a encubrir cualquier tipo de actividad de los asociados, y ello no puede ser contemplado de dicha manera.</w:t>
      </w:r>
    </w:p>
    <w:p w14:paraId="26E28C0E" w14:textId="77777777" w:rsidR="00B851F2" w:rsidRDefault="00B851F2" w:rsidP="00B851F2">
      <w:pPr>
        <w:spacing w:line="360" w:lineRule="auto"/>
        <w:jc w:val="both"/>
        <w:rPr>
          <w:rFonts w:ascii="Arial" w:eastAsia="Arial" w:hAnsi="Arial" w:cs="Arial"/>
          <w:color w:val="000000" w:themeColor="text1"/>
        </w:rPr>
      </w:pPr>
    </w:p>
    <w:p w14:paraId="5C23AA22"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esta línea argumentativa ha dicho la Sección Tercera del Consejo de estado en Sentencias de </w:t>
      </w:r>
      <w:proofErr w:type="spellStart"/>
      <w:r>
        <w:rPr>
          <w:rFonts w:ascii="Arial" w:eastAsia="Arial" w:hAnsi="Arial" w:cs="Arial"/>
          <w:color w:val="000000" w:themeColor="text1"/>
        </w:rPr>
        <w:t>Exp</w:t>
      </w:r>
      <w:proofErr w:type="spellEnd"/>
      <w:r>
        <w:rPr>
          <w:rFonts w:ascii="Arial" w:eastAsia="Arial" w:hAnsi="Arial" w:cs="Arial"/>
          <w:color w:val="000000" w:themeColor="text1"/>
        </w:rPr>
        <w:t xml:space="preserve">. 16.530 y </w:t>
      </w:r>
      <w:proofErr w:type="spellStart"/>
      <w:r>
        <w:rPr>
          <w:rFonts w:ascii="Arial" w:eastAsia="Arial" w:hAnsi="Arial" w:cs="Arial"/>
          <w:color w:val="000000" w:themeColor="text1"/>
        </w:rPr>
        <w:t>Exp</w:t>
      </w:r>
      <w:proofErr w:type="spellEnd"/>
      <w:r>
        <w:rPr>
          <w:rFonts w:ascii="Arial" w:eastAsia="Arial" w:hAnsi="Arial" w:cs="Arial"/>
          <w:color w:val="000000" w:themeColor="text1"/>
        </w:rPr>
        <w:t>. 18.596 ambas con ponencia del doctor Mauricio Fajardo Gómez, que:</w:t>
      </w:r>
    </w:p>
    <w:p w14:paraId="5F42CB44" w14:textId="77777777" w:rsidR="00B851F2" w:rsidRDefault="00B851F2" w:rsidP="00B851F2">
      <w:pPr>
        <w:spacing w:line="360" w:lineRule="auto"/>
        <w:jc w:val="both"/>
        <w:rPr>
          <w:rFonts w:ascii="Arial" w:eastAsia="Arial" w:hAnsi="Arial" w:cs="Arial"/>
          <w:color w:val="000000" w:themeColor="text1"/>
        </w:rPr>
      </w:pPr>
    </w:p>
    <w:p w14:paraId="207CE5A4" w14:textId="77777777" w:rsidR="00B851F2" w:rsidRPr="002D4CC2" w:rsidRDefault="00B851F2" w:rsidP="00B851F2">
      <w:pPr>
        <w:spacing w:line="360" w:lineRule="auto"/>
        <w:ind w:left="851"/>
        <w:jc w:val="both"/>
        <w:rPr>
          <w:rFonts w:ascii="Arial" w:eastAsia="Arial" w:hAnsi="Arial" w:cs="Arial"/>
          <w:i/>
          <w:iCs/>
          <w:color w:val="000000" w:themeColor="text1"/>
          <w:sz w:val="20"/>
          <w:szCs w:val="20"/>
        </w:rPr>
      </w:pPr>
      <w:r w:rsidRPr="002D4CC2">
        <w:rPr>
          <w:rFonts w:ascii="Arial" w:eastAsia="Arial" w:hAnsi="Arial" w:cs="Arial"/>
          <w:i/>
          <w:iCs/>
          <w:color w:val="000000" w:themeColor="text1"/>
          <w:sz w:val="20"/>
          <w:szCs w:val="20"/>
        </w:rPr>
        <w:t>“(…) El hecho de un tercero exime de responsabilidad al sujeto demandado cuando es susceptible de calificar como: (i) irresistible; (</w:t>
      </w:r>
      <w:proofErr w:type="spellStart"/>
      <w:r w:rsidRPr="002D4CC2">
        <w:rPr>
          <w:rFonts w:ascii="Arial" w:eastAsia="Arial" w:hAnsi="Arial" w:cs="Arial"/>
          <w:i/>
          <w:iCs/>
          <w:color w:val="000000" w:themeColor="text1"/>
          <w:sz w:val="20"/>
          <w:szCs w:val="20"/>
        </w:rPr>
        <w:t>ii</w:t>
      </w:r>
      <w:proofErr w:type="spellEnd"/>
      <w:r w:rsidRPr="002D4CC2">
        <w:rPr>
          <w:rFonts w:ascii="Arial" w:eastAsia="Arial" w:hAnsi="Arial" w:cs="Arial"/>
          <w:i/>
          <w:iCs/>
          <w:color w:val="000000" w:themeColor="text1"/>
          <w:sz w:val="20"/>
          <w:szCs w:val="20"/>
        </w:rPr>
        <w:t>) imprevisible y (</w:t>
      </w:r>
      <w:proofErr w:type="spellStart"/>
      <w:r w:rsidRPr="002D4CC2">
        <w:rPr>
          <w:rFonts w:ascii="Arial" w:eastAsia="Arial" w:hAnsi="Arial" w:cs="Arial"/>
          <w:i/>
          <w:iCs/>
          <w:color w:val="000000" w:themeColor="text1"/>
          <w:sz w:val="20"/>
          <w:szCs w:val="20"/>
        </w:rPr>
        <w:t>iii</w:t>
      </w:r>
      <w:proofErr w:type="spellEnd"/>
      <w:r w:rsidRPr="002D4CC2">
        <w:rPr>
          <w:rFonts w:ascii="Arial" w:eastAsia="Arial" w:hAnsi="Arial" w:cs="Arial"/>
          <w:i/>
          <w:iCs/>
          <w:color w:val="000000" w:themeColor="text1"/>
          <w:sz w:val="20"/>
          <w:szCs w:val="20"/>
        </w:rPr>
        <w:t>) ajeno o exterior de éste21, además debe ser el origen del daño, como la raíz determinante del mismo, es decir, que se trate de la causa adecuada y excluyente, razón suficientemente clara y sólida (…)”</w:t>
      </w:r>
    </w:p>
    <w:p w14:paraId="72829AAB" w14:textId="77777777" w:rsidR="00B851F2" w:rsidRDefault="00B851F2" w:rsidP="00B851F2">
      <w:pPr>
        <w:spacing w:line="360" w:lineRule="auto"/>
        <w:jc w:val="both"/>
        <w:rPr>
          <w:rFonts w:ascii="Arial" w:eastAsia="Arial" w:hAnsi="Arial" w:cs="Arial"/>
          <w:color w:val="000000" w:themeColor="text1"/>
        </w:rPr>
      </w:pPr>
    </w:p>
    <w:p w14:paraId="17748703" w14:textId="7DE08195" w:rsidR="00B851F2" w:rsidRDefault="00B851F2" w:rsidP="00B851F2">
      <w:pPr>
        <w:spacing w:line="360" w:lineRule="auto"/>
        <w:jc w:val="both"/>
        <w:rPr>
          <w:rFonts w:ascii="Arial" w:eastAsia="Arial" w:hAnsi="Arial" w:cs="Arial"/>
          <w:color w:val="000000" w:themeColor="text1"/>
        </w:rPr>
      </w:pPr>
      <w:r w:rsidRPr="00DA7387">
        <w:rPr>
          <w:rFonts w:ascii="Arial" w:eastAsia="Arial" w:hAnsi="Arial" w:cs="Arial"/>
          <w:color w:val="000000" w:themeColor="text1"/>
        </w:rPr>
        <w:t xml:space="preserve">En cuanto a la irresistibilidad, es claro que no se puede predicar que </w:t>
      </w:r>
      <w:r>
        <w:rPr>
          <w:rFonts w:ascii="Arial" w:eastAsia="Arial" w:hAnsi="Arial" w:cs="Arial"/>
          <w:color w:val="000000" w:themeColor="text1"/>
        </w:rPr>
        <w:t xml:space="preserve">frente a </w:t>
      </w:r>
      <w:r w:rsidRPr="00DA7387">
        <w:rPr>
          <w:rFonts w:ascii="Arial" w:eastAsia="Arial" w:hAnsi="Arial" w:cs="Arial"/>
          <w:color w:val="000000" w:themeColor="text1"/>
        </w:rPr>
        <w:t>la actuaci</w:t>
      </w:r>
      <w:r>
        <w:rPr>
          <w:rFonts w:ascii="Arial" w:eastAsia="Arial" w:hAnsi="Arial" w:cs="Arial"/>
          <w:color w:val="000000" w:themeColor="text1"/>
        </w:rPr>
        <w:t>ón</w:t>
      </w:r>
      <w:r w:rsidRPr="00DA7387">
        <w:rPr>
          <w:rFonts w:ascii="Arial" w:eastAsia="Arial" w:hAnsi="Arial" w:cs="Arial"/>
          <w:color w:val="000000" w:themeColor="text1"/>
        </w:rPr>
        <w:t xml:space="preserve"> del señor </w:t>
      </w:r>
      <w:r w:rsidR="00F34D0A">
        <w:rPr>
          <w:rFonts w:ascii="Arial" w:eastAsia="Arial" w:hAnsi="Arial" w:cs="Arial"/>
          <w:color w:val="000000" w:themeColor="text1"/>
        </w:rPr>
        <w:t>Gustavo Rodríguez</w:t>
      </w:r>
      <w:r w:rsidRPr="00DA7387">
        <w:rPr>
          <w:rFonts w:ascii="Arial" w:eastAsia="Arial" w:hAnsi="Arial" w:cs="Arial"/>
          <w:color w:val="000000" w:themeColor="text1"/>
        </w:rPr>
        <w:t xml:space="preserve"> </w:t>
      </w:r>
      <w:r>
        <w:rPr>
          <w:rFonts w:ascii="Arial" w:eastAsia="Arial" w:hAnsi="Arial" w:cs="Arial"/>
          <w:color w:val="000000" w:themeColor="text1"/>
        </w:rPr>
        <w:t xml:space="preserve">de </w:t>
      </w:r>
      <w:r w:rsidR="00F34D0A">
        <w:rPr>
          <w:rFonts w:ascii="Arial" w:eastAsia="Arial" w:hAnsi="Arial" w:cs="Arial"/>
          <w:color w:val="000000" w:themeColor="text1"/>
        </w:rPr>
        <w:t>atravesar una avenida mientras el semáforo se encontraba en rojo,</w:t>
      </w:r>
      <w:r>
        <w:rPr>
          <w:rFonts w:ascii="Arial" w:eastAsia="Arial" w:hAnsi="Arial" w:cs="Arial"/>
          <w:color w:val="000000" w:themeColor="text1"/>
        </w:rPr>
        <w:t xml:space="preserve"> en </w:t>
      </w:r>
      <w:r w:rsidR="00F34D0A">
        <w:rPr>
          <w:rFonts w:ascii="Arial" w:eastAsia="Arial" w:hAnsi="Arial" w:cs="Arial"/>
          <w:color w:val="000000" w:themeColor="text1"/>
        </w:rPr>
        <w:t xml:space="preserve">evidente </w:t>
      </w:r>
      <w:r>
        <w:rPr>
          <w:rFonts w:ascii="Arial" w:eastAsia="Arial" w:hAnsi="Arial" w:cs="Arial"/>
          <w:color w:val="000000" w:themeColor="text1"/>
        </w:rPr>
        <w:t>desconocimiento de las normas de tránsito, el Distrito Especial de Cali pudiese adelantar actuación algu</w:t>
      </w:r>
      <w:r w:rsidR="00F34D0A">
        <w:rPr>
          <w:rFonts w:ascii="Arial" w:eastAsia="Arial" w:hAnsi="Arial" w:cs="Arial"/>
          <w:color w:val="000000" w:themeColor="text1"/>
        </w:rPr>
        <w:t xml:space="preserve">na </w:t>
      </w:r>
      <w:r>
        <w:rPr>
          <w:rFonts w:ascii="Arial" w:eastAsia="Arial" w:hAnsi="Arial" w:cs="Arial"/>
          <w:color w:val="000000" w:themeColor="text1"/>
        </w:rPr>
        <w:t>que sea tan efectiva</w:t>
      </w:r>
      <w:r w:rsidR="00F34D0A">
        <w:rPr>
          <w:rFonts w:ascii="Arial" w:eastAsia="Arial" w:hAnsi="Arial" w:cs="Arial"/>
          <w:color w:val="000000" w:themeColor="text1"/>
        </w:rPr>
        <w:t>,</w:t>
      </w:r>
      <w:r>
        <w:rPr>
          <w:rFonts w:ascii="Arial" w:eastAsia="Arial" w:hAnsi="Arial" w:cs="Arial"/>
          <w:color w:val="000000" w:themeColor="text1"/>
        </w:rPr>
        <w:t xml:space="preserve"> que ella por sí misma, </w:t>
      </w:r>
      <w:r w:rsidR="00F34D0A">
        <w:rPr>
          <w:rFonts w:ascii="Arial" w:eastAsia="Arial" w:hAnsi="Arial" w:cs="Arial"/>
          <w:color w:val="000000" w:themeColor="text1"/>
        </w:rPr>
        <w:t xml:space="preserve">pudiese </w:t>
      </w:r>
      <w:r>
        <w:rPr>
          <w:rFonts w:ascii="Arial" w:eastAsia="Arial" w:hAnsi="Arial" w:cs="Arial"/>
          <w:color w:val="000000" w:themeColor="text1"/>
        </w:rPr>
        <w:t>evitar el resultado dañoso, y eso resulta claro porque si ese fuese el caso, se estaría exigiendo actuaciones fuera de los términos de la razonabilidad.</w:t>
      </w:r>
    </w:p>
    <w:p w14:paraId="076581DD" w14:textId="77777777" w:rsidR="00F34D0A" w:rsidRDefault="00F34D0A" w:rsidP="00B851F2">
      <w:pPr>
        <w:spacing w:line="360" w:lineRule="auto"/>
        <w:jc w:val="both"/>
        <w:rPr>
          <w:rFonts w:ascii="Arial" w:eastAsia="Arial" w:hAnsi="Arial" w:cs="Arial"/>
          <w:color w:val="000000" w:themeColor="text1"/>
        </w:rPr>
      </w:pPr>
    </w:p>
    <w:p w14:paraId="6C6C3F5A" w14:textId="5FB24DD1"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cuando a la imprevisibilidad, es claro que la simple actividad de </w:t>
      </w:r>
      <w:r w:rsidR="00B34615">
        <w:rPr>
          <w:rFonts w:ascii="Arial" w:eastAsia="Arial" w:hAnsi="Arial" w:cs="Arial"/>
          <w:color w:val="000000" w:themeColor="text1"/>
        </w:rPr>
        <w:t>transitar como peatón, es</w:t>
      </w:r>
      <w:r>
        <w:rPr>
          <w:rFonts w:ascii="Arial" w:eastAsia="Arial" w:hAnsi="Arial" w:cs="Arial"/>
          <w:color w:val="000000" w:themeColor="text1"/>
        </w:rPr>
        <w:t xml:space="preserve"> acción que puede resultar creadora de </w:t>
      </w:r>
      <w:r w:rsidR="00B34615">
        <w:rPr>
          <w:rFonts w:ascii="Arial" w:eastAsia="Arial" w:hAnsi="Arial" w:cs="Arial"/>
          <w:color w:val="000000" w:themeColor="text1"/>
        </w:rPr>
        <w:t>diversos</w:t>
      </w:r>
      <w:r>
        <w:rPr>
          <w:rFonts w:ascii="Arial" w:eastAsia="Arial" w:hAnsi="Arial" w:cs="Arial"/>
          <w:color w:val="000000" w:themeColor="text1"/>
        </w:rPr>
        <w:t xml:space="preserve"> escenarios que pueden darse según diferentes variables, pero aunado a ello, si a la propia actividad se suma la actitud del </w:t>
      </w:r>
      <w:r w:rsidR="00B34615">
        <w:rPr>
          <w:rFonts w:ascii="Arial" w:eastAsia="Arial" w:hAnsi="Arial" w:cs="Arial"/>
          <w:color w:val="000000" w:themeColor="text1"/>
        </w:rPr>
        <w:t>peatón, de cruzar una avenida en desconocimiento de las normas de tránsito</w:t>
      </w:r>
      <w:r>
        <w:rPr>
          <w:rFonts w:ascii="Arial" w:eastAsia="Arial" w:hAnsi="Arial" w:cs="Arial"/>
          <w:color w:val="000000" w:themeColor="text1"/>
        </w:rPr>
        <w:t>, la imprevisibilidad aumenta, porque no es la ac</w:t>
      </w:r>
      <w:r w:rsidR="00B34615">
        <w:rPr>
          <w:rFonts w:ascii="Arial" w:eastAsia="Arial" w:hAnsi="Arial" w:cs="Arial"/>
          <w:color w:val="000000" w:themeColor="text1"/>
        </w:rPr>
        <w:t>ción</w:t>
      </w:r>
      <w:r>
        <w:rPr>
          <w:rFonts w:ascii="Arial" w:eastAsia="Arial" w:hAnsi="Arial" w:cs="Arial"/>
          <w:color w:val="000000" w:themeColor="text1"/>
        </w:rPr>
        <w:t xml:space="preserve"> que se espera de ningún administrado, lo que deja claro que no estuvo y no puede estar al alcance de la autoridad demandada, precaver que un agente particular va a decidir en algún momento </w:t>
      </w:r>
      <w:r w:rsidR="00B34615">
        <w:rPr>
          <w:rFonts w:ascii="Arial" w:eastAsia="Arial" w:hAnsi="Arial" w:cs="Arial"/>
          <w:color w:val="000000" w:themeColor="text1"/>
        </w:rPr>
        <w:t xml:space="preserve">puntual, </w:t>
      </w:r>
      <w:r>
        <w:rPr>
          <w:rFonts w:ascii="Arial" w:eastAsia="Arial" w:hAnsi="Arial" w:cs="Arial"/>
          <w:color w:val="000000" w:themeColor="text1"/>
        </w:rPr>
        <w:t xml:space="preserve">actuar de la manera que lo hizo </w:t>
      </w:r>
      <w:r w:rsidRPr="00DA7387">
        <w:rPr>
          <w:rFonts w:ascii="Arial" w:eastAsia="Arial" w:hAnsi="Arial" w:cs="Arial"/>
          <w:color w:val="000000" w:themeColor="text1"/>
        </w:rPr>
        <w:t xml:space="preserve">el señor </w:t>
      </w:r>
      <w:r w:rsidR="00B34615">
        <w:rPr>
          <w:rFonts w:ascii="Arial" w:eastAsia="Arial" w:hAnsi="Arial" w:cs="Arial"/>
          <w:color w:val="000000" w:themeColor="text1"/>
        </w:rPr>
        <w:t>Gustavo Rodríguez</w:t>
      </w:r>
      <w:r>
        <w:rPr>
          <w:rFonts w:ascii="Arial" w:eastAsia="Arial" w:hAnsi="Arial" w:cs="Arial"/>
          <w:color w:val="000000" w:themeColor="text1"/>
        </w:rPr>
        <w:t>.</w:t>
      </w:r>
    </w:p>
    <w:p w14:paraId="0FC7418E" w14:textId="77777777" w:rsidR="00B851F2" w:rsidRDefault="00B851F2" w:rsidP="00B851F2">
      <w:pPr>
        <w:spacing w:line="360" w:lineRule="auto"/>
        <w:jc w:val="both"/>
        <w:rPr>
          <w:rFonts w:ascii="Arial" w:eastAsia="Arial" w:hAnsi="Arial" w:cs="Arial"/>
          <w:color w:val="000000" w:themeColor="text1"/>
        </w:rPr>
      </w:pPr>
    </w:p>
    <w:p w14:paraId="6A2AA0C0" w14:textId="22BE3CF0" w:rsidR="00B851F2" w:rsidRPr="004551B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respecto de la exterioridad o lo ajeno de la actuación del tercero respecto de la entidad, es clara la circunstancia debido a que no se ha probado, ni tan si quiera sugerido, que el señor </w:t>
      </w:r>
      <w:r w:rsidR="0072724D">
        <w:rPr>
          <w:rFonts w:ascii="Arial" w:eastAsia="Arial" w:hAnsi="Arial" w:cs="Arial"/>
          <w:color w:val="000000" w:themeColor="text1"/>
        </w:rPr>
        <w:t>Gustavo Rodríguez</w:t>
      </w:r>
      <w:r>
        <w:rPr>
          <w:rFonts w:ascii="Arial" w:eastAsia="Arial" w:hAnsi="Arial" w:cs="Arial"/>
          <w:color w:val="000000" w:themeColor="text1"/>
        </w:rPr>
        <w:t xml:space="preserve"> est</w:t>
      </w:r>
      <w:r w:rsidR="0072724D">
        <w:rPr>
          <w:rFonts w:ascii="Arial" w:eastAsia="Arial" w:hAnsi="Arial" w:cs="Arial"/>
          <w:color w:val="000000" w:themeColor="text1"/>
        </w:rPr>
        <w:t>é</w:t>
      </w:r>
      <w:r>
        <w:rPr>
          <w:rFonts w:ascii="Arial" w:eastAsia="Arial" w:hAnsi="Arial" w:cs="Arial"/>
          <w:color w:val="000000" w:themeColor="text1"/>
        </w:rPr>
        <w:t xml:space="preserve"> vinculado de manera alguna, como agente del Distrito Especial de Cali, es decir</w:t>
      </w:r>
      <w:r w:rsidR="0072724D">
        <w:rPr>
          <w:rFonts w:ascii="Arial" w:eastAsia="Arial" w:hAnsi="Arial" w:cs="Arial"/>
          <w:color w:val="000000" w:themeColor="text1"/>
        </w:rPr>
        <w:t>,</w:t>
      </w:r>
      <w:r w:rsidRPr="00D80546">
        <w:rPr>
          <w:rFonts w:ascii="Arial" w:eastAsia="Arial" w:hAnsi="Arial" w:cs="Arial"/>
          <w:color w:val="000000" w:themeColor="text1"/>
        </w:rPr>
        <w:t xml:space="preserve"> que fue un actuar desligado</w:t>
      </w:r>
      <w:r>
        <w:rPr>
          <w:rFonts w:ascii="Arial" w:eastAsia="Arial" w:hAnsi="Arial" w:cs="Arial"/>
          <w:color w:val="000000" w:themeColor="text1"/>
        </w:rPr>
        <w:t xml:space="preserve"> </w:t>
      </w:r>
      <w:r w:rsidRPr="00D80546">
        <w:rPr>
          <w:rFonts w:ascii="Arial" w:eastAsia="Arial" w:hAnsi="Arial" w:cs="Arial"/>
          <w:color w:val="000000" w:themeColor="text1"/>
        </w:rPr>
        <w:t>completamente de las funciones</w:t>
      </w:r>
      <w:r>
        <w:rPr>
          <w:rFonts w:ascii="Arial" w:eastAsia="Arial" w:hAnsi="Arial" w:cs="Arial"/>
          <w:color w:val="000000" w:themeColor="text1"/>
        </w:rPr>
        <w:t xml:space="preserve"> de la entidad demandada, motivo por el cual pretender la vinculación de esta última, al actuar de aquel, resultaría, cuando menos, incoherente.</w:t>
      </w:r>
    </w:p>
    <w:p w14:paraId="0065E07D" w14:textId="77777777" w:rsidR="00B851F2" w:rsidRPr="004551BE" w:rsidRDefault="00B851F2" w:rsidP="00B851F2">
      <w:pPr>
        <w:spacing w:line="360" w:lineRule="auto"/>
        <w:jc w:val="both"/>
        <w:rPr>
          <w:rFonts w:ascii="Arial" w:eastAsia="Arial" w:hAnsi="Arial" w:cs="Arial"/>
        </w:rPr>
      </w:pPr>
    </w:p>
    <w:p w14:paraId="22D20492" w14:textId="58794370" w:rsidR="009E2DAE" w:rsidRPr="003125FD" w:rsidRDefault="009E2DAE" w:rsidP="009E2DAE">
      <w:pPr>
        <w:pStyle w:val="Prrafodelista"/>
        <w:numPr>
          <w:ilvl w:val="0"/>
          <w:numId w:val="30"/>
        </w:numPr>
        <w:spacing w:before="83" w:line="360" w:lineRule="auto"/>
        <w:jc w:val="both"/>
        <w:rPr>
          <w:rFonts w:ascii="Arial" w:hAnsi="Arial" w:cs="Arial"/>
          <w:b/>
          <w:bCs/>
        </w:rPr>
      </w:pPr>
      <w:r w:rsidRPr="003125FD">
        <w:rPr>
          <w:rFonts w:ascii="Arial" w:hAnsi="Arial" w:cs="Arial"/>
          <w:b/>
          <w:bCs/>
          <w:u w:val="single"/>
        </w:rPr>
        <w:t>CONCURRENCIA DE CULPAS</w:t>
      </w:r>
    </w:p>
    <w:p w14:paraId="6D0E1C2A" w14:textId="77777777" w:rsidR="009E2DAE" w:rsidRPr="003125FD" w:rsidRDefault="009E2DAE" w:rsidP="003125FD">
      <w:pPr>
        <w:pStyle w:val="Prrafodelista"/>
        <w:spacing w:before="83" w:line="360" w:lineRule="auto"/>
        <w:jc w:val="both"/>
        <w:rPr>
          <w:rFonts w:ascii="Arial" w:hAnsi="Arial" w:cs="Arial"/>
          <w:b/>
          <w:bCs/>
        </w:rPr>
      </w:pPr>
    </w:p>
    <w:p w14:paraId="6E06146D" w14:textId="6E7D05A7" w:rsidR="009E2DAE" w:rsidRPr="003125FD" w:rsidRDefault="009E2DAE" w:rsidP="009E2DAE">
      <w:pPr>
        <w:spacing w:line="360" w:lineRule="auto"/>
        <w:jc w:val="both"/>
        <w:rPr>
          <w:rFonts w:ascii="Arial" w:hAnsi="Arial" w:cs="Arial"/>
          <w:i/>
          <w:iCs/>
        </w:rPr>
      </w:pPr>
      <w:r w:rsidRPr="003125FD">
        <w:rPr>
          <w:rFonts w:ascii="Arial" w:hAnsi="Arial" w:cs="Arial"/>
        </w:rPr>
        <w:t>De manera subsidiaria, considerando que sin lugar a duda la conducta de</w:t>
      </w:r>
      <w:r>
        <w:rPr>
          <w:rFonts w:ascii="Arial" w:hAnsi="Arial" w:cs="Arial"/>
        </w:rPr>
        <w:t xml:space="preserve">l tercero </w:t>
      </w:r>
      <w:r w:rsidRPr="003125FD">
        <w:rPr>
          <w:rFonts w:ascii="Arial" w:hAnsi="Arial" w:cs="Arial"/>
        </w:rPr>
        <w:t>influyó en el resultado dañoso y, de no estimarse que esta fue la causa adecuada del mismo, se deberá analizar la concurrencia de culpas a luces de lo dispuesto por el artículo 2357 del Código Civil, que contempla: “</w:t>
      </w:r>
      <w:r w:rsidRPr="003125FD">
        <w:rPr>
          <w:rFonts w:ascii="Arial" w:hAnsi="Arial" w:cs="Arial"/>
          <w:i/>
          <w:iCs/>
        </w:rPr>
        <w:t>La apreciación del daño está sujeta a reducción, si el que lo ha sufrido se expuso a él imprudentemente”.</w:t>
      </w:r>
    </w:p>
    <w:p w14:paraId="7A4A8D0F" w14:textId="77777777" w:rsidR="009E2DAE" w:rsidRPr="003125FD" w:rsidRDefault="009E2DAE" w:rsidP="009E2DAE">
      <w:pPr>
        <w:spacing w:line="360" w:lineRule="auto"/>
        <w:jc w:val="both"/>
        <w:rPr>
          <w:rFonts w:ascii="Arial" w:hAnsi="Arial" w:cs="Arial"/>
          <w:i/>
          <w:iCs/>
        </w:rPr>
      </w:pPr>
    </w:p>
    <w:p w14:paraId="19127535" w14:textId="77777777" w:rsidR="009E2DAE" w:rsidRPr="003125FD" w:rsidRDefault="009E2DAE" w:rsidP="009E2DAE">
      <w:pPr>
        <w:spacing w:line="360" w:lineRule="auto"/>
        <w:jc w:val="both"/>
        <w:rPr>
          <w:rFonts w:ascii="Arial" w:hAnsi="Arial" w:cs="Arial"/>
        </w:rPr>
      </w:pPr>
      <w:r w:rsidRPr="003125FD">
        <w:rPr>
          <w:rFonts w:ascii="Arial" w:hAnsi="Arial" w:cs="Arial"/>
        </w:rPr>
        <w:t>Sobre el particular, el Consejo de Estado ha dicho:</w:t>
      </w:r>
    </w:p>
    <w:p w14:paraId="7427365C" w14:textId="77777777" w:rsidR="009E2DAE" w:rsidRPr="003125FD" w:rsidRDefault="009E2DAE" w:rsidP="009E2DAE">
      <w:pPr>
        <w:spacing w:line="360" w:lineRule="auto"/>
        <w:jc w:val="both"/>
        <w:rPr>
          <w:rFonts w:ascii="Arial" w:hAnsi="Arial" w:cs="Arial"/>
        </w:rPr>
      </w:pPr>
    </w:p>
    <w:p w14:paraId="1F5D6BE6" w14:textId="77777777" w:rsidR="009E2DAE" w:rsidRPr="003125FD" w:rsidRDefault="009E2DAE" w:rsidP="0081404B">
      <w:pPr>
        <w:spacing w:line="360" w:lineRule="auto"/>
        <w:ind w:left="709"/>
        <w:jc w:val="both"/>
        <w:rPr>
          <w:rFonts w:ascii="Arial" w:hAnsi="Arial" w:cs="Arial"/>
          <w:i/>
          <w:iCs/>
          <w:sz w:val="20"/>
          <w:szCs w:val="20"/>
        </w:rPr>
      </w:pPr>
      <w:r w:rsidRPr="003125FD">
        <w:rPr>
          <w:rFonts w:ascii="Arial" w:hAnsi="Arial" w:cs="Arial"/>
          <w:i/>
          <w:iCs/>
          <w:sz w:val="20"/>
          <w:szCs w:val="20"/>
        </w:rPr>
        <w:t xml:space="preserve">“Sobre el tema de la concausa, esta Corporación ha sostenido que </w:t>
      </w:r>
      <w:r w:rsidRPr="003125FD">
        <w:rPr>
          <w:rFonts w:ascii="Arial" w:hAnsi="Arial" w:cs="Arial"/>
          <w:b/>
          <w:bCs/>
          <w:i/>
          <w:iCs/>
          <w:sz w:val="20"/>
          <w:szCs w:val="20"/>
        </w:rPr>
        <w:t xml:space="preserve">el comportamiento de la víctima </w:t>
      </w:r>
      <w:r w:rsidRPr="003125FD">
        <w:rPr>
          <w:rFonts w:ascii="Arial" w:hAnsi="Arial" w:cs="Arial"/>
          <w:b/>
          <w:bCs/>
          <w:i/>
          <w:iCs/>
          <w:sz w:val="20"/>
          <w:szCs w:val="20"/>
        </w:rPr>
        <w:lastRenderedPageBreak/>
        <w:t xml:space="preserve">habilita al juzgador para reducir el </w:t>
      </w:r>
      <w:proofErr w:type="spellStart"/>
      <w:r w:rsidRPr="003125FD">
        <w:rPr>
          <w:rFonts w:ascii="Arial" w:hAnsi="Arial" w:cs="Arial"/>
          <w:b/>
          <w:bCs/>
          <w:i/>
          <w:iCs/>
          <w:sz w:val="20"/>
          <w:szCs w:val="20"/>
        </w:rPr>
        <w:t>quántum</w:t>
      </w:r>
      <w:proofErr w:type="spellEnd"/>
      <w:r w:rsidRPr="003125FD">
        <w:rPr>
          <w:rFonts w:ascii="Arial" w:hAnsi="Arial" w:cs="Arial"/>
          <w:b/>
          <w:bCs/>
          <w:i/>
          <w:iCs/>
          <w:sz w:val="20"/>
          <w:szCs w:val="20"/>
        </w:rPr>
        <w:t xml:space="preserve"> indemnizatorio (artículo 2357 del Código Civil) en la medida en que la misma hubiere dado lugar al daño; es decir, cuando la conducta de los perjudicados participa de manera cierta y eficaz en el desenlace del resultado.</w:t>
      </w:r>
      <w:r w:rsidRPr="003125FD">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w:t>
      </w:r>
      <w:proofErr w:type="spellStart"/>
      <w:r w:rsidRPr="003125FD">
        <w:rPr>
          <w:rFonts w:ascii="Arial" w:hAnsi="Arial" w:cs="Arial"/>
          <w:i/>
          <w:iCs/>
          <w:sz w:val="20"/>
          <w:szCs w:val="20"/>
        </w:rPr>
        <w:t>quántum</w:t>
      </w:r>
      <w:proofErr w:type="spellEnd"/>
      <w:r w:rsidRPr="003125FD">
        <w:rPr>
          <w:rFonts w:ascii="Arial" w:hAnsi="Arial" w:cs="Arial"/>
          <w:i/>
          <w:iCs/>
          <w:sz w:val="20"/>
          <w:szCs w:val="20"/>
        </w:rPr>
        <w:t xml:space="preserve"> indemnizatorio, a condición de que su comportamiento adquiera las notas características para configurar una </w:t>
      </w:r>
      <w:proofErr w:type="spellStart"/>
      <w:r w:rsidRPr="003125FD">
        <w:rPr>
          <w:rFonts w:ascii="Arial" w:hAnsi="Arial" w:cs="Arial"/>
          <w:i/>
          <w:iCs/>
          <w:sz w:val="20"/>
          <w:szCs w:val="20"/>
        </w:rPr>
        <w:t>co-causación</w:t>
      </w:r>
      <w:proofErr w:type="spellEnd"/>
      <w:r w:rsidRPr="003125FD">
        <w:rPr>
          <w:rFonts w:ascii="Arial" w:hAnsi="Arial" w:cs="Arial"/>
          <w:i/>
          <w:iCs/>
          <w:sz w:val="20"/>
          <w:szCs w:val="20"/>
        </w:rPr>
        <w:t xml:space="preserve"> del daño”</w:t>
      </w:r>
      <w:r w:rsidRPr="003125FD">
        <w:rPr>
          <w:rStyle w:val="Refdenotaalpie"/>
          <w:rFonts w:ascii="Arial" w:hAnsi="Arial" w:cs="Arial"/>
          <w:i/>
          <w:iCs/>
          <w:sz w:val="20"/>
          <w:szCs w:val="20"/>
        </w:rPr>
        <w:footnoteReference w:id="7"/>
      </w:r>
      <w:r w:rsidRPr="003125FD">
        <w:rPr>
          <w:rFonts w:ascii="Arial" w:hAnsi="Arial" w:cs="Arial"/>
          <w:i/>
          <w:iCs/>
          <w:sz w:val="20"/>
          <w:szCs w:val="20"/>
        </w:rPr>
        <w:t>.</w:t>
      </w:r>
    </w:p>
    <w:p w14:paraId="5E010F6C" w14:textId="77777777" w:rsidR="009E2DAE" w:rsidRPr="003125FD" w:rsidRDefault="009E2DAE" w:rsidP="009E2DAE">
      <w:pPr>
        <w:spacing w:line="360" w:lineRule="auto"/>
        <w:jc w:val="both"/>
        <w:rPr>
          <w:rFonts w:ascii="Arial" w:hAnsi="Arial" w:cs="Arial"/>
        </w:rPr>
      </w:pPr>
    </w:p>
    <w:p w14:paraId="69B99D44" w14:textId="4AE010DA" w:rsidR="009E2DAE" w:rsidRPr="003125FD" w:rsidRDefault="009E2DAE" w:rsidP="009E2DAE">
      <w:pPr>
        <w:spacing w:line="360" w:lineRule="auto"/>
        <w:jc w:val="both"/>
        <w:rPr>
          <w:rFonts w:ascii="Arial" w:hAnsi="Arial" w:cs="Arial"/>
        </w:rPr>
      </w:pPr>
      <w:r w:rsidRPr="003125FD">
        <w:rPr>
          <w:rFonts w:ascii="Arial" w:hAnsi="Arial" w:cs="Arial"/>
        </w:rPr>
        <w:t>Entonces, de los argumentos antes señalados se deriva la participación de</w:t>
      </w:r>
      <w:r>
        <w:rPr>
          <w:rFonts w:ascii="Arial" w:hAnsi="Arial" w:cs="Arial"/>
        </w:rPr>
        <w:t xml:space="preserve">l tercero </w:t>
      </w:r>
      <w:r w:rsidRPr="003125FD">
        <w:rPr>
          <w:rFonts w:ascii="Arial" w:hAnsi="Arial" w:cs="Arial"/>
        </w:rPr>
        <w:t xml:space="preserve">en la </w:t>
      </w:r>
      <w:proofErr w:type="spellStart"/>
      <w:r w:rsidRPr="003125FD">
        <w:rPr>
          <w:rFonts w:ascii="Arial" w:hAnsi="Arial" w:cs="Arial"/>
        </w:rPr>
        <w:t>causación</w:t>
      </w:r>
      <w:proofErr w:type="spellEnd"/>
      <w:r w:rsidRPr="003125FD">
        <w:rPr>
          <w:rFonts w:ascii="Arial" w:hAnsi="Arial" w:cs="Arial"/>
        </w:rPr>
        <w:t xml:space="preserve"> del daño, por cuanto </w:t>
      </w:r>
      <w:r w:rsidR="0081404B">
        <w:rPr>
          <w:rFonts w:ascii="Arial" w:hAnsi="Arial" w:cs="Arial"/>
        </w:rPr>
        <w:t xml:space="preserve">el señor Gustavo Rodríguez en su condición de peatón, actúo de manera imprudente al atravesar la avenida mientras el semáforo de su intersección indicaba con la luz en rojo, que dicha acción estaba prohibida en ese momento particular, ello derivó en la situación que </w:t>
      </w:r>
      <w:r w:rsidR="00F22995">
        <w:rPr>
          <w:rFonts w:ascii="Arial" w:hAnsi="Arial" w:cs="Arial"/>
        </w:rPr>
        <w:t>dio sustento al caso que nos ocupa</w:t>
      </w:r>
      <w:r w:rsidRPr="003125FD">
        <w:rPr>
          <w:rFonts w:ascii="Arial" w:hAnsi="Arial" w:cs="Arial"/>
        </w:rPr>
        <w:t xml:space="preserve">. </w:t>
      </w:r>
    </w:p>
    <w:p w14:paraId="10D31D49" w14:textId="77777777" w:rsidR="009E2DAE" w:rsidRPr="003125FD" w:rsidRDefault="009E2DAE" w:rsidP="009E2DAE">
      <w:pPr>
        <w:spacing w:line="360" w:lineRule="auto"/>
        <w:jc w:val="both"/>
        <w:rPr>
          <w:rFonts w:ascii="Arial" w:hAnsi="Arial" w:cs="Arial"/>
        </w:rPr>
      </w:pPr>
    </w:p>
    <w:p w14:paraId="0E173C5C" w14:textId="77777777" w:rsidR="009E2DAE" w:rsidRPr="003125FD" w:rsidRDefault="009E2DAE" w:rsidP="009E2DAE">
      <w:pPr>
        <w:spacing w:line="360" w:lineRule="auto"/>
        <w:jc w:val="both"/>
        <w:rPr>
          <w:rFonts w:ascii="Arial" w:hAnsi="Arial" w:cs="Arial"/>
        </w:rPr>
      </w:pPr>
      <w:r w:rsidRPr="003125FD">
        <w:rPr>
          <w:rFonts w:ascii="Arial" w:hAnsi="Arial" w:cs="Arial"/>
        </w:rPr>
        <w:t xml:space="preserve">En conclusión, sea o no la causa adecuada del daño, lo cierto es que la conducta de las víctimas incidió en la causalidad de los hechos materia de debate, de manera que, de no eximir de responsabilidad a los demandados, deberá ser objeto de valoración para que se reduzca la condena de estos. </w:t>
      </w:r>
    </w:p>
    <w:p w14:paraId="373A41AF" w14:textId="77777777" w:rsidR="009E2DAE" w:rsidRPr="003125FD" w:rsidRDefault="009E2DAE" w:rsidP="0089275F">
      <w:pPr>
        <w:spacing w:line="360" w:lineRule="auto"/>
        <w:jc w:val="both"/>
        <w:rPr>
          <w:rFonts w:ascii="Arial" w:eastAsia="Arial" w:hAnsi="Arial" w:cs="Arial"/>
          <w:color w:val="000000" w:themeColor="text1"/>
        </w:rPr>
      </w:pPr>
    </w:p>
    <w:p w14:paraId="06731E21" w14:textId="207C58D4" w:rsidR="00B851F2" w:rsidRPr="00C075B3" w:rsidRDefault="00B851F2" w:rsidP="003125FD">
      <w:pPr>
        <w:pStyle w:val="Prrafodelista"/>
        <w:numPr>
          <w:ilvl w:val="0"/>
          <w:numId w:val="30"/>
        </w:numPr>
        <w:spacing w:after="160" w:line="360" w:lineRule="auto"/>
        <w:jc w:val="both"/>
        <w:rPr>
          <w:rFonts w:ascii="Arial" w:eastAsia="Arial" w:hAnsi="Arial" w:cs="Arial"/>
          <w:b/>
          <w:bCs/>
          <w:color w:val="000000" w:themeColor="text1"/>
        </w:rPr>
      </w:pPr>
      <w:r w:rsidRPr="00C075B3">
        <w:rPr>
          <w:rFonts w:ascii="Arial" w:eastAsia="Arial" w:hAnsi="Arial" w:cs="Arial"/>
          <w:b/>
          <w:bCs/>
          <w:color w:val="000000" w:themeColor="text1"/>
          <w:lang w:val="es-ES"/>
        </w:rPr>
        <w:t>FALTA DE ACREDITACIÓN PROBATORIA DE LOS PERJUICIOS Y EXAGERADA TASACIÓN DE ESTOS</w:t>
      </w:r>
    </w:p>
    <w:p w14:paraId="09579A3B" w14:textId="77777777" w:rsidR="00B851F2" w:rsidRPr="004551BE" w:rsidRDefault="00B851F2" w:rsidP="00B851F2">
      <w:pPr>
        <w:pStyle w:val="Prrafodelista"/>
        <w:spacing w:after="0" w:line="360" w:lineRule="auto"/>
        <w:jc w:val="both"/>
        <w:rPr>
          <w:rFonts w:ascii="Arial" w:eastAsia="Arial" w:hAnsi="Arial" w:cs="Arial"/>
          <w:color w:val="000000" w:themeColor="text1"/>
        </w:rPr>
      </w:pPr>
    </w:p>
    <w:p w14:paraId="00C46C6E" w14:textId="77C6935D" w:rsidR="00B851F2" w:rsidRDefault="00B851F2" w:rsidP="006476D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demostró la existencia de los perjuicios materiales e inmateriales que solicita, pues i) no aportó </w:t>
      </w:r>
      <w:r>
        <w:rPr>
          <w:rFonts w:ascii="Arial" w:eastAsia="Arial" w:hAnsi="Arial" w:cs="Arial"/>
          <w:color w:val="000000" w:themeColor="text1"/>
        </w:rPr>
        <w:t>material probatorio idóneo que permitiera establecer los ingresos del demandante</w:t>
      </w:r>
      <w:r w:rsidR="00D63BE7">
        <w:rPr>
          <w:rFonts w:ascii="Arial" w:eastAsia="Arial" w:hAnsi="Arial" w:cs="Arial"/>
          <w:color w:val="000000" w:themeColor="text1"/>
        </w:rPr>
        <w:t>,</w:t>
      </w:r>
      <w:r w:rsidRPr="004551BE">
        <w:rPr>
          <w:rFonts w:ascii="Arial" w:eastAsia="Arial" w:hAnsi="Arial" w:cs="Arial"/>
          <w:color w:val="000000" w:themeColor="text1"/>
        </w:rPr>
        <w:t xml:space="preserve"> </w:t>
      </w:r>
      <w:proofErr w:type="spellStart"/>
      <w:r w:rsidRPr="004551BE">
        <w:rPr>
          <w:rFonts w:ascii="Arial" w:eastAsia="Arial" w:hAnsi="Arial" w:cs="Arial"/>
          <w:color w:val="000000" w:themeColor="text1"/>
        </w:rPr>
        <w:t>ii</w:t>
      </w:r>
      <w:proofErr w:type="spellEnd"/>
      <w:r w:rsidRPr="004551BE">
        <w:rPr>
          <w:rFonts w:ascii="Arial" w:eastAsia="Arial" w:hAnsi="Arial" w:cs="Arial"/>
          <w:color w:val="000000" w:themeColor="text1"/>
        </w:rPr>
        <w:t xml:space="preserve">) </w:t>
      </w:r>
      <w:r w:rsidR="00D63BE7">
        <w:rPr>
          <w:rFonts w:ascii="Arial" w:eastAsia="Arial" w:hAnsi="Arial" w:cs="Arial"/>
          <w:color w:val="000000" w:themeColor="text1"/>
        </w:rPr>
        <w:t>l</w:t>
      </w:r>
      <w:r w:rsidR="00904171">
        <w:rPr>
          <w:rFonts w:ascii="Arial" w:eastAsia="Arial" w:hAnsi="Arial" w:cs="Arial"/>
          <w:color w:val="000000" w:themeColor="text1"/>
        </w:rPr>
        <w:t>os elementos probatorios relacionados a</w:t>
      </w:r>
      <w:r w:rsidR="00D63BE7">
        <w:rPr>
          <w:rFonts w:ascii="Arial" w:eastAsia="Arial" w:hAnsi="Arial" w:cs="Arial"/>
          <w:color w:val="000000" w:themeColor="text1"/>
        </w:rPr>
        <w:t>l daño emergente no se erigen como idóneos para establecer la real existencia de los daños alegados y</w:t>
      </w:r>
      <w:r w:rsidR="009E2DAE">
        <w:rPr>
          <w:rFonts w:ascii="Arial" w:eastAsia="Arial" w:hAnsi="Arial" w:cs="Arial"/>
          <w:color w:val="000000" w:themeColor="text1"/>
        </w:rPr>
        <w:t>,</w:t>
      </w:r>
      <w:r w:rsidR="00D63BE7">
        <w:rPr>
          <w:rFonts w:ascii="Arial" w:eastAsia="Arial" w:hAnsi="Arial" w:cs="Arial"/>
          <w:color w:val="000000" w:themeColor="text1"/>
        </w:rPr>
        <w:t xml:space="preserve"> </w:t>
      </w:r>
      <w:proofErr w:type="spellStart"/>
      <w:r w:rsidR="00D63BE7">
        <w:rPr>
          <w:rFonts w:ascii="Arial" w:eastAsia="Arial" w:hAnsi="Arial" w:cs="Arial"/>
          <w:color w:val="000000" w:themeColor="text1"/>
        </w:rPr>
        <w:t>iii</w:t>
      </w:r>
      <w:proofErr w:type="spellEnd"/>
      <w:r w:rsidR="00D63BE7">
        <w:rPr>
          <w:rFonts w:ascii="Arial" w:eastAsia="Arial" w:hAnsi="Arial" w:cs="Arial"/>
          <w:color w:val="000000" w:themeColor="text1"/>
        </w:rPr>
        <w:t xml:space="preserve">) no se probó la </w:t>
      </w:r>
      <w:r w:rsidR="008137DC">
        <w:rPr>
          <w:rFonts w:ascii="Arial" w:eastAsia="Arial" w:hAnsi="Arial" w:cs="Arial"/>
          <w:color w:val="000000" w:themeColor="text1"/>
        </w:rPr>
        <w:t>existencia de un vínculo conyugal que faculte a una de las demandantes para las exigencias realizadas</w:t>
      </w:r>
      <w:r>
        <w:rPr>
          <w:rFonts w:ascii="Arial" w:eastAsia="Arial" w:hAnsi="Arial" w:cs="Arial"/>
          <w:color w:val="000000" w:themeColor="text1"/>
        </w:rPr>
        <w:t xml:space="preserve">. </w:t>
      </w:r>
    </w:p>
    <w:p w14:paraId="0A8064C6" w14:textId="77777777" w:rsidR="00B851F2" w:rsidRPr="004551BE" w:rsidRDefault="00B851F2" w:rsidP="00B851F2">
      <w:pPr>
        <w:spacing w:line="360" w:lineRule="auto"/>
        <w:jc w:val="both"/>
        <w:rPr>
          <w:rFonts w:ascii="Arial" w:eastAsia="Arial" w:hAnsi="Arial" w:cs="Arial"/>
          <w:color w:val="000000" w:themeColor="text1"/>
        </w:rPr>
      </w:pPr>
    </w:p>
    <w:p w14:paraId="4BC288FD" w14:textId="48D1F564" w:rsidR="009E2DAE" w:rsidRPr="003125FD" w:rsidRDefault="008137DC" w:rsidP="009E2DAE">
      <w:pPr>
        <w:pStyle w:val="Prrafodelista"/>
        <w:numPr>
          <w:ilvl w:val="0"/>
          <w:numId w:val="27"/>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Frente al perjuicio de daño emergente</w:t>
      </w:r>
    </w:p>
    <w:p w14:paraId="5B011620" w14:textId="0EAFB569" w:rsidR="00AD73E0" w:rsidRDefault="008137DC" w:rsidP="009E2DAE">
      <w:pPr>
        <w:spacing w:line="360" w:lineRule="auto"/>
        <w:jc w:val="both"/>
        <w:rPr>
          <w:rFonts w:ascii="Arial" w:eastAsia="Arial" w:hAnsi="Arial" w:cs="Arial"/>
          <w:color w:val="000000" w:themeColor="text1"/>
        </w:rPr>
      </w:pPr>
      <w:r>
        <w:rPr>
          <w:rFonts w:ascii="Arial" w:eastAsia="Arial" w:hAnsi="Arial" w:cs="Arial"/>
          <w:color w:val="000000" w:themeColor="text1"/>
        </w:rPr>
        <w:t>Los accion</w:t>
      </w:r>
      <w:r w:rsidR="009E2DAE">
        <w:rPr>
          <w:rFonts w:ascii="Arial" w:eastAsia="Arial" w:hAnsi="Arial" w:cs="Arial"/>
          <w:color w:val="000000" w:themeColor="text1"/>
        </w:rPr>
        <w:t>antes</w:t>
      </w:r>
      <w:r>
        <w:rPr>
          <w:rFonts w:ascii="Arial" w:eastAsia="Arial" w:hAnsi="Arial" w:cs="Arial"/>
          <w:color w:val="000000" w:themeColor="text1"/>
        </w:rPr>
        <w:t xml:space="preserve"> pretenden en relación con este aspecto, el reconocimiento de d</w:t>
      </w:r>
      <w:r w:rsidRPr="008137DC">
        <w:rPr>
          <w:rFonts w:ascii="Arial" w:eastAsia="Arial" w:hAnsi="Arial" w:cs="Arial"/>
          <w:color w:val="000000" w:themeColor="text1"/>
        </w:rPr>
        <w:t xml:space="preserve">iez </w:t>
      </w:r>
      <w:r>
        <w:rPr>
          <w:rFonts w:ascii="Arial" w:eastAsia="Arial" w:hAnsi="Arial" w:cs="Arial"/>
          <w:color w:val="000000" w:themeColor="text1"/>
        </w:rPr>
        <w:t>m</w:t>
      </w:r>
      <w:r w:rsidRPr="008137DC">
        <w:rPr>
          <w:rFonts w:ascii="Arial" w:eastAsia="Arial" w:hAnsi="Arial" w:cs="Arial"/>
          <w:color w:val="000000" w:themeColor="text1"/>
        </w:rPr>
        <w:t xml:space="preserve">illones </w:t>
      </w:r>
      <w:r>
        <w:rPr>
          <w:rFonts w:ascii="Arial" w:eastAsia="Arial" w:hAnsi="Arial" w:cs="Arial"/>
          <w:color w:val="000000" w:themeColor="text1"/>
        </w:rPr>
        <w:t>d</w:t>
      </w:r>
      <w:r w:rsidRPr="008137DC">
        <w:rPr>
          <w:rFonts w:ascii="Arial" w:eastAsia="Arial" w:hAnsi="Arial" w:cs="Arial"/>
          <w:color w:val="000000" w:themeColor="text1"/>
        </w:rPr>
        <w:t xml:space="preserve">oscientos </w:t>
      </w:r>
      <w:r>
        <w:rPr>
          <w:rFonts w:ascii="Arial" w:eastAsia="Arial" w:hAnsi="Arial" w:cs="Arial"/>
          <w:color w:val="000000" w:themeColor="text1"/>
        </w:rPr>
        <w:t>c</w:t>
      </w:r>
      <w:r w:rsidRPr="008137DC">
        <w:rPr>
          <w:rFonts w:ascii="Arial" w:eastAsia="Arial" w:hAnsi="Arial" w:cs="Arial"/>
          <w:color w:val="000000" w:themeColor="text1"/>
        </w:rPr>
        <w:t xml:space="preserve">uarenta y </w:t>
      </w:r>
      <w:r>
        <w:rPr>
          <w:rFonts w:ascii="Arial" w:eastAsia="Arial" w:hAnsi="Arial" w:cs="Arial"/>
          <w:color w:val="000000" w:themeColor="text1"/>
        </w:rPr>
        <w:t>c</w:t>
      </w:r>
      <w:r w:rsidRPr="008137DC">
        <w:rPr>
          <w:rFonts w:ascii="Arial" w:eastAsia="Arial" w:hAnsi="Arial" w:cs="Arial"/>
          <w:color w:val="000000" w:themeColor="text1"/>
        </w:rPr>
        <w:t xml:space="preserve">uatro </w:t>
      </w:r>
      <w:r>
        <w:rPr>
          <w:rFonts w:ascii="Arial" w:eastAsia="Arial" w:hAnsi="Arial" w:cs="Arial"/>
          <w:color w:val="000000" w:themeColor="text1"/>
        </w:rPr>
        <w:t>m</w:t>
      </w:r>
      <w:r w:rsidRPr="008137DC">
        <w:rPr>
          <w:rFonts w:ascii="Arial" w:eastAsia="Arial" w:hAnsi="Arial" w:cs="Arial"/>
          <w:color w:val="000000" w:themeColor="text1"/>
        </w:rPr>
        <w:t xml:space="preserve">il </w:t>
      </w:r>
      <w:r>
        <w:rPr>
          <w:rFonts w:ascii="Arial" w:eastAsia="Arial" w:hAnsi="Arial" w:cs="Arial"/>
          <w:color w:val="000000" w:themeColor="text1"/>
        </w:rPr>
        <w:t>q</w:t>
      </w:r>
      <w:r w:rsidRPr="008137DC">
        <w:rPr>
          <w:rFonts w:ascii="Arial" w:eastAsia="Arial" w:hAnsi="Arial" w:cs="Arial"/>
          <w:color w:val="000000" w:themeColor="text1"/>
        </w:rPr>
        <w:t xml:space="preserve">uinientos </w:t>
      </w:r>
      <w:r>
        <w:rPr>
          <w:rFonts w:ascii="Arial" w:eastAsia="Arial" w:hAnsi="Arial" w:cs="Arial"/>
          <w:color w:val="000000" w:themeColor="text1"/>
        </w:rPr>
        <w:t>p</w:t>
      </w:r>
      <w:r w:rsidRPr="008137DC">
        <w:rPr>
          <w:rFonts w:ascii="Arial" w:eastAsia="Arial" w:hAnsi="Arial" w:cs="Arial"/>
          <w:color w:val="000000" w:themeColor="text1"/>
        </w:rPr>
        <w:t>esos</w:t>
      </w:r>
      <w:r>
        <w:rPr>
          <w:rFonts w:ascii="Arial" w:eastAsia="Arial" w:hAnsi="Arial" w:cs="Arial"/>
          <w:color w:val="000000" w:themeColor="text1"/>
        </w:rPr>
        <w:t xml:space="preserve"> </w:t>
      </w:r>
      <w:r w:rsidRPr="008137DC">
        <w:rPr>
          <w:rFonts w:ascii="Arial" w:eastAsia="Arial" w:hAnsi="Arial" w:cs="Arial"/>
          <w:color w:val="000000" w:themeColor="text1"/>
        </w:rPr>
        <w:t xml:space="preserve">($10.244.500) </w:t>
      </w:r>
      <w:r>
        <w:rPr>
          <w:rFonts w:ascii="Arial" w:eastAsia="Arial" w:hAnsi="Arial" w:cs="Arial"/>
          <w:color w:val="000000" w:themeColor="text1"/>
        </w:rPr>
        <w:t>m</w:t>
      </w:r>
      <w:r w:rsidRPr="008137DC">
        <w:rPr>
          <w:rFonts w:ascii="Arial" w:eastAsia="Arial" w:hAnsi="Arial" w:cs="Arial"/>
          <w:color w:val="000000" w:themeColor="text1"/>
        </w:rPr>
        <w:t xml:space="preserve">/cte., valor que </w:t>
      </w:r>
      <w:r>
        <w:rPr>
          <w:rFonts w:ascii="Arial" w:eastAsia="Arial" w:hAnsi="Arial" w:cs="Arial"/>
          <w:color w:val="000000" w:themeColor="text1"/>
        </w:rPr>
        <w:t xml:space="preserve">indican en el escrito petitorio, </w:t>
      </w:r>
      <w:r w:rsidRPr="008137DC">
        <w:rPr>
          <w:rFonts w:ascii="Arial" w:eastAsia="Arial" w:hAnsi="Arial" w:cs="Arial"/>
          <w:color w:val="000000" w:themeColor="text1"/>
        </w:rPr>
        <w:t xml:space="preserve">corresponde a los gastos </w:t>
      </w:r>
      <w:r>
        <w:rPr>
          <w:rFonts w:ascii="Arial" w:eastAsia="Arial" w:hAnsi="Arial" w:cs="Arial"/>
          <w:color w:val="000000" w:themeColor="text1"/>
        </w:rPr>
        <w:t xml:space="preserve">asumidos por </w:t>
      </w:r>
      <w:r w:rsidRPr="008137DC">
        <w:rPr>
          <w:rFonts w:ascii="Arial" w:eastAsia="Arial" w:hAnsi="Arial" w:cs="Arial"/>
          <w:color w:val="000000" w:themeColor="text1"/>
        </w:rPr>
        <w:t>transporte a las</w:t>
      </w:r>
      <w:r>
        <w:rPr>
          <w:rFonts w:ascii="Arial" w:eastAsia="Arial" w:hAnsi="Arial" w:cs="Arial"/>
          <w:color w:val="000000" w:themeColor="text1"/>
        </w:rPr>
        <w:t xml:space="preserve"> </w:t>
      </w:r>
      <w:r w:rsidRPr="008137DC">
        <w:rPr>
          <w:rFonts w:ascii="Arial" w:eastAsia="Arial" w:hAnsi="Arial" w:cs="Arial"/>
          <w:color w:val="000000" w:themeColor="text1"/>
        </w:rPr>
        <w:t>diferentes citas médicas, terapia física, y pago de salario por concepto de oficios</w:t>
      </w:r>
      <w:r>
        <w:rPr>
          <w:rFonts w:ascii="Arial" w:eastAsia="Arial" w:hAnsi="Arial" w:cs="Arial"/>
          <w:color w:val="000000" w:themeColor="text1"/>
        </w:rPr>
        <w:t xml:space="preserve"> </w:t>
      </w:r>
      <w:r w:rsidRPr="008137DC">
        <w:rPr>
          <w:rFonts w:ascii="Arial" w:eastAsia="Arial" w:hAnsi="Arial" w:cs="Arial"/>
          <w:color w:val="000000" w:themeColor="text1"/>
        </w:rPr>
        <w:t>varios</w:t>
      </w:r>
      <w:r w:rsidR="00BE6A87">
        <w:rPr>
          <w:rFonts w:ascii="Arial" w:eastAsia="Arial" w:hAnsi="Arial" w:cs="Arial"/>
          <w:color w:val="000000" w:themeColor="text1"/>
        </w:rPr>
        <w:t xml:space="preserve"> como se ve a continuación</w:t>
      </w:r>
      <w:r w:rsidR="00AD73E0">
        <w:rPr>
          <w:rFonts w:ascii="Arial" w:eastAsia="Arial" w:hAnsi="Arial" w:cs="Arial"/>
          <w:color w:val="000000" w:themeColor="text1"/>
        </w:rPr>
        <w:t>”:</w:t>
      </w:r>
    </w:p>
    <w:p w14:paraId="52B21D29" w14:textId="77777777" w:rsidR="00AD73E0" w:rsidRDefault="00AD73E0" w:rsidP="003125FD">
      <w:pPr>
        <w:spacing w:line="360" w:lineRule="auto"/>
        <w:jc w:val="both"/>
        <w:rPr>
          <w:rFonts w:ascii="Arial" w:eastAsia="Arial" w:hAnsi="Arial" w:cs="Arial"/>
          <w:color w:val="000000" w:themeColor="text1"/>
        </w:rPr>
      </w:pPr>
    </w:p>
    <w:p w14:paraId="6631251B" w14:textId="22EB962A"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lastRenderedPageBreak/>
        <w:drawing>
          <wp:inline distT="0" distB="0" distL="0" distR="0" wp14:anchorId="42EC880C" wp14:editId="29324B76">
            <wp:extent cx="6116320" cy="3038475"/>
            <wp:effectExtent l="0" t="0" r="0" b="9525"/>
            <wp:docPr id="17815017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1727" name="Imagen 1" descr="Texto&#10;&#10;Descripción generada automáticamente"/>
                    <pic:cNvPicPr/>
                  </pic:nvPicPr>
                  <pic:blipFill>
                    <a:blip r:embed="rId10"/>
                    <a:stretch>
                      <a:fillRect/>
                    </a:stretch>
                  </pic:blipFill>
                  <pic:spPr>
                    <a:xfrm>
                      <a:off x="0" y="0"/>
                      <a:ext cx="6116320" cy="3038475"/>
                    </a:xfrm>
                    <a:prstGeom prst="rect">
                      <a:avLst/>
                    </a:prstGeom>
                  </pic:spPr>
                </pic:pic>
              </a:graphicData>
            </a:graphic>
          </wp:inline>
        </w:drawing>
      </w:r>
    </w:p>
    <w:p w14:paraId="6DBEEDAF" w14:textId="678237AD"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drawing>
          <wp:inline distT="0" distB="0" distL="0" distR="0" wp14:anchorId="099ED2ED" wp14:editId="0EC795F6">
            <wp:extent cx="6116320" cy="2263775"/>
            <wp:effectExtent l="0" t="0" r="0" b="3175"/>
            <wp:docPr id="801652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2189" name="Imagen 1" descr="Texto&#10;&#10;Descripción generada automáticamente"/>
                    <pic:cNvPicPr/>
                  </pic:nvPicPr>
                  <pic:blipFill>
                    <a:blip r:embed="rId11"/>
                    <a:stretch>
                      <a:fillRect/>
                    </a:stretch>
                  </pic:blipFill>
                  <pic:spPr>
                    <a:xfrm>
                      <a:off x="0" y="0"/>
                      <a:ext cx="6116320" cy="2263775"/>
                    </a:xfrm>
                    <a:prstGeom prst="rect">
                      <a:avLst/>
                    </a:prstGeom>
                  </pic:spPr>
                </pic:pic>
              </a:graphicData>
            </a:graphic>
          </wp:inline>
        </w:drawing>
      </w:r>
    </w:p>
    <w:p w14:paraId="42DF87AA" w14:textId="2A5B980F" w:rsidR="008137DC" w:rsidRDefault="00BE6A87" w:rsidP="003125FD">
      <w:pPr>
        <w:spacing w:line="360" w:lineRule="auto"/>
        <w:jc w:val="both"/>
        <w:rPr>
          <w:rFonts w:ascii="Arial" w:eastAsia="Arial" w:hAnsi="Arial" w:cs="Arial"/>
          <w:color w:val="000000" w:themeColor="text1"/>
        </w:rPr>
      </w:pPr>
      <w:r>
        <w:rPr>
          <w:rFonts w:ascii="Arial" w:eastAsia="Arial" w:hAnsi="Arial" w:cs="Arial"/>
          <w:color w:val="000000" w:themeColor="text1"/>
        </w:rPr>
        <w:t>Como se advierte, p</w:t>
      </w:r>
      <w:r w:rsidR="00D4102D">
        <w:rPr>
          <w:rFonts w:ascii="Arial" w:eastAsia="Arial" w:hAnsi="Arial" w:cs="Arial"/>
          <w:color w:val="000000" w:themeColor="text1"/>
        </w:rPr>
        <w:t xml:space="preserve">ara </w:t>
      </w:r>
      <w:r>
        <w:rPr>
          <w:rFonts w:ascii="Arial" w:eastAsia="Arial" w:hAnsi="Arial" w:cs="Arial"/>
          <w:color w:val="000000" w:themeColor="text1"/>
        </w:rPr>
        <w:t>el</w:t>
      </w:r>
      <w:r w:rsidR="00D4102D">
        <w:rPr>
          <w:rFonts w:ascii="Arial" w:eastAsia="Arial" w:hAnsi="Arial" w:cs="Arial"/>
          <w:color w:val="000000" w:themeColor="text1"/>
        </w:rPr>
        <w:t xml:space="preserve"> sustento </w:t>
      </w:r>
      <w:r>
        <w:rPr>
          <w:rFonts w:ascii="Arial" w:eastAsia="Arial" w:hAnsi="Arial" w:cs="Arial"/>
          <w:color w:val="000000" w:themeColor="text1"/>
        </w:rPr>
        <w:t xml:space="preserve">de tales peticiones </w:t>
      </w:r>
      <w:r w:rsidR="00D4102D">
        <w:rPr>
          <w:rFonts w:ascii="Arial" w:eastAsia="Arial" w:hAnsi="Arial" w:cs="Arial"/>
          <w:color w:val="000000" w:themeColor="text1"/>
        </w:rPr>
        <w:t>se allegan declaraciones personales realizadas por particulares que afirman</w:t>
      </w:r>
      <w:r>
        <w:rPr>
          <w:rFonts w:ascii="Arial" w:eastAsia="Arial" w:hAnsi="Arial" w:cs="Arial"/>
          <w:color w:val="000000" w:themeColor="text1"/>
        </w:rPr>
        <w:t xml:space="preserve"> que</w:t>
      </w:r>
      <w:r w:rsidR="00D4102D">
        <w:rPr>
          <w:rFonts w:ascii="Arial" w:eastAsia="Arial" w:hAnsi="Arial" w:cs="Arial"/>
          <w:color w:val="000000" w:themeColor="text1"/>
        </w:rPr>
        <w:t xml:space="preserve"> se les canceló una cierta cantidad de dinero</w:t>
      </w:r>
      <w:r>
        <w:rPr>
          <w:rFonts w:ascii="Arial" w:eastAsia="Arial" w:hAnsi="Arial" w:cs="Arial"/>
          <w:color w:val="000000" w:themeColor="text1"/>
        </w:rPr>
        <w:t xml:space="preserve"> por servicios prestados</w:t>
      </w:r>
      <w:r w:rsidR="00D4102D">
        <w:rPr>
          <w:rFonts w:ascii="Arial" w:eastAsia="Arial" w:hAnsi="Arial" w:cs="Arial"/>
          <w:color w:val="000000" w:themeColor="text1"/>
        </w:rPr>
        <w:t xml:space="preserve">, sin que pueda predicarse de dichas declaraciones que tienen la calidad de factura, </w:t>
      </w:r>
      <w:r w:rsidR="0076337F">
        <w:rPr>
          <w:rFonts w:ascii="Arial" w:eastAsia="Arial" w:hAnsi="Arial" w:cs="Arial"/>
          <w:color w:val="000000" w:themeColor="text1"/>
        </w:rPr>
        <w:t>p</w:t>
      </w:r>
      <w:r>
        <w:rPr>
          <w:rFonts w:ascii="Arial" w:eastAsia="Arial" w:hAnsi="Arial" w:cs="Arial"/>
          <w:color w:val="000000" w:themeColor="text1"/>
        </w:rPr>
        <w:t>or lo tanto,</w:t>
      </w:r>
      <w:r w:rsidR="0076337F">
        <w:rPr>
          <w:rFonts w:ascii="Arial" w:eastAsia="Arial" w:hAnsi="Arial" w:cs="Arial"/>
          <w:color w:val="000000" w:themeColor="text1"/>
        </w:rPr>
        <w:t xml:space="preserve"> máxime</w:t>
      </w:r>
      <w:r w:rsidR="00D4102D">
        <w:rPr>
          <w:rFonts w:ascii="Arial" w:eastAsia="Arial" w:hAnsi="Arial" w:cs="Arial"/>
          <w:color w:val="000000" w:themeColor="text1"/>
        </w:rPr>
        <w:t xml:space="preserve"> se p</w:t>
      </w:r>
      <w:r w:rsidR="0076337F">
        <w:rPr>
          <w:rFonts w:ascii="Arial" w:eastAsia="Arial" w:hAnsi="Arial" w:cs="Arial"/>
          <w:color w:val="000000" w:themeColor="text1"/>
        </w:rPr>
        <w:t>odrán</w:t>
      </w:r>
      <w:r w:rsidR="00D4102D">
        <w:rPr>
          <w:rFonts w:ascii="Arial" w:eastAsia="Arial" w:hAnsi="Arial" w:cs="Arial"/>
          <w:color w:val="000000" w:themeColor="text1"/>
        </w:rPr>
        <w:t xml:space="preserve"> entender como una declaración extrajudicial.</w:t>
      </w:r>
    </w:p>
    <w:p w14:paraId="215358ED" w14:textId="77777777" w:rsidR="00AD73E0" w:rsidRDefault="00AD73E0" w:rsidP="003125FD">
      <w:pPr>
        <w:spacing w:line="360" w:lineRule="auto"/>
        <w:jc w:val="both"/>
        <w:rPr>
          <w:rFonts w:ascii="Arial" w:eastAsia="Arial" w:hAnsi="Arial" w:cs="Arial"/>
          <w:color w:val="000000" w:themeColor="text1"/>
        </w:rPr>
      </w:pPr>
    </w:p>
    <w:p w14:paraId="5F7B6807" w14:textId="7711B254" w:rsidR="00D4102D" w:rsidRDefault="00D4102D"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ha dicho el H. </w:t>
      </w:r>
      <w:r w:rsidRPr="00D4102D">
        <w:rPr>
          <w:rFonts w:ascii="Arial" w:eastAsia="Arial" w:hAnsi="Arial" w:cs="Arial"/>
          <w:color w:val="000000" w:themeColor="text1"/>
        </w:rPr>
        <w:t xml:space="preserve">Consejo </w:t>
      </w:r>
      <w:r>
        <w:rPr>
          <w:rFonts w:ascii="Arial" w:eastAsia="Arial" w:hAnsi="Arial" w:cs="Arial"/>
          <w:color w:val="000000" w:themeColor="text1"/>
        </w:rPr>
        <w:t>d</w:t>
      </w:r>
      <w:r w:rsidRPr="00D4102D">
        <w:rPr>
          <w:rFonts w:ascii="Arial" w:eastAsia="Arial" w:hAnsi="Arial" w:cs="Arial"/>
          <w:color w:val="000000" w:themeColor="text1"/>
        </w:rPr>
        <w:t>e Estado</w:t>
      </w:r>
      <w:r>
        <w:rPr>
          <w:rFonts w:ascii="Arial" w:eastAsia="Arial" w:hAnsi="Arial" w:cs="Arial"/>
          <w:color w:val="000000" w:themeColor="text1"/>
        </w:rPr>
        <w:t>,</w:t>
      </w:r>
      <w:r w:rsidRPr="00D4102D">
        <w:rPr>
          <w:rFonts w:ascii="Arial" w:eastAsia="Arial" w:hAnsi="Arial" w:cs="Arial"/>
          <w:color w:val="000000" w:themeColor="text1"/>
        </w:rPr>
        <w:t xml:space="preserve"> Sala </w:t>
      </w:r>
      <w:r>
        <w:rPr>
          <w:rFonts w:ascii="Arial" w:eastAsia="Arial" w:hAnsi="Arial" w:cs="Arial"/>
          <w:color w:val="000000" w:themeColor="text1"/>
        </w:rPr>
        <w:t>d</w:t>
      </w:r>
      <w:r w:rsidRPr="00D4102D">
        <w:rPr>
          <w:rFonts w:ascii="Arial" w:eastAsia="Arial" w:hAnsi="Arial" w:cs="Arial"/>
          <w:color w:val="000000" w:themeColor="text1"/>
        </w:rPr>
        <w:t xml:space="preserve">e </w:t>
      </w:r>
      <w:r>
        <w:rPr>
          <w:rFonts w:ascii="Arial" w:eastAsia="Arial" w:hAnsi="Arial" w:cs="Arial"/>
          <w:color w:val="000000" w:themeColor="text1"/>
        </w:rPr>
        <w:t>l</w:t>
      </w:r>
      <w:r w:rsidRPr="00D4102D">
        <w:rPr>
          <w:rFonts w:ascii="Arial" w:eastAsia="Arial" w:hAnsi="Arial" w:cs="Arial"/>
          <w:color w:val="000000" w:themeColor="text1"/>
        </w:rPr>
        <w:t>o Contencioso Administrativo</w:t>
      </w:r>
      <w:r>
        <w:rPr>
          <w:rFonts w:ascii="Arial" w:eastAsia="Arial" w:hAnsi="Arial" w:cs="Arial"/>
          <w:color w:val="000000" w:themeColor="text1"/>
        </w:rPr>
        <w:t>,</w:t>
      </w:r>
      <w:r w:rsidRPr="00D4102D">
        <w:rPr>
          <w:rFonts w:ascii="Arial" w:eastAsia="Arial" w:hAnsi="Arial" w:cs="Arial"/>
          <w:color w:val="000000" w:themeColor="text1"/>
        </w:rPr>
        <w:t xml:space="preserve"> Sección Tercera</w:t>
      </w:r>
      <w:r>
        <w:rPr>
          <w:rFonts w:ascii="Arial" w:eastAsia="Arial" w:hAnsi="Arial" w:cs="Arial"/>
          <w:color w:val="000000" w:themeColor="text1"/>
        </w:rPr>
        <w:t>,</w:t>
      </w:r>
      <w:r w:rsidRPr="00D4102D">
        <w:rPr>
          <w:rFonts w:ascii="Arial" w:eastAsia="Arial" w:hAnsi="Arial" w:cs="Arial"/>
          <w:color w:val="000000" w:themeColor="text1"/>
        </w:rPr>
        <w:t xml:space="preserve"> Subsección B </w:t>
      </w:r>
      <w:r>
        <w:rPr>
          <w:rFonts w:ascii="Arial" w:eastAsia="Arial" w:hAnsi="Arial" w:cs="Arial"/>
          <w:color w:val="000000" w:themeColor="text1"/>
        </w:rPr>
        <w:t xml:space="preserve">con </w:t>
      </w:r>
      <w:r w:rsidRPr="00D4102D">
        <w:rPr>
          <w:rFonts w:ascii="Arial" w:eastAsia="Arial" w:hAnsi="Arial" w:cs="Arial"/>
          <w:color w:val="000000" w:themeColor="text1"/>
        </w:rPr>
        <w:t xml:space="preserve">Consejero ponente: Ramiro Pazos Guerrero </w:t>
      </w:r>
      <w:r>
        <w:rPr>
          <w:rFonts w:ascii="Arial" w:eastAsia="Arial" w:hAnsi="Arial" w:cs="Arial"/>
          <w:color w:val="000000" w:themeColor="text1"/>
        </w:rPr>
        <w:t>en sentencia de</w:t>
      </w:r>
      <w:r w:rsidRPr="00D4102D">
        <w:rPr>
          <w:rFonts w:ascii="Arial" w:eastAsia="Arial" w:hAnsi="Arial" w:cs="Arial"/>
          <w:color w:val="000000" w:themeColor="text1"/>
        </w:rPr>
        <w:t xml:space="preserve"> 06 de julio de 2020</w:t>
      </w:r>
      <w:r>
        <w:rPr>
          <w:rFonts w:ascii="Arial" w:eastAsia="Arial" w:hAnsi="Arial" w:cs="Arial"/>
          <w:color w:val="000000" w:themeColor="text1"/>
        </w:rPr>
        <w:t>,</w:t>
      </w:r>
      <w:r w:rsidRPr="00D4102D">
        <w:rPr>
          <w:rFonts w:ascii="Arial" w:eastAsia="Arial" w:hAnsi="Arial" w:cs="Arial"/>
          <w:color w:val="000000" w:themeColor="text1"/>
        </w:rPr>
        <w:t xml:space="preserve"> </w:t>
      </w:r>
      <w:r>
        <w:rPr>
          <w:rFonts w:ascii="Arial" w:eastAsia="Arial" w:hAnsi="Arial" w:cs="Arial"/>
          <w:color w:val="000000" w:themeColor="text1"/>
        </w:rPr>
        <w:t>r</w:t>
      </w:r>
      <w:r w:rsidRPr="00D4102D">
        <w:rPr>
          <w:rFonts w:ascii="Arial" w:eastAsia="Arial" w:hAnsi="Arial" w:cs="Arial"/>
          <w:color w:val="000000" w:themeColor="text1"/>
        </w:rPr>
        <w:t>adicación número: 13001-33-31-001-1999-00344-01(51317</w:t>
      </w:r>
      <w:r>
        <w:rPr>
          <w:rFonts w:ascii="Arial" w:eastAsia="Arial" w:hAnsi="Arial" w:cs="Arial"/>
          <w:color w:val="000000" w:themeColor="text1"/>
        </w:rPr>
        <w:t>), que:</w:t>
      </w:r>
    </w:p>
    <w:p w14:paraId="08A48F60" w14:textId="77777777" w:rsidR="00AD73E0" w:rsidRDefault="00AD73E0" w:rsidP="003125FD">
      <w:pPr>
        <w:spacing w:line="360" w:lineRule="auto"/>
        <w:jc w:val="both"/>
        <w:rPr>
          <w:rFonts w:ascii="Arial" w:eastAsia="Arial" w:hAnsi="Arial" w:cs="Arial"/>
          <w:color w:val="000000" w:themeColor="text1"/>
        </w:rPr>
      </w:pPr>
    </w:p>
    <w:p w14:paraId="34858014" w14:textId="008F5C08" w:rsidR="00D4102D" w:rsidRDefault="00D4102D" w:rsidP="006D30CE">
      <w:pPr>
        <w:spacing w:line="360" w:lineRule="auto"/>
        <w:ind w:left="851"/>
        <w:jc w:val="both"/>
        <w:rPr>
          <w:rFonts w:ascii="Arial" w:eastAsia="Arial" w:hAnsi="Arial" w:cs="Arial"/>
          <w:i/>
          <w:iCs/>
          <w:color w:val="000000" w:themeColor="text1"/>
          <w:sz w:val="20"/>
          <w:szCs w:val="20"/>
        </w:rPr>
      </w:pPr>
      <w:r w:rsidRPr="00D4102D">
        <w:rPr>
          <w:rFonts w:ascii="Arial" w:eastAsia="Arial" w:hAnsi="Arial" w:cs="Arial"/>
          <w:i/>
          <w:iCs/>
          <w:color w:val="000000" w:themeColor="text1"/>
          <w:sz w:val="20"/>
          <w:szCs w:val="20"/>
        </w:rPr>
        <w:t>La Corporación ha precisado que para la validez de estas declaraciones en un proceso judicial se debe surtir el trámite previsto para la ratificación en los términos de los artículos 229, 298 y 299 del Código de Procedimiento Civil y cuando no se surte este trámite dentro del proceso en el que se intenta hacer valer, no pueden ni siquiera tenerse las declaraciones extrajuicio como indicio, en la medida que no se garantizaría el principio de contradicción y de defensa de la parte contraria. En todo caso, las mismas solo pueden ser tenidas en cuenta como prueba sumaria, a la luz del artículo 299 del C.P.C, en los eventos en que hayan sido de pleno conocimiento de la parte demandada, durante el debate procesal.</w:t>
      </w:r>
    </w:p>
    <w:p w14:paraId="09195335" w14:textId="77777777" w:rsidR="0025139D" w:rsidRDefault="0025139D" w:rsidP="00D4102D">
      <w:pPr>
        <w:spacing w:line="360" w:lineRule="auto"/>
        <w:jc w:val="both"/>
        <w:rPr>
          <w:rFonts w:ascii="Arial" w:eastAsia="Arial" w:hAnsi="Arial" w:cs="Arial"/>
          <w:color w:val="000000" w:themeColor="text1"/>
        </w:rPr>
      </w:pPr>
    </w:p>
    <w:p w14:paraId="6A0993CF" w14:textId="0BED41D1" w:rsidR="00D4102D" w:rsidRDefault="0025139D" w:rsidP="00D4102D">
      <w:pPr>
        <w:spacing w:line="360" w:lineRule="auto"/>
        <w:jc w:val="both"/>
        <w:rPr>
          <w:rFonts w:ascii="Arial" w:eastAsia="Arial" w:hAnsi="Arial" w:cs="Arial"/>
          <w:color w:val="000000" w:themeColor="text1"/>
        </w:rPr>
      </w:pPr>
      <w:r>
        <w:rPr>
          <w:rFonts w:ascii="Arial" w:eastAsia="Arial" w:hAnsi="Arial" w:cs="Arial"/>
          <w:color w:val="000000" w:themeColor="text1"/>
        </w:rPr>
        <w:t>En este sentido se debe</w:t>
      </w:r>
      <w:r w:rsidR="006D30CE">
        <w:rPr>
          <w:rFonts w:ascii="Arial" w:eastAsia="Arial" w:hAnsi="Arial" w:cs="Arial"/>
          <w:color w:val="000000" w:themeColor="text1"/>
        </w:rPr>
        <w:t xml:space="preserve"> atender que </w:t>
      </w:r>
      <w:r w:rsidR="006D30CE" w:rsidRPr="006D30CE">
        <w:rPr>
          <w:rFonts w:ascii="Arial" w:eastAsia="Arial" w:hAnsi="Arial" w:cs="Arial"/>
          <w:color w:val="000000" w:themeColor="text1"/>
        </w:rPr>
        <w:t>dichas pruebas no acreditan en lo absoluto que el patrimonio de los demanda</w:t>
      </w:r>
      <w:r w:rsidR="006D30CE">
        <w:rPr>
          <w:rFonts w:ascii="Arial" w:eastAsia="Arial" w:hAnsi="Arial" w:cs="Arial"/>
          <w:color w:val="000000" w:themeColor="text1"/>
        </w:rPr>
        <w:t>n</w:t>
      </w:r>
      <w:r w:rsidR="006D30CE" w:rsidRPr="006D30CE">
        <w:rPr>
          <w:rFonts w:ascii="Arial" w:eastAsia="Arial" w:hAnsi="Arial" w:cs="Arial"/>
          <w:color w:val="000000" w:themeColor="text1"/>
        </w:rPr>
        <w:t xml:space="preserve">tes se haya visto afectado, es decir, que </w:t>
      </w:r>
      <w:r w:rsidR="006D30CE">
        <w:rPr>
          <w:rFonts w:ascii="Arial" w:eastAsia="Arial" w:hAnsi="Arial" w:cs="Arial"/>
          <w:color w:val="000000" w:themeColor="text1"/>
        </w:rPr>
        <w:t xml:space="preserve">de ellas no se puede establecer que </w:t>
      </w:r>
      <w:r w:rsidR="006D30CE" w:rsidRPr="006D30CE">
        <w:rPr>
          <w:rFonts w:ascii="Arial" w:eastAsia="Arial" w:hAnsi="Arial" w:cs="Arial"/>
          <w:color w:val="000000" w:themeColor="text1"/>
        </w:rPr>
        <w:t xml:space="preserve">hayan </w:t>
      </w:r>
      <w:r w:rsidR="006D30CE">
        <w:rPr>
          <w:rFonts w:ascii="Arial" w:eastAsia="Arial" w:hAnsi="Arial" w:cs="Arial"/>
          <w:color w:val="000000" w:themeColor="text1"/>
        </w:rPr>
        <w:t>realizado</w:t>
      </w:r>
      <w:r w:rsidR="006D30CE" w:rsidRPr="006D30CE">
        <w:rPr>
          <w:rFonts w:ascii="Arial" w:eastAsia="Arial" w:hAnsi="Arial" w:cs="Arial"/>
          <w:color w:val="000000" w:themeColor="text1"/>
        </w:rPr>
        <w:t xml:space="preserve"> el pago que se pretende acreditar con las constancias aportadas, por lo tanto, al esta</w:t>
      </w:r>
      <w:r w:rsidR="006D30CE">
        <w:rPr>
          <w:rFonts w:ascii="Arial" w:eastAsia="Arial" w:hAnsi="Arial" w:cs="Arial"/>
          <w:color w:val="000000" w:themeColor="text1"/>
        </w:rPr>
        <w:t>r</w:t>
      </w:r>
      <w:r w:rsidR="006D30CE" w:rsidRPr="006D30CE">
        <w:rPr>
          <w:rFonts w:ascii="Arial" w:eastAsia="Arial" w:hAnsi="Arial" w:cs="Arial"/>
          <w:color w:val="000000" w:themeColor="text1"/>
        </w:rPr>
        <w:t xml:space="preserve"> </w:t>
      </w:r>
      <w:r w:rsidR="006D30CE">
        <w:rPr>
          <w:rFonts w:ascii="Arial" w:eastAsia="Arial" w:hAnsi="Arial" w:cs="Arial"/>
          <w:color w:val="000000" w:themeColor="text1"/>
        </w:rPr>
        <w:t>a</w:t>
      </w:r>
      <w:r w:rsidR="006D30CE" w:rsidRPr="006D30CE">
        <w:rPr>
          <w:rFonts w:ascii="Arial" w:eastAsia="Arial" w:hAnsi="Arial" w:cs="Arial"/>
          <w:color w:val="000000" w:themeColor="text1"/>
        </w:rPr>
        <w:t>compañadas de transferencias, recibos de caja, facturas o cualquier otro documento contable que acredite el efectivo recibo del dinero</w:t>
      </w:r>
      <w:r w:rsidR="006D30CE">
        <w:rPr>
          <w:rFonts w:ascii="Arial" w:eastAsia="Arial" w:hAnsi="Arial" w:cs="Arial"/>
          <w:color w:val="000000" w:themeColor="text1"/>
        </w:rPr>
        <w:t xml:space="preserve"> por quien genera la “factura”</w:t>
      </w:r>
      <w:r w:rsidR="006D30CE" w:rsidRPr="006D30CE">
        <w:rPr>
          <w:rFonts w:ascii="Arial" w:eastAsia="Arial" w:hAnsi="Arial" w:cs="Arial"/>
          <w:color w:val="000000" w:themeColor="text1"/>
        </w:rPr>
        <w:t>, es palmaria su inadecuada petición.</w:t>
      </w:r>
    </w:p>
    <w:p w14:paraId="4DFA8B7D" w14:textId="77777777" w:rsidR="0025139D" w:rsidRPr="0025139D" w:rsidRDefault="0025139D" w:rsidP="00D4102D">
      <w:pPr>
        <w:spacing w:line="360" w:lineRule="auto"/>
        <w:jc w:val="both"/>
        <w:rPr>
          <w:rFonts w:ascii="Arial" w:eastAsia="Arial" w:hAnsi="Arial" w:cs="Arial"/>
          <w:color w:val="000000" w:themeColor="text1"/>
        </w:rPr>
      </w:pPr>
    </w:p>
    <w:p w14:paraId="7AA6A4DE" w14:textId="6AAA8BBC" w:rsidR="00B851F2" w:rsidRPr="003125FD" w:rsidRDefault="00B851F2" w:rsidP="00B851F2">
      <w:pPr>
        <w:pStyle w:val="Prrafodelista"/>
        <w:numPr>
          <w:ilvl w:val="0"/>
          <w:numId w:val="27"/>
        </w:numPr>
        <w:spacing w:after="160" w:line="360" w:lineRule="auto"/>
        <w:jc w:val="both"/>
        <w:rPr>
          <w:rFonts w:ascii="Arial" w:eastAsia="Arial" w:hAnsi="Arial" w:cs="Arial"/>
          <w:b/>
          <w:bCs/>
          <w:color w:val="000000" w:themeColor="text1"/>
        </w:rPr>
      </w:pPr>
      <w:r w:rsidRPr="00C92510">
        <w:rPr>
          <w:rFonts w:ascii="Arial" w:eastAsia="Arial" w:hAnsi="Arial" w:cs="Arial"/>
          <w:b/>
          <w:bCs/>
          <w:color w:val="000000" w:themeColor="text1"/>
          <w:lang w:val="es-ES"/>
        </w:rPr>
        <w:t>Frente al perjuicio de lucro cesante consolidado y futuro</w:t>
      </w:r>
    </w:p>
    <w:p w14:paraId="30EB8910" w14:textId="77777777" w:rsidR="00AD73E0" w:rsidRPr="00C92510" w:rsidRDefault="00AD73E0" w:rsidP="003125FD">
      <w:pPr>
        <w:pStyle w:val="Prrafodelista"/>
        <w:spacing w:after="160" w:line="360" w:lineRule="auto"/>
        <w:jc w:val="both"/>
        <w:rPr>
          <w:rFonts w:ascii="Arial" w:eastAsia="Arial" w:hAnsi="Arial" w:cs="Arial"/>
          <w:b/>
          <w:bCs/>
          <w:color w:val="000000" w:themeColor="text1"/>
        </w:rPr>
      </w:pPr>
    </w:p>
    <w:p w14:paraId="581C4D7D" w14:textId="1E472ADA" w:rsidR="00C075B3"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pretende el reconocimiento del lucro cesante </w:t>
      </w:r>
      <w:r w:rsidR="00C075B3">
        <w:rPr>
          <w:rFonts w:ascii="Arial" w:eastAsia="Arial" w:hAnsi="Arial" w:cs="Arial"/>
          <w:color w:val="000000" w:themeColor="text1"/>
        </w:rPr>
        <w:t>pasado y futuro sin que haga una liquidación objetiva, aduciendo como principal argumento de la falta de liquidación, que la calificación de pérdida de capacidad laboral fue apelada por la compañía de Seguros Bolívar, y por tanto dicho dictamen no se encuentra en firme</w:t>
      </w:r>
      <w:r>
        <w:rPr>
          <w:rFonts w:ascii="Arial" w:eastAsia="Arial" w:hAnsi="Arial" w:cs="Arial"/>
          <w:color w:val="000000" w:themeColor="text1"/>
        </w:rPr>
        <w:t xml:space="preserve">, </w:t>
      </w:r>
      <w:r w:rsidRPr="004551BE">
        <w:rPr>
          <w:rFonts w:ascii="Arial" w:eastAsia="Arial" w:hAnsi="Arial" w:cs="Arial"/>
          <w:color w:val="000000" w:themeColor="text1"/>
        </w:rPr>
        <w:t>sin</w:t>
      </w:r>
      <w:r>
        <w:rPr>
          <w:rFonts w:ascii="Arial" w:eastAsia="Arial" w:hAnsi="Arial" w:cs="Arial"/>
          <w:color w:val="000000" w:themeColor="text1"/>
        </w:rPr>
        <w:t xml:space="preserve"> embargo,</w:t>
      </w:r>
      <w:r w:rsidR="00C075B3">
        <w:rPr>
          <w:rFonts w:ascii="Arial" w:eastAsia="Arial" w:hAnsi="Arial" w:cs="Arial"/>
          <w:color w:val="000000" w:themeColor="text1"/>
        </w:rPr>
        <w:t xml:space="preserve"> podemos ver que no</w:t>
      </w:r>
      <w:r w:rsidR="00C075B3" w:rsidRPr="004551BE">
        <w:rPr>
          <w:rFonts w:ascii="Arial" w:eastAsia="Arial" w:hAnsi="Arial" w:cs="Arial"/>
          <w:color w:val="000000" w:themeColor="text1"/>
        </w:rPr>
        <w:t xml:space="preserve"> está demostrado que el señor </w:t>
      </w:r>
      <w:r w:rsidR="00C075B3">
        <w:rPr>
          <w:rFonts w:ascii="Arial" w:eastAsia="Arial" w:hAnsi="Arial" w:cs="Arial"/>
          <w:color w:val="000000" w:themeColor="text1"/>
        </w:rPr>
        <w:t xml:space="preserve">David Caicedo Garzón </w:t>
      </w:r>
      <w:r w:rsidR="00C075B3" w:rsidRPr="004551BE">
        <w:rPr>
          <w:rFonts w:ascii="Arial" w:eastAsia="Arial" w:hAnsi="Arial" w:cs="Arial"/>
          <w:color w:val="000000" w:themeColor="text1"/>
        </w:rPr>
        <w:t>para la época de</w:t>
      </w:r>
      <w:r w:rsidR="00C075B3">
        <w:rPr>
          <w:rFonts w:ascii="Arial" w:eastAsia="Arial" w:hAnsi="Arial" w:cs="Arial"/>
          <w:color w:val="000000" w:themeColor="text1"/>
        </w:rPr>
        <w:t xml:space="preserve"> los hechos</w:t>
      </w:r>
      <w:r w:rsidR="00C075B3" w:rsidRPr="004551BE">
        <w:rPr>
          <w:rFonts w:ascii="Arial" w:eastAsia="Arial" w:hAnsi="Arial" w:cs="Arial"/>
          <w:color w:val="000000" w:themeColor="text1"/>
        </w:rPr>
        <w:t xml:space="preserve"> ejerciera una actividad productiva</w:t>
      </w:r>
      <w:r w:rsidR="00C075B3">
        <w:rPr>
          <w:rFonts w:ascii="Arial" w:eastAsia="Arial" w:hAnsi="Arial" w:cs="Arial"/>
          <w:color w:val="000000" w:themeColor="text1"/>
        </w:rPr>
        <w:t xml:space="preserve"> y que percibiera ingresos por ella</w:t>
      </w:r>
      <w:r w:rsidR="00C075B3" w:rsidRPr="004551BE">
        <w:rPr>
          <w:rFonts w:ascii="Arial" w:eastAsia="Arial" w:hAnsi="Arial" w:cs="Arial"/>
          <w:color w:val="000000" w:themeColor="text1"/>
        </w:rPr>
        <w:t>, puesto que no allegó ningún elemento de convicción que permitiera establecer la existencia de una relación laboral</w:t>
      </w:r>
      <w:r w:rsidR="00C075B3">
        <w:rPr>
          <w:rFonts w:ascii="Arial" w:eastAsia="Arial" w:hAnsi="Arial" w:cs="Arial"/>
          <w:color w:val="000000" w:themeColor="text1"/>
        </w:rPr>
        <w:t xml:space="preserve"> que fuese a estar vigente en el tiempo, pues de los documentos acercados al plenario, se evidencia un contrato de aprendizaje que tendría como fecha de inicio el 02 de noviembre de 2019 y fecha de finalización el 01 de mayo de 2020</w:t>
      </w:r>
      <w:r w:rsidR="000445C2">
        <w:rPr>
          <w:rFonts w:ascii="Arial" w:eastAsia="Arial" w:hAnsi="Arial" w:cs="Arial"/>
          <w:color w:val="000000" w:themeColor="text1"/>
        </w:rPr>
        <w:t>, tal como se puede evidenciar en los datos compartidos a continuación</w:t>
      </w:r>
      <w:r w:rsidR="00C075B3">
        <w:rPr>
          <w:rFonts w:ascii="Arial" w:eastAsia="Arial" w:hAnsi="Arial" w:cs="Arial"/>
          <w:color w:val="000000" w:themeColor="text1"/>
        </w:rPr>
        <w:t>:</w:t>
      </w:r>
    </w:p>
    <w:p w14:paraId="2F98F290" w14:textId="155E341D" w:rsidR="00C075B3" w:rsidRDefault="009C1319" w:rsidP="003125FD">
      <w:pPr>
        <w:spacing w:after="240" w:line="360" w:lineRule="auto"/>
        <w:jc w:val="center"/>
        <w:rPr>
          <w:rFonts w:ascii="Arial" w:eastAsia="Arial" w:hAnsi="Arial" w:cs="Arial"/>
          <w:color w:val="000000" w:themeColor="text1"/>
        </w:rPr>
      </w:pPr>
      <w:r w:rsidRPr="009C1319">
        <w:rPr>
          <w:rFonts w:ascii="Arial" w:eastAsia="Arial" w:hAnsi="Arial" w:cs="Arial"/>
          <w:noProof/>
          <w:color w:val="000000" w:themeColor="text1"/>
        </w:rPr>
        <w:drawing>
          <wp:inline distT="0" distB="0" distL="0" distR="0" wp14:anchorId="5A0202E4" wp14:editId="4E1D2632">
            <wp:extent cx="5238044" cy="3125315"/>
            <wp:effectExtent l="0" t="0" r="0" b="0"/>
            <wp:docPr id="68608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8179" name=""/>
                    <pic:cNvPicPr/>
                  </pic:nvPicPr>
                  <pic:blipFill>
                    <a:blip r:embed="rId12"/>
                    <a:stretch>
                      <a:fillRect/>
                    </a:stretch>
                  </pic:blipFill>
                  <pic:spPr>
                    <a:xfrm>
                      <a:off x="0" y="0"/>
                      <a:ext cx="5266683" cy="3142403"/>
                    </a:xfrm>
                    <a:prstGeom prst="rect">
                      <a:avLst/>
                    </a:prstGeom>
                  </pic:spPr>
                </pic:pic>
              </a:graphicData>
            </a:graphic>
          </wp:inline>
        </w:drawing>
      </w:r>
    </w:p>
    <w:p w14:paraId="47F47C3D" w14:textId="77777777" w:rsidR="000445C2" w:rsidRDefault="000445C2" w:rsidP="00B851F2">
      <w:pPr>
        <w:spacing w:after="240" w:line="360" w:lineRule="auto"/>
        <w:jc w:val="both"/>
        <w:rPr>
          <w:rFonts w:ascii="Arial" w:eastAsia="Arial" w:hAnsi="Arial" w:cs="Arial"/>
          <w:color w:val="000000" w:themeColor="text1"/>
        </w:rPr>
      </w:pPr>
      <w:r>
        <w:rPr>
          <w:rFonts w:ascii="Arial" w:eastAsia="Arial" w:hAnsi="Arial" w:cs="Arial"/>
          <w:color w:val="000000" w:themeColor="text1"/>
        </w:rPr>
        <w:t xml:space="preserve">Sobre el contrato de aprendizaje ha dicho la sección segunda del Consejo de Estado en sentencia </w:t>
      </w:r>
      <w:r w:rsidRPr="000445C2">
        <w:rPr>
          <w:rFonts w:ascii="Arial" w:eastAsia="Arial" w:hAnsi="Arial" w:cs="Arial"/>
          <w:color w:val="000000" w:themeColor="text1"/>
        </w:rPr>
        <w:t>Radicación número: 11001-03-25-000-2005-00047-00(1482-05)</w:t>
      </w:r>
      <w:r>
        <w:rPr>
          <w:rFonts w:ascii="Arial" w:eastAsia="Arial" w:hAnsi="Arial" w:cs="Arial"/>
          <w:color w:val="000000" w:themeColor="text1"/>
        </w:rPr>
        <w:t xml:space="preserve"> con ponencia del doctor Gerardo Arenas Monsalve, que:</w:t>
      </w:r>
    </w:p>
    <w:p w14:paraId="6B7A7866" w14:textId="15D2B448" w:rsidR="00C075B3" w:rsidRPr="00E559B2" w:rsidRDefault="000445C2" w:rsidP="003125FD">
      <w:pPr>
        <w:spacing w:after="240" w:line="360" w:lineRule="auto"/>
        <w:ind w:left="851" w:right="560"/>
        <w:jc w:val="both"/>
        <w:rPr>
          <w:rFonts w:ascii="Arial" w:eastAsia="Arial" w:hAnsi="Arial" w:cs="Arial"/>
          <w:i/>
          <w:iCs/>
          <w:color w:val="000000" w:themeColor="text1"/>
          <w:sz w:val="18"/>
          <w:szCs w:val="18"/>
        </w:rPr>
      </w:pPr>
      <w:r w:rsidRPr="000445C2">
        <w:rPr>
          <w:rFonts w:ascii="Arial" w:eastAsia="Arial" w:hAnsi="Arial" w:cs="Arial"/>
          <w:i/>
          <w:iCs/>
          <w:color w:val="000000" w:themeColor="text1"/>
          <w:sz w:val="20"/>
          <w:szCs w:val="20"/>
          <w:u w:val="single"/>
        </w:rPr>
        <w:t xml:space="preserve">La remuneración del aprendiz no tiene naturaleza salarial; se denomina “apoyo de </w:t>
      </w:r>
      <w:r w:rsidRPr="000445C2">
        <w:rPr>
          <w:rFonts w:ascii="Arial" w:eastAsia="Arial" w:hAnsi="Arial" w:cs="Arial"/>
          <w:i/>
          <w:iCs/>
          <w:color w:val="000000" w:themeColor="text1"/>
          <w:sz w:val="20"/>
          <w:szCs w:val="20"/>
          <w:u w:val="single"/>
        </w:rPr>
        <w:lastRenderedPageBreak/>
        <w:t>sostenimiento mensual” y tiene como finalidad “garantizar el proceso de aprendizaje”</w:t>
      </w:r>
      <w:r w:rsidRPr="000445C2">
        <w:rPr>
          <w:rFonts w:ascii="Arial" w:eastAsia="Arial" w:hAnsi="Arial" w:cs="Arial"/>
          <w:i/>
          <w:iCs/>
          <w:color w:val="000000" w:themeColor="text1"/>
          <w:sz w:val="20"/>
          <w:szCs w:val="20"/>
        </w:rPr>
        <w:t>. El monto de este apoyo no puede ser objeto de negociación colectiva por expresa disposición legal. El aprendiz debe recibir ese apoyo “durante toda la vigencia de la relación”. En la fase lectiva, la cuantía será del 50% del salario mínimo legal mensual. En la fase práctica, dicho apoyo equivale, por regla general, al 75% del salario mínimo legal mensual1. En todo caso, si el aprendiz es estudiante universitario, el apoyo de sostenimiento mensual no puede ser inferior al salario mínimo legal mensual.</w:t>
      </w:r>
      <w:r>
        <w:rPr>
          <w:rFonts w:ascii="Arial" w:eastAsia="Arial" w:hAnsi="Arial" w:cs="Arial"/>
          <w:i/>
          <w:iCs/>
          <w:color w:val="000000" w:themeColor="text1"/>
          <w:sz w:val="20"/>
          <w:szCs w:val="20"/>
        </w:rPr>
        <w:t xml:space="preserve"> </w:t>
      </w:r>
      <w:r w:rsidRPr="00E559B2">
        <w:rPr>
          <w:rFonts w:ascii="Arial" w:eastAsia="Arial" w:hAnsi="Arial" w:cs="Arial"/>
          <w:color w:val="000000" w:themeColor="text1"/>
          <w:sz w:val="20"/>
          <w:szCs w:val="20"/>
        </w:rPr>
        <w:t>(Subrayado fuera del texto)</w:t>
      </w:r>
      <w:r w:rsidRPr="00E559B2">
        <w:rPr>
          <w:rFonts w:ascii="Arial" w:eastAsia="Arial" w:hAnsi="Arial" w:cs="Arial"/>
          <w:i/>
          <w:iCs/>
          <w:color w:val="000000" w:themeColor="text1"/>
          <w:sz w:val="18"/>
          <w:szCs w:val="18"/>
        </w:rPr>
        <w:t xml:space="preserve">  </w:t>
      </w:r>
    </w:p>
    <w:p w14:paraId="17A557E4" w14:textId="42BAA5DA" w:rsidR="00C075B3" w:rsidRDefault="000445C2"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w:t>
      </w:r>
      <w:proofErr w:type="spellStart"/>
      <w:r>
        <w:rPr>
          <w:rFonts w:ascii="Arial" w:eastAsia="Arial" w:hAnsi="Arial" w:cs="Arial"/>
          <w:color w:val="000000" w:themeColor="text1"/>
        </w:rPr>
        <w:t>estás</w:t>
      </w:r>
      <w:proofErr w:type="spellEnd"/>
      <w:r>
        <w:rPr>
          <w:rFonts w:ascii="Arial" w:eastAsia="Arial" w:hAnsi="Arial" w:cs="Arial"/>
          <w:color w:val="000000" w:themeColor="text1"/>
        </w:rPr>
        <w:t xml:space="preserve"> consideraciones podemos concluir que</w:t>
      </w:r>
      <w:r w:rsidR="00C075B3">
        <w:rPr>
          <w:rFonts w:ascii="Arial" w:eastAsia="Arial" w:hAnsi="Arial" w:cs="Arial"/>
          <w:color w:val="000000" w:themeColor="text1"/>
        </w:rPr>
        <w:t xml:space="preserve"> </w:t>
      </w:r>
      <w:r>
        <w:rPr>
          <w:rFonts w:ascii="Arial" w:eastAsia="Arial" w:hAnsi="Arial" w:cs="Arial"/>
          <w:color w:val="000000" w:themeColor="text1"/>
        </w:rPr>
        <w:t xml:space="preserve">no es posible asegurar que el </w:t>
      </w:r>
      <w:r w:rsidR="00C075B3">
        <w:rPr>
          <w:rFonts w:ascii="Arial" w:eastAsia="Arial" w:hAnsi="Arial" w:cs="Arial"/>
          <w:color w:val="000000" w:themeColor="text1"/>
        </w:rPr>
        <w:t xml:space="preserve">vínculo laboral </w:t>
      </w:r>
      <w:r>
        <w:rPr>
          <w:rFonts w:ascii="Arial" w:eastAsia="Arial" w:hAnsi="Arial" w:cs="Arial"/>
          <w:color w:val="000000" w:themeColor="text1"/>
        </w:rPr>
        <w:t>alegado pudiese ser</w:t>
      </w:r>
      <w:r w:rsidR="00C075B3">
        <w:rPr>
          <w:rFonts w:ascii="Arial" w:eastAsia="Arial" w:hAnsi="Arial" w:cs="Arial"/>
          <w:color w:val="000000" w:themeColor="text1"/>
        </w:rPr>
        <w:t xml:space="preserve"> estable,</w:t>
      </w:r>
      <w:r>
        <w:rPr>
          <w:rFonts w:ascii="Arial" w:eastAsia="Arial" w:hAnsi="Arial" w:cs="Arial"/>
          <w:color w:val="000000" w:themeColor="text1"/>
        </w:rPr>
        <w:t xml:space="preserve"> puesto que el mismo tiene como finalidad</w:t>
      </w:r>
      <w:r w:rsidR="00AD73E0">
        <w:rPr>
          <w:rFonts w:ascii="Arial" w:eastAsia="Arial" w:hAnsi="Arial" w:cs="Arial"/>
          <w:color w:val="000000" w:themeColor="text1"/>
        </w:rPr>
        <w:t>:</w:t>
      </w:r>
      <w:r>
        <w:rPr>
          <w:rFonts w:ascii="Arial" w:eastAsia="Arial" w:hAnsi="Arial" w:cs="Arial"/>
          <w:color w:val="000000" w:themeColor="text1"/>
        </w:rPr>
        <w:t xml:space="preserve"> “</w:t>
      </w:r>
      <w:r w:rsidRPr="000445C2">
        <w:rPr>
          <w:rFonts w:ascii="Arial" w:eastAsia="Arial" w:hAnsi="Arial" w:cs="Arial"/>
          <w:i/>
          <w:iCs/>
          <w:color w:val="000000" w:themeColor="text1"/>
        </w:rPr>
        <w:t>facilitar al aprendiz la formación</w:t>
      </w:r>
      <w:r>
        <w:rPr>
          <w:rFonts w:ascii="Arial" w:eastAsia="Arial" w:hAnsi="Arial" w:cs="Arial"/>
          <w:i/>
          <w:iCs/>
          <w:color w:val="000000" w:themeColor="text1"/>
        </w:rPr>
        <w:t>”</w:t>
      </w:r>
      <w:r w:rsidR="00C075B3">
        <w:rPr>
          <w:rFonts w:ascii="Arial" w:eastAsia="Arial" w:hAnsi="Arial" w:cs="Arial"/>
          <w:color w:val="000000" w:themeColor="text1"/>
        </w:rPr>
        <w:t xml:space="preserve"> </w:t>
      </w:r>
      <w:r>
        <w:rPr>
          <w:rFonts w:ascii="Arial" w:eastAsia="Arial" w:hAnsi="Arial" w:cs="Arial"/>
          <w:color w:val="000000" w:themeColor="text1"/>
        </w:rPr>
        <w:t>y adicionalmente su</w:t>
      </w:r>
      <w:r w:rsidR="00C075B3">
        <w:rPr>
          <w:rFonts w:ascii="Arial" w:eastAsia="Arial" w:hAnsi="Arial" w:cs="Arial"/>
          <w:color w:val="000000" w:themeColor="text1"/>
        </w:rPr>
        <w:t xml:space="preserve"> remuneración</w:t>
      </w:r>
      <w:r>
        <w:rPr>
          <w:rFonts w:ascii="Arial" w:eastAsia="Arial" w:hAnsi="Arial" w:cs="Arial"/>
          <w:color w:val="000000" w:themeColor="text1"/>
        </w:rPr>
        <w:t>, como lo deja claro el órgano de cierre de la jurisdicción contenciosa,</w:t>
      </w:r>
      <w:r w:rsidR="00C075B3">
        <w:rPr>
          <w:rFonts w:ascii="Arial" w:eastAsia="Arial" w:hAnsi="Arial" w:cs="Arial"/>
          <w:color w:val="000000" w:themeColor="text1"/>
        </w:rPr>
        <w:t xml:space="preserve"> no </w:t>
      </w:r>
      <w:r>
        <w:rPr>
          <w:rFonts w:ascii="Arial" w:eastAsia="Arial" w:hAnsi="Arial" w:cs="Arial"/>
          <w:color w:val="000000" w:themeColor="text1"/>
        </w:rPr>
        <w:t>es</w:t>
      </w:r>
      <w:r w:rsidR="00C075B3">
        <w:rPr>
          <w:rFonts w:ascii="Arial" w:eastAsia="Arial" w:hAnsi="Arial" w:cs="Arial"/>
          <w:color w:val="000000" w:themeColor="text1"/>
        </w:rPr>
        <w:t xml:space="preserve"> salarial</w:t>
      </w:r>
      <w:r w:rsidR="00AD73E0">
        <w:rPr>
          <w:rFonts w:ascii="Arial" w:eastAsia="Arial" w:hAnsi="Arial" w:cs="Arial"/>
          <w:color w:val="000000" w:themeColor="text1"/>
        </w:rPr>
        <w:t>,</w:t>
      </w:r>
      <w:r w:rsidR="003E2D67">
        <w:rPr>
          <w:rFonts w:ascii="Arial" w:eastAsia="Arial" w:hAnsi="Arial" w:cs="Arial"/>
          <w:color w:val="000000" w:themeColor="text1"/>
        </w:rPr>
        <w:t xml:space="preserve"> por lo que no sería procedente usar el valor recibido como apoyo de sostenimiento para liquidar pretensiones de lucro cesante</w:t>
      </w:r>
      <w:r w:rsidR="00C075B3" w:rsidRPr="004551BE">
        <w:rPr>
          <w:rFonts w:ascii="Arial" w:eastAsia="Arial" w:hAnsi="Arial" w:cs="Arial"/>
          <w:color w:val="000000" w:themeColor="text1"/>
        </w:rPr>
        <w:t>.</w:t>
      </w:r>
      <w:r w:rsidR="00C075B3">
        <w:rPr>
          <w:rFonts w:ascii="Arial" w:eastAsia="Arial" w:hAnsi="Arial" w:cs="Arial"/>
          <w:color w:val="000000" w:themeColor="text1"/>
        </w:rPr>
        <w:t xml:space="preserve"> Aunado a ello tenemos que obra en el expediente carta expedida por el club Colombia (empresa patrocinadora) en la que se hace referencia a que se pagaron efectivamente las cuotas de sostenimiento en los meses que correspondía para la vigencia del contrato, por ello no es coherente afirmar que se haya presentado un lucro cesante pasado</w:t>
      </w:r>
      <w:r w:rsidR="003E2D67">
        <w:rPr>
          <w:rFonts w:ascii="Arial" w:eastAsia="Arial" w:hAnsi="Arial" w:cs="Arial"/>
          <w:color w:val="000000" w:themeColor="text1"/>
        </w:rPr>
        <w:t xml:space="preserve">, y en cuanto al lucro cesante futuro, es claro que el mismo no se iba a poder extender más allá de la fecha de la fecha de terminación por la naturaleza formativa del contrato, y porque la misma ley 789 de 2002 en su artículo 30 establece que de cualquier forma el mismo tendrá un tiempo de duración máximo. </w:t>
      </w:r>
    </w:p>
    <w:p w14:paraId="4014FE49" w14:textId="77777777" w:rsidR="00AD73E0" w:rsidRDefault="00AD73E0" w:rsidP="003125FD">
      <w:pPr>
        <w:spacing w:line="360" w:lineRule="auto"/>
        <w:jc w:val="both"/>
        <w:rPr>
          <w:rFonts w:ascii="Arial" w:eastAsia="Arial" w:hAnsi="Arial" w:cs="Arial"/>
          <w:color w:val="000000" w:themeColor="text1"/>
        </w:rPr>
      </w:pPr>
    </w:p>
    <w:p w14:paraId="463D4B04" w14:textId="2D81AEE4" w:rsidR="00B851F2" w:rsidRDefault="00B851F2"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Ahora bien, </w:t>
      </w:r>
      <w:r w:rsidR="00032FEB">
        <w:rPr>
          <w:rFonts w:ascii="Arial" w:eastAsia="Arial" w:hAnsi="Arial" w:cs="Arial"/>
          <w:color w:val="000000" w:themeColor="text1"/>
        </w:rPr>
        <w:t>aun</w:t>
      </w:r>
      <w:r w:rsidR="00395E2C">
        <w:rPr>
          <w:rFonts w:ascii="Arial" w:eastAsia="Arial" w:hAnsi="Arial" w:cs="Arial"/>
          <w:color w:val="000000" w:themeColor="text1"/>
        </w:rPr>
        <w:t xml:space="preserve"> dejando de lado</w:t>
      </w:r>
      <w:r>
        <w:rPr>
          <w:rFonts w:ascii="Arial" w:eastAsia="Arial" w:hAnsi="Arial" w:cs="Arial"/>
          <w:color w:val="000000" w:themeColor="text1"/>
        </w:rPr>
        <w:t xml:space="preserve"> </w:t>
      </w:r>
      <w:r w:rsidR="003E2D67">
        <w:rPr>
          <w:rFonts w:ascii="Arial" w:eastAsia="Arial" w:hAnsi="Arial" w:cs="Arial"/>
          <w:color w:val="000000" w:themeColor="text1"/>
        </w:rPr>
        <w:t>los datos analizados</w:t>
      </w:r>
      <w:r>
        <w:rPr>
          <w:rFonts w:ascii="Arial" w:eastAsia="Arial" w:hAnsi="Arial" w:cs="Arial"/>
          <w:color w:val="000000" w:themeColor="text1"/>
        </w:rPr>
        <w:t xml:space="preserve">, se debe indicar que por la parte demandante no se pudo </w:t>
      </w:r>
      <w:r w:rsidRPr="004551BE">
        <w:rPr>
          <w:rFonts w:ascii="Arial" w:eastAsia="Arial" w:hAnsi="Arial" w:cs="Arial"/>
          <w:color w:val="000000" w:themeColor="text1"/>
        </w:rPr>
        <w:t xml:space="preserve">soportar </w:t>
      </w:r>
      <w:r w:rsidR="003E2D67">
        <w:rPr>
          <w:rFonts w:ascii="Arial" w:eastAsia="Arial" w:hAnsi="Arial" w:cs="Arial"/>
          <w:color w:val="000000" w:themeColor="text1"/>
        </w:rPr>
        <w:t>mediante</w:t>
      </w:r>
      <w:r w:rsidRPr="004551BE">
        <w:rPr>
          <w:rFonts w:ascii="Arial" w:eastAsia="Arial" w:hAnsi="Arial" w:cs="Arial"/>
          <w:color w:val="000000" w:themeColor="text1"/>
        </w:rPr>
        <w:t xml:space="preserve"> una prueba útil, conducente y pertinente que permita determinar el ingreso que dejó de percibir el señor </w:t>
      </w:r>
      <w:r w:rsidR="003E2D67">
        <w:rPr>
          <w:rFonts w:ascii="Arial" w:eastAsia="Arial" w:hAnsi="Arial" w:cs="Arial"/>
          <w:color w:val="000000" w:themeColor="text1"/>
        </w:rPr>
        <w:t>David Caicedo</w:t>
      </w:r>
      <w:r w:rsidRPr="004551BE">
        <w:rPr>
          <w:rFonts w:ascii="Arial" w:eastAsia="Arial" w:hAnsi="Arial" w:cs="Arial"/>
          <w:color w:val="000000" w:themeColor="text1"/>
        </w:rPr>
        <w:t xml:space="preserve"> como consecuencia del daño. 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 </w:t>
      </w:r>
    </w:p>
    <w:p w14:paraId="3873C3D3" w14:textId="77777777" w:rsidR="00B851F2" w:rsidRPr="004551BE" w:rsidRDefault="00B851F2" w:rsidP="00AD73E0">
      <w:pPr>
        <w:spacing w:line="360" w:lineRule="auto"/>
        <w:jc w:val="both"/>
        <w:rPr>
          <w:rFonts w:ascii="Arial" w:eastAsia="Arial" w:hAnsi="Arial" w:cs="Arial"/>
          <w:color w:val="000000" w:themeColor="text1"/>
        </w:rPr>
      </w:pPr>
    </w:p>
    <w:p w14:paraId="4C2C5AA8" w14:textId="77777777" w:rsidR="00B851F2" w:rsidRDefault="00B851F2" w:rsidP="00AD73E0">
      <w:pPr>
        <w:spacing w:line="360" w:lineRule="auto"/>
        <w:jc w:val="both"/>
        <w:rPr>
          <w:rFonts w:ascii="Arial" w:eastAsia="Arial" w:hAnsi="Arial" w:cs="Arial"/>
        </w:rPr>
      </w:pPr>
      <w:r w:rsidRPr="004551BE">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5C9EB32D" w14:textId="77777777" w:rsidR="00B851F2" w:rsidRPr="004551BE" w:rsidRDefault="00B851F2" w:rsidP="00B851F2">
      <w:pPr>
        <w:spacing w:line="360" w:lineRule="auto"/>
        <w:jc w:val="both"/>
        <w:rPr>
          <w:rFonts w:ascii="Arial" w:eastAsia="Arial" w:hAnsi="Arial" w:cs="Arial"/>
        </w:rPr>
      </w:pPr>
    </w:p>
    <w:p w14:paraId="4F4C9E83"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El perjuicio es la consecuencia que se deriva del daño para la víctima </w:t>
      </w:r>
      <w:proofErr w:type="gramStart"/>
      <w:r w:rsidRPr="00755FAF">
        <w:rPr>
          <w:rFonts w:ascii="Arial" w:eastAsia="Arial" w:hAnsi="Arial" w:cs="Arial"/>
          <w:i/>
          <w:iCs/>
          <w:sz w:val="20"/>
          <w:szCs w:val="20"/>
        </w:rPr>
        <w:t>del mismo</w:t>
      </w:r>
      <w:proofErr w:type="gramEnd"/>
      <w:r w:rsidRPr="00755FAF">
        <w:rPr>
          <w:rFonts w:ascii="Arial" w:eastAsia="Arial" w:hAnsi="Arial" w:cs="Arial"/>
          <w:i/>
          <w:iCs/>
          <w:sz w:val="20"/>
          <w:szCs w:val="20"/>
        </w:rPr>
        <w:t xml:space="preserve">, y la indemnización corresponde al resarcimiento o pago del “(…) perjuicio que el daño ocasionó (…). </w:t>
      </w:r>
      <w:r w:rsidRPr="00755FAF">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755FAF">
        <w:rPr>
          <w:rFonts w:ascii="Arial" w:eastAsia="Arial" w:hAnsi="Arial" w:cs="Arial"/>
          <w:i/>
          <w:iCs/>
          <w:sz w:val="20"/>
          <w:szCs w:val="20"/>
        </w:rPr>
        <w:t xml:space="preserve"> (...).</w:t>
      </w:r>
      <w:r w:rsidRPr="004551BE">
        <w:rPr>
          <w:rStyle w:val="Refdenotaalpie"/>
          <w:rFonts w:ascii="Arial" w:eastAsia="Arial" w:hAnsi="Arial" w:cs="Arial"/>
          <w:sz w:val="20"/>
          <w:szCs w:val="20"/>
        </w:rPr>
        <w:footnoteReference w:id="8"/>
      </w:r>
      <w:r>
        <w:rPr>
          <w:rFonts w:ascii="Arial" w:eastAsia="Arial" w:hAnsi="Arial" w:cs="Arial"/>
          <w:i/>
          <w:iCs/>
          <w:sz w:val="20"/>
          <w:szCs w:val="20"/>
        </w:rPr>
        <w:t xml:space="preserve"> </w:t>
      </w:r>
      <w:r w:rsidRPr="00755FAF">
        <w:rPr>
          <w:rFonts w:ascii="Arial" w:eastAsia="Arial" w:hAnsi="Arial" w:cs="Arial"/>
        </w:rPr>
        <w:t xml:space="preserve">(Negrilla y subrayado fuera del </w:t>
      </w:r>
      <w:r w:rsidRPr="00755FAF">
        <w:rPr>
          <w:rFonts w:ascii="Arial" w:eastAsia="Arial" w:hAnsi="Arial" w:cs="Arial"/>
        </w:rPr>
        <w:lastRenderedPageBreak/>
        <w:t>texto)</w:t>
      </w:r>
    </w:p>
    <w:p w14:paraId="4969E746" w14:textId="77777777" w:rsidR="00B851F2" w:rsidRPr="004551BE" w:rsidRDefault="00B851F2" w:rsidP="00B851F2">
      <w:pPr>
        <w:spacing w:line="360" w:lineRule="auto"/>
        <w:ind w:left="708"/>
        <w:jc w:val="both"/>
        <w:rPr>
          <w:rFonts w:ascii="Arial" w:eastAsia="Arial" w:hAnsi="Arial" w:cs="Arial"/>
          <w:sz w:val="20"/>
          <w:szCs w:val="20"/>
        </w:rPr>
      </w:pPr>
    </w:p>
    <w:p w14:paraId="7EDA408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En igual sentido, la misma corporación afirmó en sentencia del 24 de junio de 2008 lo siguiente: </w:t>
      </w:r>
    </w:p>
    <w:p w14:paraId="15EB05B7" w14:textId="77777777" w:rsidR="00B851F2" w:rsidRPr="004551BE" w:rsidRDefault="00B851F2" w:rsidP="00B851F2">
      <w:pPr>
        <w:spacing w:line="360" w:lineRule="auto"/>
        <w:jc w:val="both"/>
        <w:rPr>
          <w:rFonts w:ascii="Arial" w:eastAsia="Arial" w:hAnsi="Arial" w:cs="Arial"/>
        </w:rPr>
      </w:pPr>
    </w:p>
    <w:p w14:paraId="744702A3"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 </w:t>
      </w:r>
      <w:r w:rsidRPr="00755FAF">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755FAF">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33D1A27" w14:textId="77777777" w:rsidR="00B851F2" w:rsidRPr="00755FAF" w:rsidRDefault="00B851F2" w:rsidP="00B851F2">
      <w:pPr>
        <w:spacing w:line="360" w:lineRule="auto"/>
        <w:ind w:left="708"/>
        <w:jc w:val="both"/>
        <w:rPr>
          <w:rFonts w:ascii="Arial" w:hAnsi="Arial" w:cs="Arial"/>
          <w:i/>
          <w:iCs/>
        </w:rPr>
      </w:pPr>
    </w:p>
    <w:p w14:paraId="3A213C96"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Vale decir que </w:t>
      </w:r>
      <w:r w:rsidRPr="00755FAF">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755FAF">
        <w:rPr>
          <w:rFonts w:ascii="Arial" w:eastAsia="Arial" w:hAnsi="Arial" w:cs="Arial"/>
          <w:i/>
          <w:iCs/>
          <w:sz w:val="20"/>
          <w:szCs w:val="20"/>
        </w:rPr>
        <w:t xml:space="preserve"> (…) </w:t>
      </w:r>
    </w:p>
    <w:p w14:paraId="281E07FB" w14:textId="77777777" w:rsidR="00B851F2" w:rsidRPr="00755FAF" w:rsidRDefault="00B851F2" w:rsidP="00B851F2">
      <w:pPr>
        <w:spacing w:line="360" w:lineRule="auto"/>
        <w:ind w:left="851"/>
        <w:jc w:val="both"/>
        <w:rPr>
          <w:rFonts w:ascii="Arial" w:eastAsia="Arial" w:hAnsi="Arial" w:cs="Arial"/>
          <w:i/>
          <w:iCs/>
          <w:sz w:val="20"/>
          <w:szCs w:val="20"/>
        </w:rPr>
      </w:pPr>
    </w:p>
    <w:p w14:paraId="2324F895"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Por último, están </w:t>
      </w:r>
      <w:r w:rsidRPr="00755FAF">
        <w:rPr>
          <w:rFonts w:ascii="Arial" w:eastAsia="Arial" w:hAnsi="Arial" w:cs="Arial"/>
          <w:b/>
          <w:bCs/>
          <w:i/>
          <w:iCs/>
          <w:sz w:val="20"/>
          <w:szCs w:val="20"/>
          <w:u w:val="single"/>
        </w:rPr>
        <w:t xml:space="preserve">todos aquellos “sueños de ganancia”, como suele calificarlos la doctrina especializada, que no son más que conjeturas o eventuales perjuicios que tienen como apoyatura meras hipótesis, sin anclaje en la realidad que rodea la </w:t>
      </w:r>
      <w:proofErr w:type="spellStart"/>
      <w:r w:rsidRPr="00755FAF">
        <w:rPr>
          <w:rFonts w:ascii="Arial" w:eastAsia="Arial" w:hAnsi="Arial" w:cs="Arial"/>
          <w:b/>
          <w:bCs/>
          <w:i/>
          <w:iCs/>
          <w:sz w:val="20"/>
          <w:szCs w:val="20"/>
          <w:u w:val="single"/>
        </w:rPr>
        <w:t>causación</w:t>
      </w:r>
      <w:proofErr w:type="spellEnd"/>
      <w:r w:rsidRPr="00755FAF">
        <w:rPr>
          <w:rFonts w:ascii="Arial" w:eastAsia="Arial" w:hAnsi="Arial" w:cs="Arial"/>
          <w:b/>
          <w:bCs/>
          <w:i/>
          <w:iCs/>
          <w:sz w:val="20"/>
          <w:szCs w:val="20"/>
          <w:u w:val="single"/>
        </w:rPr>
        <w:t xml:space="preserve"> del daño, los cuales, por obvias razones, no son indemnizables</w:t>
      </w:r>
      <w:r w:rsidRPr="00755FAF">
        <w:rPr>
          <w:rFonts w:ascii="Arial" w:eastAsia="Arial" w:hAnsi="Arial" w:cs="Arial"/>
          <w:i/>
          <w:iCs/>
          <w:sz w:val="20"/>
          <w:szCs w:val="20"/>
        </w:rPr>
        <w:t>”.</w:t>
      </w:r>
      <w:r>
        <w:rPr>
          <w:rStyle w:val="Refdenotaalpie"/>
          <w:rFonts w:ascii="Arial" w:eastAsia="Arial" w:hAnsi="Arial" w:cs="Arial"/>
          <w:sz w:val="20"/>
          <w:szCs w:val="20"/>
        </w:rPr>
        <w:footnoteReference w:id="9"/>
      </w:r>
      <w:r>
        <w:rPr>
          <w:rFonts w:ascii="Arial" w:eastAsia="Arial" w:hAnsi="Arial" w:cs="Arial"/>
          <w:i/>
          <w:iCs/>
          <w:sz w:val="20"/>
          <w:szCs w:val="20"/>
        </w:rPr>
        <w:t xml:space="preserve"> </w:t>
      </w:r>
      <w:r w:rsidRPr="00755FAF">
        <w:rPr>
          <w:rFonts w:ascii="Arial" w:eastAsia="Arial" w:hAnsi="Arial" w:cs="Arial"/>
        </w:rPr>
        <w:t>(Negrilla y subrayado fuera del texto)</w:t>
      </w:r>
    </w:p>
    <w:p w14:paraId="5C614225" w14:textId="77777777" w:rsidR="00B851F2" w:rsidRPr="004551BE" w:rsidRDefault="00B851F2" w:rsidP="00B851F2">
      <w:pPr>
        <w:spacing w:line="360" w:lineRule="auto"/>
        <w:ind w:left="708"/>
        <w:jc w:val="both"/>
        <w:rPr>
          <w:rFonts w:ascii="Arial" w:eastAsia="Arial" w:hAnsi="Arial" w:cs="Arial"/>
          <w:sz w:val="20"/>
          <w:szCs w:val="20"/>
        </w:rPr>
      </w:pPr>
    </w:p>
    <w:p w14:paraId="1A33735D"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w:t>
      </w:r>
      <w:r>
        <w:rPr>
          <w:rFonts w:ascii="Arial" w:eastAsia="Arial" w:hAnsi="Arial" w:cs="Arial"/>
        </w:rPr>
        <w:t>o</w:t>
      </w:r>
      <w:r w:rsidRPr="004551BE">
        <w:rPr>
          <w:rFonts w:ascii="Arial" w:eastAsia="Arial" w:hAnsi="Arial" w:cs="Arial"/>
        </w:rPr>
        <w:t xml:space="preserve"> en medios de convicción ciertos y no meramente especulativos. </w:t>
      </w:r>
    </w:p>
    <w:p w14:paraId="42DD7C2B" w14:textId="77777777" w:rsidR="00B851F2" w:rsidRPr="004551BE" w:rsidRDefault="00B851F2" w:rsidP="00B851F2">
      <w:pPr>
        <w:spacing w:line="360" w:lineRule="auto"/>
        <w:jc w:val="both"/>
        <w:rPr>
          <w:rFonts w:ascii="Arial" w:eastAsia="Arial" w:hAnsi="Arial" w:cs="Arial"/>
        </w:rPr>
      </w:pPr>
    </w:p>
    <w:p w14:paraId="45F15F1A"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57DA4E59" w14:textId="77777777" w:rsidR="00B851F2" w:rsidRPr="004551BE" w:rsidRDefault="00B851F2" w:rsidP="00B851F2">
      <w:pPr>
        <w:spacing w:line="360" w:lineRule="auto"/>
        <w:jc w:val="both"/>
        <w:rPr>
          <w:rFonts w:ascii="Arial" w:eastAsia="Arial" w:hAnsi="Arial" w:cs="Arial"/>
        </w:rPr>
      </w:pPr>
    </w:p>
    <w:p w14:paraId="6CFC875E"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D51B42">
        <w:rPr>
          <w:rFonts w:ascii="Arial" w:eastAsia="Arial" w:hAnsi="Arial" w:cs="Arial"/>
          <w:i/>
          <w:iCs/>
          <w:sz w:val="20"/>
          <w:szCs w:val="20"/>
        </w:rPr>
        <w:t xml:space="preserve"> (…) </w:t>
      </w:r>
    </w:p>
    <w:p w14:paraId="2EE21597" w14:textId="77777777" w:rsidR="00B851F2" w:rsidRPr="00D51B42" w:rsidRDefault="00B851F2" w:rsidP="00B851F2">
      <w:pPr>
        <w:spacing w:line="360" w:lineRule="auto"/>
        <w:ind w:left="851"/>
        <w:jc w:val="both"/>
        <w:rPr>
          <w:rFonts w:ascii="Arial" w:eastAsia="Arial" w:hAnsi="Arial" w:cs="Arial"/>
          <w:i/>
          <w:iCs/>
          <w:sz w:val="20"/>
          <w:szCs w:val="20"/>
        </w:rPr>
      </w:pPr>
    </w:p>
    <w:p w14:paraId="3262FFD3"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w:t>
      </w:r>
      <w:r w:rsidRPr="00D51B42">
        <w:rPr>
          <w:rFonts w:ascii="Arial" w:eastAsia="Arial" w:hAnsi="Arial" w:cs="Arial"/>
          <w:i/>
          <w:iCs/>
          <w:sz w:val="20"/>
          <w:szCs w:val="20"/>
        </w:rPr>
        <w:lastRenderedPageBreak/>
        <w:t xml:space="preserve">un ingreso que se tenía o que con certeza se iba a empezar a percibir, el juzgador </w:t>
      </w:r>
      <w:r w:rsidRPr="00D51B4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AFCFD73" w14:textId="77777777" w:rsidR="00B851F2" w:rsidRPr="00D51B42" w:rsidRDefault="00B851F2" w:rsidP="00B851F2">
      <w:pPr>
        <w:spacing w:line="360" w:lineRule="auto"/>
        <w:ind w:left="851"/>
        <w:jc w:val="both"/>
        <w:rPr>
          <w:rFonts w:ascii="Arial" w:eastAsia="Arial" w:hAnsi="Arial" w:cs="Arial"/>
          <w:i/>
          <w:iCs/>
          <w:sz w:val="20"/>
          <w:szCs w:val="20"/>
        </w:rPr>
      </w:pPr>
    </w:p>
    <w:p w14:paraId="7693D64D"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D51B42">
        <w:rPr>
          <w:rFonts w:ascii="Arial" w:eastAsia="Arial" w:hAnsi="Arial" w:cs="Arial"/>
          <w:i/>
          <w:iCs/>
          <w:sz w:val="20"/>
          <w:szCs w:val="20"/>
        </w:rPr>
        <w:t>ii</w:t>
      </w:r>
      <w:proofErr w:type="spellEnd"/>
      <w:r w:rsidRPr="00D51B42">
        <w:rPr>
          <w:rFonts w:ascii="Arial" w:eastAsia="Arial" w:hAnsi="Arial" w:cs="Arial"/>
          <w:i/>
          <w:iCs/>
          <w:sz w:val="20"/>
          <w:szCs w:val="20"/>
        </w:rPr>
        <w:t xml:space="preserve">) proceder a su liquidación. </w:t>
      </w:r>
    </w:p>
    <w:p w14:paraId="20914AA6" w14:textId="77777777" w:rsidR="00B851F2" w:rsidRPr="00D51B42" w:rsidRDefault="00B851F2" w:rsidP="00B851F2">
      <w:pPr>
        <w:spacing w:line="360" w:lineRule="auto"/>
        <w:ind w:left="851"/>
        <w:jc w:val="both"/>
        <w:rPr>
          <w:rFonts w:ascii="Arial" w:eastAsia="Arial" w:hAnsi="Arial" w:cs="Arial"/>
          <w:i/>
          <w:iCs/>
          <w:sz w:val="20"/>
          <w:szCs w:val="20"/>
        </w:rPr>
      </w:pPr>
    </w:p>
    <w:p w14:paraId="00E993C2"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b/>
          <w:bCs/>
          <w:i/>
          <w:iCs/>
          <w:sz w:val="20"/>
          <w:szCs w:val="20"/>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D51B42">
        <w:rPr>
          <w:rFonts w:ascii="Arial" w:eastAsia="Arial" w:hAnsi="Arial" w:cs="Arial"/>
          <w:b/>
          <w:bCs/>
          <w:i/>
          <w:iCs/>
          <w:sz w:val="20"/>
          <w:szCs w:val="20"/>
          <w:u w:val="single"/>
        </w:rPr>
        <w:t>ii</w:t>
      </w:r>
      <w:proofErr w:type="spellEnd"/>
      <w:r w:rsidRPr="00D51B42">
        <w:rPr>
          <w:rFonts w:ascii="Arial" w:eastAsia="Arial" w:hAnsi="Arial" w:cs="Arial"/>
          <w:b/>
          <w:bCs/>
          <w:i/>
          <w:iCs/>
          <w:sz w:val="20"/>
          <w:szCs w:val="20"/>
          <w:u w:val="single"/>
        </w:rPr>
        <w:t>) a partir de la existencia de una actividad productiva lícita previa no derivada de una relación laboral, pero de la cual emane la existencia del lucro cesante.</w:t>
      </w:r>
      <w:r w:rsidRPr="00D51B42">
        <w:rPr>
          <w:rStyle w:val="Refdenotaalpie"/>
          <w:rFonts w:ascii="Arial" w:eastAsia="Arial" w:hAnsi="Arial" w:cs="Arial"/>
          <w:b/>
          <w:bCs/>
          <w:i/>
          <w:iCs/>
          <w:sz w:val="20"/>
          <w:szCs w:val="20"/>
        </w:rPr>
        <w:footnoteReference w:id="10"/>
      </w:r>
      <w:r>
        <w:rPr>
          <w:rFonts w:ascii="Arial" w:eastAsia="Arial" w:hAnsi="Arial" w:cs="Arial"/>
          <w:b/>
          <w:bCs/>
          <w:i/>
          <w:iCs/>
          <w:sz w:val="20"/>
          <w:szCs w:val="20"/>
          <w:u w:val="single"/>
        </w:rPr>
        <w:t xml:space="preserve"> </w:t>
      </w:r>
      <w:r w:rsidRPr="00755FAF">
        <w:rPr>
          <w:rFonts w:ascii="Arial" w:eastAsia="Arial" w:hAnsi="Arial" w:cs="Arial"/>
        </w:rPr>
        <w:t>(Negrilla y subrayado fuera del texto)</w:t>
      </w:r>
    </w:p>
    <w:p w14:paraId="1BD6179A" w14:textId="77777777" w:rsidR="00B851F2" w:rsidRPr="004551BE" w:rsidRDefault="00B851F2" w:rsidP="00B851F2">
      <w:pPr>
        <w:spacing w:line="360" w:lineRule="auto"/>
        <w:ind w:left="708"/>
        <w:jc w:val="both"/>
        <w:rPr>
          <w:rFonts w:ascii="Arial" w:eastAsia="Arial" w:hAnsi="Arial" w:cs="Arial"/>
          <w:b/>
          <w:bCs/>
          <w:sz w:val="20"/>
          <w:szCs w:val="20"/>
          <w:u w:val="single"/>
        </w:rPr>
      </w:pPr>
    </w:p>
    <w:p w14:paraId="7F54232B" w14:textId="18CC16A0" w:rsidR="00B851F2" w:rsidRDefault="00B851F2" w:rsidP="00B851F2">
      <w:pPr>
        <w:spacing w:line="360" w:lineRule="auto"/>
        <w:jc w:val="both"/>
        <w:rPr>
          <w:rFonts w:ascii="Arial" w:eastAsia="Arial" w:hAnsi="Arial" w:cs="Arial"/>
        </w:rPr>
      </w:pPr>
      <w:r w:rsidRPr="004551BE">
        <w:rPr>
          <w:rFonts w:ascii="Arial" w:eastAsia="Arial" w:hAnsi="Arial" w:cs="Arial"/>
        </w:rPr>
        <w:t>En definitiva, no es posible reconocer ningún perjuicio a título de lucro cesante</w:t>
      </w:r>
      <w:r w:rsidR="00AD73E0">
        <w:rPr>
          <w:rFonts w:ascii="Arial" w:eastAsia="Arial" w:hAnsi="Arial" w:cs="Arial"/>
        </w:rPr>
        <w:t>,</w:t>
      </w:r>
      <w:r w:rsidRPr="004551BE">
        <w:rPr>
          <w:rFonts w:ascii="Arial" w:eastAsia="Arial" w:hAnsi="Arial" w:cs="Arial"/>
        </w:rPr>
        <w:t xml:space="preserve"> en cuanto </w:t>
      </w:r>
      <w:r w:rsidR="00AA6965">
        <w:rPr>
          <w:rFonts w:ascii="Arial" w:eastAsia="Arial" w:hAnsi="Arial" w:cs="Arial"/>
        </w:rPr>
        <w:t>el</w:t>
      </w:r>
      <w:r>
        <w:rPr>
          <w:rFonts w:ascii="Arial" w:eastAsia="Arial" w:hAnsi="Arial" w:cs="Arial"/>
        </w:rPr>
        <w:t xml:space="preserve"> demandante</w:t>
      </w:r>
      <w:r w:rsidRPr="004551BE">
        <w:rPr>
          <w:rFonts w:ascii="Arial" w:eastAsia="Arial" w:hAnsi="Arial" w:cs="Arial"/>
        </w:rPr>
        <w:t xml:space="preserve"> sustent</w:t>
      </w:r>
      <w:r w:rsidR="00AA6965">
        <w:rPr>
          <w:rFonts w:ascii="Arial" w:eastAsia="Arial" w:hAnsi="Arial" w:cs="Arial"/>
        </w:rPr>
        <w:t>ó</w:t>
      </w:r>
      <w:r w:rsidRPr="004551BE">
        <w:rPr>
          <w:rFonts w:ascii="Arial" w:eastAsia="Arial" w:hAnsi="Arial" w:cs="Arial"/>
        </w:rPr>
        <w:t xml:space="preserve"> sus pretensiones en meras suposiciones y no</w:t>
      </w:r>
      <w:r w:rsidR="00AA6965">
        <w:rPr>
          <w:rFonts w:ascii="Arial" w:eastAsia="Arial" w:hAnsi="Arial" w:cs="Arial"/>
        </w:rPr>
        <w:t xml:space="preserve"> </w:t>
      </w:r>
      <w:r w:rsidRPr="004551BE">
        <w:rPr>
          <w:rFonts w:ascii="Arial" w:eastAsia="Arial" w:hAnsi="Arial" w:cs="Arial"/>
        </w:rPr>
        <w:t>allegó ningún medio probatorio que permitiera demostrar que ejercía una actividad productiva</w:t>
      </w:r>
      <w:r>
        <w:rPr>
          <w:rFonts w:ascii="Arial" w:eastAsia="Arial" w:hAnsi="Arial" w:cs="Arial"/>
        </w:rPr>
        <w:t xml:space="preserve"> al momento de los hechos</w:t>
      </w:r>
      <w:r w:rsidR="00AA6965">
        <w:rPr>
          <w:rFonts w:ascii="Arial" w:eastAsia="Arial" w:hAnsi="Arial" w:cs="Arial"/>
        </w:rPr>
        <w:t xml:space="preserve"> y que en consecuencia de ella recibía una remuneración</w:t>
      </w:r>
      <w:r w:rsidRPr="004551BE">
        <w:rPr>
          <w:rFonts w:ascii="Arial" w:eastAsia="Arial" w:hAnsi="Arial" w:cs="Arial"/>
        </w:rPr>
        <w:t xml:space="preserve">, por lo que, cualquier indemnización de este perjuicio resultaría insostenible y exagerada. </w:t>
      </w:r>
    </w:p>
    <w:p w14:paraId="46939888" w14:textId="77777777" w:rsidR="00FE1B68" w:rsidRDefault="00FE1B68" w:rsidP="00B851F2">
      <w:pPr>
        <w:spacing w:line="360" w:lineRule="auto"/>
        <w:jc w:val="both"/>
        <w:rPr>
          <w:rFonts w:ascii="Arial" w:eastAsia="Arial" w:hAnsi="Arial" w:cs="Arial"/>
        </w:rPr>
      </w:pPr>
    </w:p>
    <w:p w14:paraId="45DA532E" w14:textId="05CF26E2" w:rsidR="00AD73E0" w:rsidRPr="003125FD" w:rsidRDefault="00FE1B68" w:rsidP="00AD73E0">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w:t>
      </w:r>
      <w:r>
        <w:rPr>
          <w:rFonts w:ascii="Arial" w:eastAsia="Arial" w:hAnsi="Arial" w:cs="Arial"/>
          <w:b/>
          <w:bCs/>
          <w:lang w:val="es-ES"/>
        </w:rPr>
        <w:t xml:space="preserve">daño a </w:t>
      </w:r>
      <w:r w:rsidR="00AD73E0">
        <w:rPr>
          <w:rFonts w:ascii="Arial" w:eastAsia="Arial" w:hAnsi="Arial" w:cs="Arial"/>
          <w:b/>
          <w:bCs/>
          <w:lang w:val="es-ES"/>
        </w:rPr>
        <w:t xml:space="preserve">la </w:t>
      </w:r>
      <w:r>
        <w:rPr>
          <w:rFonts w:ascii="Arial" w:eastAsia="Arial" w:hAnsi="Arial" w:cs="Arial"/>
          <w:b/>
          <w:bCs/>
          <w:lang w:val="es-ES"/>
        </w:rPr>
        <w:t>vida en relación</w:t>
      </w:r>
      <w:r w:rsidRPr="00E65D0F">
        <w:rPr>
          <w:rFonts w:ascii="Arial" w:eastAsia="Arial" w:hAnsi="Arial" w:cs="Arial"/>
          <w:b/>
          <w:bCs/>
          <w:lang w:val="es-ES"/>
        </w:rPr>
        <w:t xml:space="preserve"> </w:t>
      </w:r>
    </w:p>
    <w:p w14:paraId="1BDDCCBA" w14:textId="10B5E09D" w:rsidR="00AD73E0" w:rsidRDefault="00AD73E0" w:rsidP="00FE1B68">
      <w:pPr>
        <w:spacing w:line="360" w:lineRule="auto"/>
        <w:jc w:val="both"/>
        <w:rPr>
          <w:rFonts w:ascii="Arial" w:eastAsia="Arial" w:hAnsi="Arial" w:cs="Arial"/>
          <w:color w:val="000000" w:themeColor="text1"/>
        </w:rPr>
      </w:pPr>
    </w:p>
    <w:p w14:paraId="6F48D57E" w14:textId="224B9FE1" w:rsidR="00AD73E0" w:rsidRPr="00EC0A0F" w:rsidRDefault="00AD73E0" w:rsidP="00AD73E0">
      <w:pPr>
        <w:spacing w:line="360" w:lineRule="auto"/>
        <w:jc w:val="both"/>
      </w:pPr>
      <w:r w:rsidRPr="00EC0A0F">
        <w:t>Ahora bien, l</w:t>
      </w:r>
      <w:r>
        <w:t xml:space="preserve">os demandantes pretenden </w:t>
      </w:r>
      <w:r w:rsidRPr="00EC0A0F">
        <w:t>que se le</w:t>
      </w:r>
      <w:r>
        <w:t>s</w:t>
      </w:r>
      <w:r w:rsidRPr="00EC0A0F">
        <w:t xml:space="preserve"> reconozca como perjuicio inmaterial el </w:t>
      </w:r>
      <w:r w:rsidRPr="00EC0A0F">
        <w:rPr>
          <w:i/>
          <w:iCs/>
        </w:rPr>
        <w:t>“daño a la vida en relación”,</w:t>
      </w:r>
      <w:r>
        <w:rPr>
          <w:i/>
          <w:iCs/>
        </w:rPr>
        <w:t xml:space="preserve"> </w:t>
      </w:r>
      <w:r w:rsidRPr="003125FD">
        <w:t>por valor de 50SMMLV,</w:t>
      </w:r>
      <w:r w:rsidRPr="00EC0A0F">
        <w:rPr>
          <w:i/>
          <w:iCs/>
        </w:rPr>
        <w:t xml:space="preserve"> </w:t>
      </w:r>
      <w:r w:rsidRPr="00EC0A0F">
        <w:t xml:space="preserve">el cual fue eliminado de la jurisprudencia contenciosa y subsumido en el daño a la salud, por lo que a primera vista deberá ser desestimado por el juzgador y analizado de conformidad con las disposiciones de este último perjuicio inmaterial. </w:t>
      </w:r>
    </w:p>
    <w:p w14:paraId="583322E8" w14:textId="77777777" w:rsidR="00AD73E0" w:rsidRPr="00EC0A0F" w:rsidRDefault="00AD73E0" w:rsidP="00AD73E0">
      <w:pPr>
        <w:spacing w:line="360" w:lineRule="auto"/>
        <w:jc w:val="both"/>
      </w:pPr>
    </w:p>
    <w:p w14:paraId="3CCEF9EB" w14:textId="77777777" w:rsidR="00AD73E0" w:rsidRPr="00EC0A0F" w:rsidRDefault="00AD73E0" w:rsidP="00AD73E0">
      <w:pPr>
        <w:spacing w:line="360" w:lineRule="auto"/>
        <w:jc w:val="both"/>
      </w:pPr>
      <w:r w:rsidRPr="00EC0A0F">
        <w:t xml:space="preserve">Sobre este aspecto, el Consejo de Estado ha definido el daño a la salud como: </w:t>
      </w:r>
      <w:r w:rsidRPr="00EC0A0F">
        <w:rPr>
          <w:i/>
          <w:iCs/>
        </w:rPr>
        <w:t xml:space="preserve">“(…)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w:t>
      </w:r>
      <w:proofErr w:type="gramStart"/>
      <w:r w:rsidRPr="00EC0A0F">
        <w:rPr>
          <w:i/>
          <w:iCs/>
        </w:rPr>
        <w:t>la misma</w:t>
      </w:r>
      <w:proofErr w:type="gramEnd"/>
      <w:r w:rsidRPr="00EC0A0F">
        <w:rPr>
          <w:i/>
          <w:iCs/>
        </w:rPr>
        <w:t>”</w:t>
      </w:r>
      <w:r w:rsidRPr="00EC0A0F">
        <w:rPr>
          <w:rStyle w:val="Refdenotaalpie"/>
          <w:i/>
          <w:iCs/>
        </w:rPr>
        <w:footnoteReference w:id="11"/>
      </w:r>
      <w:r w:rsidRPr="00EC0A0F">
        <w:rPr>
          <w:i/>
          <w:iCs/>
        </w:rPr>
        <w:t>.</w:t>
      </w:r>
    </w:p>
    <w:p w14:paraId="6B568BD4" w14:textId="77777777" w:rsidR="00AD73E0" w:rsidRPr="00EC0A0F" w:rsidRDefault="00AD73E0" w:rsidP="00AD73E0">
      <w:pPr>
        <w:spacing w:line="360" w:lineRule="auto"/>
        <w:jc w:val="both"/>
      </w:pPr>
    </w:p>
    <w:p w14:paraId="723F2D96" w14:textId="77777777" w:rsidR="00AD73E0" w:rsidRPr="00EC0A0F" w:rsidRDefault="00AD73E0" w:rsidP="00AD73E0">
      <w:pPr>
        <w:spacing w:line="360" w:lineRule="auto"/>
        <w:jc w:val="both"/>
      </w:pPr>
      <w:r w:rsidRPr="00EC0A0F">
        <w:t>Ahora bien, con respecto a la acreditación y liquidación de este tipo de perjuicio inmaterial, el Alto Tribunal afirmó:</w:t>
      </w:r>
    </w:p>
    <w:p w14:paraId="7CC4D125" w14:textId="77777777" w:rsidR="00AD73E0" w:rsidRPr="00EC0A0F" w:rsidRDefault="00AD73E0" w:rsidP="00AD73E0">
      <w:pPr>
        <w:spacing w:line="360" w:lineRule="auto"/>
        <w:ind w:left="708"/>
        <w:jc w:val="both"/>
        <w:rPr>
          <w:i/>
          <w:iCs/>
        </w:rPr>
      </w:pPr>
    </w:p>
    <w:p w14:paraId="259869CF" w14:textId="77777777" w:rsidR="00AD73E0" w:rsidRPr="00833C7E" w:rsidRDefault="00AD73E0" w:rsidP="00AD73E0">
      <w:pPr>
        <w:spacing w:line="360" w:lineRule="auto"/>
        <w:ind w:left="708" w:right="899"/>
        <w:jc w:val="both"/>
        <w:rPr>
          <w:i/>
          <w:iCs/>
          <w:sz w:val="20"/>
          <w:szCs w:val="20"/>
        </w:rPr>
      </w:pPr>
      <w:r w:rsidRPr="00833C7E">
        <w:rPr>
          <w:i/>
          <w:iCs/>
          <w:sz w:val="20"/>
          <w:szCs w:val="20"/>
        </w:rPr>
        <w:t xml:space="preserve">“La indemnización, en los términos del fallo referido está sujeta a lo probado en el proceso, </w:t>
      </w:r>
      <w:r w:rsidRPr="00833C7E">
        <w:rPr>
          <w:b/>
          <w:bCs/>
          <w:i/>
          <w:iCs/>
          <w:sz w:val="20"/>
          <w:szCs w:val="20"/>
          <w:u w:val="single"/>
        </w:rPr>
        <w:t>única y exclusivamente para la victima directa</w:t>
      </w:r>
      <w:r w:rsidRPr="00833C7E">
        <w:rPr>
          <w:i/>
          <w:iCs/>
          <w:sz w:val="20"/>
          <w:szCs w:val="20"/>
        </w:rPr>
        <w:t>, en cuantía que no podrá exceder de 100 S.M.L.M.V, de acuerdo con la gravedad de la lesión, debidamente motivada y razonada, conforme a la siguiente tabla:</w:t>
      </w:r>
    </w:p>
    <w:p w14:paraId="631FFD4B" w14:textId="77777777" w:rsidR="00AD73E0" w:rsidRPr="00833C7E" w:rsidRDefault="00AD73E0" w:rsidP="00AD73E0">
      <w:pPr>
        <w:spacing w:line="360" w:lineRule="auto"/>
        <w:ind w:left="708" w:right="899"/>
        <w:jc w:val="center"/>
        <w:rPr>
          <w:i/>
          <w:iCs/>
          <w:sz w:val="20"/>
          <w:szCs w:val="20"/>
        </w:rPr>
      </w:pPr>
      <w:r w:rsidRPr="00833C7E">
        <w:rPr>
          <w:i/>
          <w:iCs/>
          <w:noProof/>
          <w:sz w:val="20"/>
          <w:szCs w:val="20"/>
        </w:rPr>
        <w:drawing>
          <wp:inline distT="0" distB="0" distL="0" distR="0" wp14:anchorId="023128E7" wp14:editId="32FAD666">
            <wp:extent cx="4805680" cy="1738265"/>
            <wp:effectExtent l="0" t="0" r="0" b="1905"/>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6273" cy="1749331"/>
                    </a:xfrm>
                    <a:prstGeom prst="rect">
                      <a:avLst/>
                    </a:prstGeom>
                    <a:noFill/>
                    <a:ln>
                      <a:noFill/>
                    </a:ln>
                  </pic:spPr>
                </pic:pic>
              </a:graphicData>
            </a:graphic>
          </wp:inline>
        </w:drawing>
      </w:r>
    </w:p>
    <w:p w14:paraId="5D4510F1" w14:textId="77777777" w:rsidR="00AD73E0" w:rsidRPr="00833C7E" w:rsidRDefault="00AD73E0" w:rsidP="00AD73E0">
      <w:pPr>
        <w:spacing w:line="360" w:lineRule="auto"/>
        <w:ind w:left="708" w:right="899"/>
        <w:jc w:val="both"/>
        <w:rPr>
          <w:i/>
          <w:iCs/>
          <w:sz w:val="20"/>
          <w:szCs w:val="20"/>
        </w:rPr>
      </w:pPr>
    </w:p>
    <w:p w14:paraId="3DA7E091" w14:textId="77777777" w:rsidR="00AD73E0" w:rsidRPr="00833C7E" w:rsidRDefault="00AD73E0" w:rsidP="00AD73E0">
      <w:pPr>
        <w:spacing w:line="360" w:lineRule="auto"/>
        <w:ind w:left="708" w:right="899"/>
        <w:jc w:val="both"/>
        <w:rPr>
          <w:i/>
          <w:iCs/>
          <w:sz w:val="20"/>
          <w:szCs w:val="20"/>
        </w:rPr>
      </w:pPr>
      <w:r w:rsidRPr="00833C7E">
        <w:rPr>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6C5EED8B" w14:textId="77777777" w:rsidR="00AD73E0" w:rsidRPr="00833C7E" w:rsidRDefault="00AD73E0" w:rsidP="00AD73E0">
      <w:pPr>
        <w:spacing w:line="360" w:lineRule="auto"/>
        <w:ind w:left="708" w:right="899"/>
        <w:jc w:val="both"/>
        <w:rPr>
          <w:i/>
          <w:iCs/>
          <w:sz w:val="20"/>
          <w:szCs w:val="20"/>
        </w:rPr>
      </w:pPr>
    </w:p>
    <w:p w14:paraId="10CBE9A8" w14:textId="77777777" w:rsidR="00AD73E0" w:rsidRPr="00833C7E" w:rsidRDefault="00AD73E0" w:rsidP="00AD73E0">
      <w:pPr>
        <w:spacing w:line="360" w:lineRule="auto"/>
        <w:ind w:left="708" w:right="899"/>
        <w:jc w:val="both"/>
        <w:rPr>
          <w:i/>
          <w:iCs/>
          <w:sz w:val="20"/>
          <w:szCs w:val="20"/>
        </w:rPr>
      </w:pPr>
      <w:r w:rsidRPr="00833C7E">
        <w:rPr>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79CF84C1" w14:textId="77777777" w:rsidR="00AD73E0" w:rsidRPr="00833C7E" w:rsidRDefault="00AD73E0" w:rsidP="00AD73E0">
      <w:pPr>
        <w:spacing w:line="360" w:lineRule="auto"/>
        <w:ind w:left="708" w:right="899"/>
        <w:jc w:val="both"/>
        <w:rPr>
          <w:i/>
          <w:iCs/>
          <w:sz w:val="20"/>
          <w:szCs w:val="20"/>
        </w:rPr>
      </w:pPr>
    </w:p>
    <w:p w14:paraId="2924DF32" w14:textId="77777777" w:rsidR="00AD73E0" w:rsidRPr="00833C7E" w:rsidRDefault="00AD73E0" w:rsidP="00AD73E0">
      <w:pPr>
        <w:spacing w:line="360" w:lineRule="auto"/>
        <w:ind w:left="708" w:right="899"/>
        <w:jc w:val="both"/>
        <w:rPr>
          <w:i/>
          <w:iCs/>
          <w:sz w:val="20"/>
          <w:szCs w:val="20"/>
        </w:rPr>
      </w:pPr>
      <w:r w:rsidRPr="00833C7E">
        <w:rPr>
          <w:i/>
          <w:iCs/>
          <w:sz w:val="20"/>
          <w:szCs w:val="20"/>
        </w:rPr>
        <w:t>- La pérdida o anormalidad de la estructura o función psicológica, fisiológica o anatómica (temporal o permanente)</w:t>
      </w:r>
    </w:p>
    <w:p w14:paraId="0693370B" w14:textId="77777777" w:rsidR="00AD73E0" w:rsidRPr="00833C7E" w:rsidRDefault="00AD73E0" w:rsidP="00AD73E0">
      <w:pPr>
        <w:spacing w:line="360" w:lineRule="auto"/>
        <w:ind w:left="708" w:right="899"/>
        <w:jc w:val="both"/>
        <w:rPr>
          <w:i/>
          <w:iCs/>
          <w:sz w:val="20"/>
          <w:szCs w:val="20"/>
        </w:rPr>
      </w:pPr>
      <w:r w:rsidRPr="00833C7E">
        <w:rPr>
          <w:i/>
          <w:iCs/>
          <w:sz w:val="20"/>
          <w:szCs w:val="20"/>
        </w:rPr>
        <w:t>- La anomalía, defecto o pérdida producida en un miembro, órgano, tejido u otra estructura corporal o mental.</w:t>
      </w:r>
    </w:p>
    <w:p w14:paraId="58B3451C" w14:textId="77777777" w:rsidR="00AD73E0" w:rsidRPr="00833C7E" w:rsidRDefault="00AD73E0" w:rsidP="00AD73E0">
      <w:pPr>
        <w:spacing w:line="360" w:lineRule="auto"/>
        <w:ind w:left="708" w:right="899"/>
        <w:jc w:val="both"/>
        <w:rPr>
          <w:i/>
          <w:iCs/>
          <w:sz w:val="20"/>
          <w:szCs w:val="20"/>
        </w:rPr>
      </w:pPr>
      <w:r w:rsidRPr="00833C7E">
        <w:rPr>
          <w:i/>
          <w:iCs/>
          <w:sz w:val="20"/>
          <w:szCs w:val="20"/>
        </w:rPr>
        <w:t>-La exteriorización de un estado patológico que refleje perturbaciones al nivel de un órgano.</w:t>
      </w:r>
    </w:p>
    <w:p w14:paraId="706F3223" w14:textId="77777777" w:rsidR="00AD73E0" w:rsidRPr="00833C7E" w:rsidRDefault="00AD73E0" w:rsidP="00AD73E0">
      <w:pPr>
        <w:spacing w:line="360" w:lineRule="auto"/>
        <w:ind w:left="708" w:right="899"/>
        <w:jc w:val="both"/>
        <w:rPr>
          <w:i/>
          <w:iCs/>
          <w:sz w:val="20"/>
          <w:szCs w:val="20"/>
        </w:rPr>
      </w:pPr>
      <w:r w:rsidRPr="00833C7E">
        <w:rPr>
          <w:i/>
          <w:iCs/>
          <w:sz w:val="20"/>
          <w:szCs w:val="20"/>
        </w:rPr>
        <w:t>- La reversibilidad o irreversibilidad de la patología.</w:t>
      </w:r>
    </w:p>
    <w:p w14:paraId="74E3694A" w14:textId="77777777" w:rsidR="00AD73E0" w:rsidRPr="00833C7E" w:rsidRDefault="00AD73E0" w:rsidP="00AD73E0">
      <w:pPr>
        <w:spacing w:line="360" w:lineRule="auto"/>
        <w:ind w:left="708" w:right="899"/>
        <w:jc w:val="both"/>
        <w:rPr>
          <w:i/>
          <w:iCs/>
          <w:sz w:val="20"/>
          <w:szCs w:val="20"/>
        </w:rPr>
      </w:pPr>
      <w:r w:rsidRPr="00833C7E">
        <w:rPr>
          <w:i/>
          <w:iCs/>
          <w:sz w:val="20"/>
          <w:szCs w:val="20"/>
        </w:rPr>
        <w:t>- La restricción o ausencia de la capacidad para realizar una actividad normal o rutinaria.</w:t>
      </w:r>
    </w:p>
    <w:p w14:paraId="534B3065" w14:textId="77777777" w:rsidR="00AD73E0" w:rsidRPr="00833C7E" w:rsidRDefault="00AD73E0" w:rsidP="00AD73E0">
      <w:pPr>
        <w:spacing w:line="360" w:lineRule="auto"/>
        <w:ind w:left="708" w:right="899"/>
        <w:jc w:val="both"/>
        <w:rPr>
          <w:i/>
          <w:iCs/>
          <w:sz w:val="20"/>
          <w:szCs w:val="20"/>
        </w:rPr>
      </w:pPr>
      <w:r w:rsidRPr="00833C7E">
        <w:rPr>
          <w:i/>
          <w:iCs/>
          <w:sz w:val="20"/>
          <w:szCs w:val="20"/>
        </w:rPr>
        <w:t>- Excesos en el desempeño y comportamiento dentro de una actividad normal o rutinaria.</w:t>
      </w:r>
    </w:p>
    <w:p w14:paraId="068C7DEB" w14:textId="77777777" w:rsidR="00AD73E0" w:rsidRPr="00833C7E" w:rsidRDefault="00AD73E0" w:rsidP="00AD73E0">
      <w:pPr>
        <w:spacing w:line="360" w:lineRule="auto"/>
        <w:ind w:left="708" w:right="899"/>
        <w:jc w:val="both"/>
        <w:rPr>
          <w:i/>
          <w:iCs/>
          <w:sz w:val="20"/>
          <w:szCs w:val="20"/>
        </w:rPr>
      </w:pPr>
      <w:r w:rsidRPr="00833C7E">
        <w:rPr>
          <w:i/>
          <w:iCs/>
          <w:sz w:val="20"/>
          <w:szCs w:val="20"/>
        </w:rPr>
        <w:t>- Las limitaciones o impedimentos para el desempeño de un rol determinado.</w:t>
      </w:r>
    </w:p>
    <w:p w14:paraId="56C75113" w14:textId="77777777" w:rsidR="00AD73E0" w:rsidRPr="00833C7E" w:rsidRDefault="00AD73E0" w:rsidP="00AD73E0">
      <w:pPr>
        <w:spacing w:line="360" w:lineRule="auto"/>
        <w:ind w:left="708" w:right="899"/>
        <w:jc w:val="both"/>
        <w:rPr>
          <w:i/>
          <w:iCs/>
          <w:sz w:val="20"/>
          <w:szCs w:val="20"/>
        </w:rPr>
      </w:pPr>
      <w:r w:rsidRPr="00833C7E">
        <w:rPr>
          <w:i/>
          <w:iCs/>
          <w:sz w:val="20"/>
          <w:szCs w:val="20"/>
        </w:rPr>
        <w:t>- Los factores sociales, culturales u ocupacionales.</w:t>
      </w:r>
    </w:p>
    <w:p w14:paraId="377E224A" w14:textId="77777777" w:rsidR="00AD73E0" w:rsidRPr="00833C7E" w:rsidRDefault="00AD73E0" w:rsidP="00AD73E0">
      <w:pPr>
        <w:spacing w:line="360" w:lineRule="auto"/>
        <w:ind w:left="708" w:right="899"/>
        <w:jc w:val="both"/>
        <w:rPr>
          <w:i/>
          <w:iCs/>
          <w:sz w:val="20"/>
          <w:szCs w:val="20"/>
        </w:rPr>
      </w:pPr>
      <w:r w:rsidRPr="00833C7E">
        <w:rPr>
          <w:i/>
          <w:iCs/>
          <w:sz w:val="20"/>
          <w:szCs w:val="20"/>
        </w:rPr>
        <w:t>- La edad.</w:t>
      </w:r>
    </w:p>
    <w:p w14:paraId="7CF6494B" w14:textId="77777777" w:rsidR="00AD73E0" w:rsidRPr="00833C7E" w:rsidRDefault="00AD73E0" w:rsidP="00AD73E0">
      <w:pPr>
        <w:spacing w:line="360" w:lineRule="auto"/>
        <w:ind w:left="708" w:right="899"/>
        <w:jc w:val="both"/>
        <w:rPr>
          <w:i/>
          <w:iCs/>
          <w:sz w:val="20"/>
          <w:szCs w:val="20"/>
        </w:rPr>
      </w:pPr>
      <w:r w:rsidRPr="00833C7E">
        <w:rPr>
          <w:i/>
          <w:iCs/>
          <w:sz w:val="20"/>
          <w:szCs w:val="20"/>
        </w:rPr>
        <w:t>- El sexo.</w:t>
      </w:r>
    </w:p>
    <w:p w14:paraId="0F66CF57" w14:textId="77777777" w:rsidR="00AD73E0" w:rsidRPr="00833C7E" w:rsidRDefault="00AD73E0" w:rsidP="00AD73E0">
      <w:pPr>
        <w:spacing w:line="360" w:lineRule="auto"/>
        <w:ind w:left="708" w:right="899"/>
        <w:jc w:val="both"/>
        <w:rPr>
          <w:i/>
          <w:iCs/>
          <w:sz w:val="20"/>
          <w:szCs w:val="20"/>
        </w:rPr>
      </w:pPr>
      <w:r w:rsidRPr="00833C7E">
        <w:rPr>
          <w:i/>
          <w:iCs/>
          <w:sz w:val="20"/>
          <w:szCs w:val="20"/>
        </w:rPr>
        <w:t>- Las que tengan relación con la afectación de bienes placenteros, lúdicos y agradables de la víctima.</w:t>
      </w:r>
    </w:p>
    <w:p w14:paraId="762CF147" w14:textId="77777777" w:rsidR="00AD73E0" w:rsidRPr="00833C7E" w:rsidRDefault="00AD73E0" w:rsidP="00AD73E0">
      <w:pPr>
        <w:spacing w:line="360" w:lineRule="auto"/>
        <w:ind w:left="708" w:right="899"/>
        <w:jc w:val="both"/>
        <w:rPr>
          <w:i/>
          <w:iCs/>
          <w:sz w:val="20"/>
          <w:szCs w:val="20"/>
        </w:rPr>
      </w:pPr>
      <w:r w:rsidRPr="00833C7E">
        <w:rPr>
          <w:i/>
          <w:iCs/>
          <w:sz w:val="20"/>
          <w:szCs w:val="20"/>
        </w:rPr>
        <w:t>- Las demás que se acrediten dentro del proceso”</w:t>
      </w:r>
      <w:r w:rsidRPr="00833C7E">
        <w:rPr>
          <w:rStyle w:val="Refdenotaalpie"/>
          <w:i/>
          <w:iCs/>
          <w:sz w:val="20"/>
          <w:szCs w:val="20"/>
        </w:rPr>
        <w:footnoteReference w:id="12"/>
      </w:r>
      <w:r w:rsidRPr="00833C7E">
        <w:rPr>
          <w:i/>
          <w:iCs/>
          <w:sz w:val="20"/>
          <w:szCs w:val="20"/>
        </w:rPr>
        <w:t>.</w:t>
      </w:r>
    </w:p>
    <w:p w14:paraId="3531253C" w14:textId="77777777" w:rsidR="00AD73E0" w:rsidRPr="00833C7E" w:rsidRDefault="00AD73E0" w:rsidP="00AD73E0">
      <w:pPr>
        <w:spacing w:line="360" w:lineRule="auto"/>
        <w:ind w:left="708"/>
        <w:jc w:val="both"/>
        <w:rPr>
          <w:i/>
          <w:iCs/>
          <w:sz w:val="20"/>
          <w:szCs w:val="20"/>
        </w:rPr>
      </w:pPr>
    </w:p>
    <w:p w14:paraId="2D1559AE" w14:textId="2C769365" w:rsidR="00AD73E0" w:rsidRPr="003125FD" w:rsidRDefault="00AD73E0" w:rsidP="00AD73E0">
      <w:pPr>
        <w:spacing w:line="360" w:lineRule="auto"/>
        <w:jc w:val="both"/>
      </w:pPr>
      <w:r w:rsidRPr="00EC0A0F">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 fue aportado dentro del proceso. Así las cosas, en el caso concreto, no existe prueba de las afectaciones a la vida rutinaria de la demandante, dado que, si bien se aduce que hubo lesiones en una de sus extremidades, no se comprobó en qué medida afectaba su cotidianidad, aspecto esencial en el reconocimiento del daño a la salud. </w:t>
      </w:r>
    </w:p>
    <w:p w14:paraId="1BF42543" w14:textId="77777777" w:rsidR="00AD73E0" w:rsidRPr="00CA293B" w:rsidRDefault="00AD73E0" w:rsidP="00AD73E0">
      <w:pPr>
        <w:spacing w:after="160" w:line="360" w:lineRule="auto"/>
        <w:jc w:val="both"/>
        <w:rPr>
          <w:rFonts w:ascii="Arial" w:eastAsia="Arial" w:hAnsi="Arial" w:cs="Arial"/>
          <w:lang w:val="es-CO"/>
        </w:rPr>
      </w:pPr>
    </w:p>
    <w:p w14:paraId="004647D9" w14:textId="77777777" w:rsidR="00AD73E0" w:rsidRDefault="00AD73E0" w:rsidP="00AD73E0">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w:t>
      </w:r>
      <w:r>
        <w:rPr>
          <w:rFonts w:ascii="Arial" w:eastAsia="Arial" w:hAnsi="Arial" w:cs="Arial"/>
          <w:color w:val="000000" w:themeColor="text1"/>
        </w:rPr>
        <w:t>procedencia</w:t>
      </w:r>
      <w:r w:rsidRPr="004551BE">
        <w:rPr>
          <w:rFonts w:ascii="Arial" w:eastAsia="Arial" w:hAnsi="Arial" w:cs="Arial"/>
          <w:color w:val="000000" w:themeColor="text1"/>
        </w:rPr>
        <w:t xml:space="preserve"> no puede derivarse de calificaciones subjetivas por parte de los demandantes</w:t>
      </w:r>
      <w:r>
        <w:rPr>
          <w:rFonts w:ascii="Arial" w:eastAsia="Arial" w:hAnsi="Arial" w:cs="Arial"/>
          <w:color w:val="000000" w:themeColor="text1"/>
        </w:rPr>
        <w:t xml:space="preserve"> acerca de los hechos narrados</w:t>
      </w:r>
      <w:r w:rsidRPr="004551BE">
        <w:rPr>
          <w:rFonts w:ascii="Arial" w:eastAsia="Arial" w:hAnsi="Arial" w:cs="Arial"/>
          <w:color w:val="000000" w:themeColor="text1"/>
        </w:rPr>
        <w:t>, sino que debe</w:t>
      </w:r>
      <w:r>
        <w:rPr>
          <w:rFonts w:ascii="Arial" w:eastAsia="Arial" w:hAnsi="Arial" w:cs="Arial"/>
          <w:color w:val="000000" w:themeColor="text1"/>
        </w:rPr>
        <w:t>rán</w:t>
      </w:r>
      <w:r w:rsidRPr="004551BE">
        <w:rPr>
          <w:rFonts w:ascii="Arial" w:eastAsia="Arial" w:hAnsi="Arial" w:cs="Arial"/>
          <w:color w:val="000000" w:themeColor="text1"/>
        </w:rPr>
        <w:t xml:space="preserve"> </w:t>
      </w:r>
      <w:r>
        <w:rPr>
          <w:rFonts w:ascii="Arial" w:eastAsia="Arial" w:hAnsi="Arial" w:cs="Arial"/>
          <w:color w:val="000000" w:themeColor="text1"/>
        </w:rPr>
        <w:t>probarse los daños alegados. N</w:t>
      </w:r>
      <w:r w:rsidRPr="004551BE">
        <w:rPr>
          <w:rFonts w:ascii="Arial" w:eastAsia="Arial" w:hAnsi="Arial" w:cs="Arial"/>
          <w:color w:val="000000" w:themeColor="text1"/>
        </w:rPr>
        <w:t xml:space="preserve">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por la jurisprudencia del Consejo de Estado, y en atención única y exclusiva a lo efectivamente demostrado en el proceso</w:t>
      </w:r>
      <w:r w:rsidRPr="004551BE">
        <w:rPr>
          <w:rFonts w:ascii="Arial" w:eastAsia="Arial" w:hAnsi="Arial" w:cs="Arial"/>
          <w:color w:val="000000" w:themeColor="text1"/>
        </w:rPr>
        <w:t xml:space="preserve">. </w:t>
      </w:r>
    </w:p>
    <w:p w14:paraId="59D6251D" w14:textId="77777777" w:rsidR="00B851F2" w:rsidRPr="004551BE" w:rsidRDefault="00B851F2" w:rsidP="00B851F2">
      <w:pPr>
        <w:spacing w:line="360" w:lineRule="auto"/>
        <w:jc w:val="both"/>
        <w:rPr>
          <w:rFonts w:ascii="Arial" w:eastAsia="Arial" w:hAnsi="Arial" w:cs="Arial"/>
        </w:rPr>
      </w:pPr>
    </w:p>
    <w:p w14:paraId="075AAEC4" w14:textId="77777777" w:rsidR="00B851F2" w:rsidRPr="003125FD" w:rsidRDefault="00B851F2" w:rsidP="00B851F2">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morales </w:t>
      </w:r>
    </w:p>
    <w:p w14:paraId="118FF3EF" w14:textId="77777777" w:rsidR="00AD73E0" w:rsidRPr="00E65D0F" w:rsidRDefault="00AD73E0" w:rsidP="003125FD">
      <w:pPr>
        <w:pStyle w:val="Prrafodelista"/>
        <w:spacing w:after="160" w:line="360" w:lineRule="auto"/>
        <w:jc w:val="both"/>
        <w:rPr>
          <w:rFonts w:ascii="Arial" w:eastAsia="Arial" w:hAnsi="Arial" w:cs="Arial"/>
          <w:b/>
          <w:bCs/>
        </w:rPr>
      </w:pPr>
    </w:p>
    <w:p w14:paraId="3CEF57E4"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La parte demandante solicitó a título de indemnización por los perjuicios morales las siguientes sumas:</w:t>
      </w:r>
    </w:p>
    <w:p w14:paraId="7D44D96C" w14:textId="77777777" w:rsidR="00AD73E0" w:rsidRPr="004551BE" w:rsidRDefault="00AD73E0" w:rsidP="00B851F2">
      <w:pPr>
        <w:spacing w:line="360" w:lineRule="auto"/>
        <w:jc w:val="both"/>
        <w:rPr>
          <w:rFonts w:ascii="Arial" w:eastAsia="Arial" w:hAnsi="Arial" w:cs="Arial"/>
        </w:rPr>
      </w:pPr>
    </w:p>
    <w:p w14:paraId="450B92A1" w14:textId="016E2424"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David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68050B4B" w14:textId="32BF5647"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Isabel Carolina Medina</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248F302A" w14:textId="0383DC6F" w:rsidR="00B851F2" w:rsidRPr="003109BC"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Sigifredo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7D9D1418" w14:textId="1C2A7010" w:rsidR="00B851F2" w:rsidRPr="003125FD" w:rsidRDefault="000529C5"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Adiela Garzón</w:t>
      </w:r>
      <w:r w:rsidR="00B851F2">
        <w:rPr>
          <w:rFonts w:ascii="Arial" w:eastAsia="Arial" w:hAnsi="Arial" w:cs="Arial"/>
          <w:lang w:val="es-ES"/>
        </w:rPr>
        <w:t xml:space="preserve">: </w:t>
      </w:r>
      <w:r>
        <w:rPr>
          <w:rFonts w:ascii="Arial" w:eastAsia="Arial" w:hAnsi="Arial" w:cs="Arial"/>
          <w:lang w:val="es-ES"/>
        </w:rPr>
        <w:t>5</w:t>
      </w:r>
      <w:r w:rsidR="00B851F2">
        <w:rPr>
          <w:rFonts w:ascii="Arial" w:eastAsia="Arial" w:hAnsi="Arial" w:cs="Arial"/>
          <w:lang w:val="es-ES"/>
        </w:rPr>
        <w:t>0 SMMLV</w:t>
      </w:r>
    </w:p>
    <w:p w14:paraId="12D8F021" w14:textId="77777777" w:rsidR="00AD73E0" w:rsidRPr="000529C5" w:rsidRDefault="00AD73E0" w:rsidP="003125FD">
      <w:pPr>
        <w:pStyle w:val="Prrafodelista"/>
        <w:spacing w:after="160" w:line="360" w:lineRule="auto"/>
        <w:jc w:val="both"/>
        <w:rPr>
          <w:rFonts w:ascii="Arial" w:eastAsia="Arial" w:hAnsi="Arial" w:cs="Arial"/>
        </w:rPr>
      </w:pPr>
    </w:p>
    <w:p w14:paraId="0E18E099" w14:textId="6FE47FAB" w:rsidR="00B851F2" w:rsidRDefault="00B851F2" w:rsidP="003125FD">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tasación no puede derivarse de calificaciones subjetivas por parte de los demandantes, sino que debe basarse en factores objetivos como </w:t>
      </w:r>
      <w:r>
        <w:rPr>
          <w:rFonts w:ascii="Arial" w:eastAsia="Arial" w:hAnsi="Arial" w:cs="Arial"/>
          <w:color w:val="000000" w:themeColor="text1"/>
        </w:rPr>
        <w:t>el nivel de relación con la víctima</w:t>
      </w:r>
      <w:r w:rsidRPr="004551BE">
        <w:rPr>
          <w:rFonts w:ascii="Arial" w:eastAsia="Arial" w:hAnsi="Arial" w:cs="Arial"/>
          <w:color w:val="000000" w:themeColor="text1"/>
        </w:rPr>
        <w:t>, tal como lo ha determinado el Consejo de Estado en la Sentencia de Unificación del 28 de agosto de 2014</w:t>
      </w:r>
      <w:r w:rsidR="00AD73E0">
        <w:rPr>
          <w:rFonts w:ascii="Arial" w:eastAsia="Arial" w:hAnsi="Arial" w:cs="Arial"/>
          <w:color w:val="000000" w:themeColor="text1"/>
        </w:rPr>
        <w:t>.</w:t>
      </w:r>
    </w:p>
    <w:p w14:paraId="33AF481A" w14:textId="77777777" w:rsidR="00AD73E0" w:rsidRPr="004551BE" w:rsidRDefault="00AD73E0" w:rsidP="003125FD">
      <w:pPr>
        <w:spacing w:line="360" w:lineRule="auto"/>
        <w:jc w:val="both"/>
        <w:rPr>
          <w:rFonts w:ascii="Arial" w:eastAsia="Arial" w:hAnsi="Arial" w:cs="Arial"/>
          <w:color w:val="000000" w:themeColor="text1"/>
        </w:rPr>
      </w:pPr>
    </w:p>
    <w:p w14:paraId="2703E538" w14:textId="2C02C3E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la parte actora está solicitando como indemnización por concepto de perjuicios morales </w:t>
      </w:r>
      <w:r w:rsidR="002B011F">
        <w:rPr>
          <w:rFonts w:ascii="Arial" w:eastAsia="Arial" w:hAnsi="Arial" w:cs="Arial"/>
          <w:color w:val="000000" w:themeColor="text1"/>
        </w:rPr>
        <w:t>para quien afirma ser su compañera permanente, sin embargo</w:t>
      </w:r>
      <w:r w:rsidRPr="004551BE">
        <w:rPr>
          <w:rFonts w:ascii="Arial" w:eastAsia="Arial" w:hAnsi="Arial" w:cs="Arial"/>
          <w:color w:val="000000" w:themeColor="text1"/>
        </w:rPr>
        <w:t>,</w:t>
      </w:r>
      <w:r w:rsidR="002B011F">
        <w:rPr>
          <w:rFonts w:ascii="Arial" w:eastAsia="Arial" w:hAnsi="Arial" w:cs="Arial"/>
          <w:color w:val="000000" w:themeColor="text1"/>
        </w:rPr>
        <w:t xml:space="preserve"> ello no ha sido probado en el proceso,</w:t>
      </w:r>
      <w:r w:rsidRPr="004551BE">
        <w:rPr>
          <w:rFonts w:ascii="Arial" w:eastAsia="Arial" w:hAnsi="Arial" w:cs="Arial"/>
          <w:color w:val="000000" w:themeColor="text1"/>
        </w:rPr>
        <w:t xml:space="preserve"> </w:t>
      </w:r>
      <w:r w:rsidR="002B011F">
        <w:rPr>
          <w:rFonts w:ascii="Arial" w:eastAsia="Arial" w:hAnsi="Arial" w:cs="Arial"/>
          <w:color w:val="000000" w:themeColor="text1"/>
        </w:rPr>
        <w:t>por lo que no resulta</w:t>
      </w:r>
      <w:r>
        <w:rPr>
          <w:rFonts w:ascii="Arial" w:eastAsia="Arial" w:hAnsi="Arial" w:cs="Arial"/>
          <w:color w:val="000000" w:themeColor="text1"/>
        </w:rPr>
        <w:t xml:space="preserve"> establec</w:t>
      </w:r>
      <w:r w:rsidR="002B011F">
        <w:rPr>
          <w:rFonts w:ascii="Arial" w:eastAsia="Arial" w:hAnsi="Arial" w:cs="Arial"/>
          <w:color w:val="000000" w:themeColor="text1"/>
        </w:rPr>
        <w:t xml:space="preserve">ido que la señora </w:t>
      </w:r>
      <w:r w:rsidR="002B011F">
        <w:rPr>
          <w:rFonts w:ascii="Arial" w:eastAsia="Arial" w:hAnsi="Arial" w:cs="Arial"/>
        </w:rPr>
        <w:t>Isabel Carolina Medina ostente</w:t>
      </w:r>
      <w:r>
        <w:rPr>
          <w:rFonts w:ascii="Arial" w:eastAsia="Arial" w:hAnsi="Arial" w:cs="Arial"/>
          <w:color w:val="000000" w:themeColor="text1"/>
        </w:rPr>
        <w:t xml:space="preserve"> la calidad en la que asiste al proceso, </w:t>
      </w:r>
      <w:r w:rsidR="002B011F">
        <w:rPr>
          <w:rFonts w:ascii="Arial" w:eastAsia="Arial" w:hAnsi="Arial" w:cs="Arial"/>
          <w:color w:val="000000" w:themeColor="text1"/>
        </w:rPr>
        <w:t>y por tanto la facultad de exigir este tipo de perjuicio en su favor</w:t>
      </w:r>
      <w:r>
        <w:rPr>
          <w:rFonts w:ascii="Arial" w:eastAsia="Arial" w:hAnsi="Arial" w:cs="Arial"/>
          <w:color w:val="000000" w:themeColor="text1"/>
        </w:rPr>
        <w:t xml:space="preserve">. </w:t>
      </w:r>
    </w:p>
    <w:p w14:paraId="5B7D4B97"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relación con este punto dice el precedente ibidem, que:</w:t>
      </w:r>
    </w:p>
    <w:p w14:paraId="70C9CD2C" w14:textId="77777777" w:rsidR="00B851F2" w:rsidRDefault="00B851F2" w:rsidP="00B851F2">
      <w:pPr>
        <w:spacing w:line="360" w:lineRule="auto"/>
        <w:jc w:val="both"/>
        <w:rPr>
          <w:rFonts w:ascii="Arial" w:eastAsia="Arial" w:hAnsi="Arial" w:cs="Arial"/>
          <w:color w:val="000000" w:themeColor="text1"/>
        </w:rPr>
      </w:pPr>
    </w:p>
    <w:p w14:paraId="08D111B7" w14:textId="77777777" w:rsidR="00B851F2" w:rsidRPr="004551BE" w:rsidRDefault="00B851F2" w:rsidP="00B851F2">
      <w:pPr>
        <w:spacing w:line="360" w:lineRule="auto"/>
        <w:ind w:left="851"/>
        <w:jc w:val="both"/>
        <w:rPr>
          <w:rFonts w:ascii="Arial" w:eastAsia="Arial" w:hAnsi="Arial" w:cs="Arial"/>
          <w:color w:val="000000" w:themeColor="text1"/>
        </w:rPr>
      </w:pPr>
      <w:r w:rsidRPr="00BB5C3A">
        <w:rPr>
          <w:rFonts w:ascii="Arial" w:eastAsia="Arial" w:hAnsi="Arial" w:cs="Arial"/>
          <w:i/>
          <w:iCs/>
          <w:color w:val="000000" w:themeColor="text1"/>
          <w:sz w:val="20"/>
          <w:szCs w:val="20"/>
        </w:rPr>
        <w:t xml:space="preserve">Así las cosas, para los niveles 1 y 2 se requerirá la prueba del estado civil o de la convivencia de los compañeros. Para los niveles 3 y 4, además, se requerirá la prueba de la relación afectiva, y </w:t>
      </w:r>
      <w:r w:rsidRPr="00BB5C3A">
        <w:rPr>
          <w:rFonts w:ascii="Arial" w:eastAsia="Arial" w:hAnsi="Arial" w:cs="Arial"/>
          <w:i/>
          <w:iCs/>
          <w:color w:val="000000" w:themeColor="text1"/>
          <w:sz w:val="20"/>
          <w:szCs w:val="20"/>
        </w:rPr>
        <w:lastRenderedPageBreak/>
        <w:t>finalmente, para el nivel 5 deberá ser probada la relación afectiva</w:t>
      </w:r>
      <w:r w:rsidRPr="00BB5C3A">
        <w:rPr>
          <w:rFonts w:ascii="Arial" w:eastAsia="Arial" w:hAnsi="Arial" w:cs="Arial"/>
          <w:color w:val="000000" w:themeColor="text1"/>
        </w:rPr>
        <w:t xml:space="preserve">. </w:t>
      </w:r>
      <w:r w:rsidRPr="00BB5C3A">
        <w:rPr>
          <w:rFonts w:ascii="Arial" w:eastAsia="Arial" w:hAnsi="Arial" w:cs="Arial"/>
          <w:color w:val="000000" w:themeColor="text1"/>
        </w:rPr>
        <w:cr/>
      </w:r>
    </w:p>
    <w:p w14:paraId="722B7DBF" w14:textId="77777777" w:rsidR="002B011F"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no es procedente que se conceda </w:t>
      </w:r>
      <w:r>
        <w:rPr>
          <w:rFonts w:ascii="Arial" w:eastAsia="Arial" w:hAnsi="Arial" w:cs="Arial"/>
          <w:color w:val="000000" w:themeColor="text1"/>
        </w:rPr>
        <w:t>l</w:t>
      </w:r>
      <w:r w:rsidRPr="004551BE">
        <w:rPr>
          <w:rFonts w:ascii="Arial" w:eastAsia="Arial" w:hAnsi="Arial" w:cs="Arial"/>
          <w:color w:val="000000" w:themeColor="text1"/>
        </w:rPr>
        <w:t xml:space="preserve">a indemnización </w:t>
      </w:r>
      <w:r>
        <w:rPr>
          <w:rFonts w:ascii="Arial" w:eastAsia="Arial" w:hAnsi="Arial" w:cs="Arial"/>
          <w:color w:val="000000" w:themeColor="text1"/>
        </w:rPr>
        <w:t>requerid</w:t>
      </w:r>
      <w:r w:rsidRPr="004551BE">
        <w:rPr>
          <w:rFonts w:ascii="Arial" w:eastAsia="Arial" w:hAnsi="Arial" w:cs="Arial"/>
          <w:color w:val="000000" w:themeColor="text1"/>
        </w:rPr>
        <w:t xml:space="preserve">a </w:t>
      </w:r>
      <w:r>
        <w:rPr>
          <w:rFonts w:ascii="Arial" w:eastAsia="Arial" w:hAnsi="Arial" w:cs="Arial"/>
          <w:color w:val="000000" w:themeColor="text1"/>
        </w:rPr>
        <w:t xml:space="preserve">a </w:t>
      </w:r>
      <w:r w:rsidRPr="004551BE">
        <w:rPr>
          <w:rFonts w:ascii="Arial" w:eastAsia="Arial" w:hAnsi="Arial" w:cs="Arial"/>
          <w:color w:val="000000" w:themeColor="text1"/>
        </w:rPr>
        <w:t xml:space="preserve">título de perjuicios morales para </w:t>
      </w:r>
      <w:r w:rsidR="002B011F">
        <w:rPr>
          <w:rFonts w:ascii="Arial" w:eastAsia="Arial" w:hAnsi="Arial" w:cs="Arial"/>
          <w:color w:val="000000" w:themeColor="text1"/>
        </w:rPr>
        <w:t xml:space="preserve">la señora </w:t>
      </w:r>
      <w:r w:rsidR="002B011F">
        <w:rPr>
          <w:rFonts w:ascii="Arial" w:eastAsia="Arial" w:hAnsi="Arial" w:cs="Arial"/>
        </w:rPr>
        <w:t>Isabel Carolina Medina</w:t>
      </w:r>
      <w:r w:rsidRPr="004551BE">
        <w:rPr>
          <w:rFonts w:ascii="Arial" w:eastAsia="Arial" w:hAnsi="Arial" w:cs="Arial"/>
          <w:color w:val="000000" w:themeColor="text1"/>
        </w:rPr>
        <w:t>,</w:t>
      </w:r>
      <w:r>
        <w:rPr>
          <w:rFonts w:ascii="Arial" w:eastAsia="Arial" w:hAnsi="Arial" w:cs="Arial"/>
          <w:color w:val="000000" w:themeColor="text1"/>
        </w:rPr>
        <w:t xml:space="preserve"> en los términos </w:t>
      </w:r>
      <w:r w:rsidR="002B011F">
        <w:rPr>
          <w:rFonts w:ascii="Arial" w:eastAsia="Arial" w:hAnsi="Arial" w:cs="Arial"/>
          <w:color w:val="000000" w:themeColor="text1"/>
        </w:rPr>
        <w:t>planteado en la demanda</w:t>
      </w:r>
      <w:r>
        <w:rPr>
          <w:rFonts w:ascii="Arial" w:eastAsia="Arial" w:hAnsi="Arial" w:cs="Arial"/>
          <w:color w:val="000000" w:themeColor="text1"/>
        </w:rPr>
        <w:t>,</w:t>
      </w:r>
      <w:r w:rsidRPr="004551BE">
        <w:rPr>
          <w:rFonts w:ascii="Arial" w:eastAsia="Arial" w:hAnsi="Arial" w:cs="Arial"/>
          <w:color w:val="000000" w:themeColor="text1"/>
        </w:rPr>
        <w:t xml:space="preserve"> ya que no </w:t>
      </w:r>
      <w:r>
        <w:rPr>
          <w:rFonts w:ascii="Arial" w:eastAsia="Arial" w:hAnsi="Arial" w:cs="Arial"/>
          <w:color w:val="000000" w:themeColor="text1"/>
        </w:rPr>
        <w:t>se ajustan a las exigencias de</w:t>
      </w:r>
      <w:r w:rsidRPr="004551BE">
        <w:rPr>
          <w:rFonts w:ascii="Arial" w:eastAsia="Arial" w:hAnsi="Arial" w:cs="Arial"/>
          <w:color w:val="000000" w:themeColor="text1"/>
        </w:rPr>
        <w:t xml:space="preserve"> la jurisprudencia del Consejo de Estado, por lo que, </w:t>
      </w:r>
      <w:r>
        <w:rPr>
          <w:rFonts w:ascii="Arial" w:eastAsia="Arial" w:hAnsi="Arial" w:cs="Arial"/>
          <w:color w:val="000000" w:themeColor="text1"/>
        </w:rPr>
        <w:t>el reconocimiento de la</w:t>
      </w:r>
      <w:r w:rsidRPr="004551BE">
        <w:rPr>
          <w:rFonts w:ascii="Arial" w:eastAsia="Arial" w:hAnsi="Arial" w:cs="Arial"/>
          <w:color w:val="000000" w:themeColor="text1"/>
        </w:rPr>
        <w:t xml:space="preserve"> tasación resultaría </w:t>
      </w:r>
      <w:r w:rsidR="002B011F">
        <w:rPr>
          <w:rFonts w:ascii="Arial" w:eastAsia="Arial" w:hAnsi="Arial" w:cs="Arial"/>
          <w:color w:val="000000" w:themeColor="text1"/>
        </w:rPr>
        <w:t>contraría al ordenamiento jurídico</w:t>
      </w:r>
      <w:r w:rsidRPr="004551BE">
        <w:rPr>
          <w:rFonts w:ascii="Arial" w:eastAsia="Arial" w:hAnsi="Arial" w:cs="Arial"/>
          <w:color w:val="000000" w:themeColor="text1"/>
        </w:rPr>
        <w:t xml:space="preserve">. No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y ya mencionados en apartes anteriores</w:t>
      </w:r>
      <w:r w:rsidRPr="004551BE">
        <w:rPr>
          <w:rFonts w:ascii="Arial" w:eastAsia="Arial" w:hAnsi="Arial" w:cs="Arial"/>
          <w:color w:val="000000" w:themeColor="text1"/>
        </w:rPr>
        <w:t>.</w:t>
      </w:r>
    </w:p>
    <w:p w14:paraId="28366705" w14:textId="77777777" w:rsidR="002B011F" w:rsidRDefault="002B011F" w:rsidP="00B851F2">
      <w:pPr>
        <w:spacing w:line="360" w:lineRule="auto"/>
        <w:jc w:val="both"/>
        <w:rPr>
          <w:rFonts w:ascii="Arial" w:eastAsia="Arial" w:hAnsi="Arial" w:cs="Arial"/>
          <w:color w:val="000000" w:themeColor="text1"/>
        </w:rPr>
      </w:pPr>
    </w:p>
    <w:p w14:paraId="57A14F5A" w14:textId="132072F9" w:rsidR="00B851F2" w:rsidRDefault="002B011F" w:rsidP="00B851F2">
      <w:pPr>
        <w:spacing w:line="360" w:lineRule="auto"/>
        <w:jc w:val="both"/>
        <w:rPr>
          <w:rFonts w:ascii="Arial" w:eastAsia="Arial" w:hAnsi="Arial" w:cs="Arial"/>
          <w:color w:val="000000" w:themeColor="text1"/>
        </w:rPr>
      </w:pPr>
      <w:r>
        <w:rPr>
          <w:rFonts w:ascii="Arial" w:eastAsia="Arial" w:hAnsi="Arial" w:cs="Arial"/>
          <w:color w:val="000000" w:themeColor="text1"/>
        </w:rPr>
        <w:t>Finalmente, respecto de la solicitud en favor de la víctima y los padres, la misma deberá ser sustentada probatoriamente en el proceso y sólo deberá proceder en tanto la parte actora haya logrado establecer que se presentan los supuestos de hecho y de derecho para su otorgamiento.</w:t>
      </w:r>
      <w:r w:rsidR="00B851F2" w:rsidRPr="004551BE">
        <w:rPr>
          <w:rFonts w:ascii="Arial" w:eastAsia="Arial" w:hAnsi="Arial" w:cs="Arial"/>
          <w:color w:val="000000" w:themeColor="text1"/>
        </w:rPr>
        <w:t xml:space="preserve"> </w:t>
      </w:r>
    </w:p>
    <w:p w14:paraId="6CE6C3C0" w14:textId="77777777" w:rsidR="00B851F2" w:rsidRDefault="00B851F2" w:rsidP="00B851F2">
      <w:pPr>
        <w:spacing w:line="360" w:lineRule="auto"/>
        <w:jc w:val="both"/>
        <w:rPr>
          <w:rFonts w:ascii="Arial" w:eastAsia="Arial" w:hAnsi="Arial" w:cs="Arial"/>
        </w:rPr>
      </w:pPr>
    </w:p>
    <w:p w14:paraId="6BF09096"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anteriormente expuesto, solicito señor juez se declare probada esta excepción.</w:t>
      </w:r>
    </w:p>
    <w:p w14:paraId="06E7C3CE" w14:textId="77777777" w:rsidR="00B851F2" w:rsidRDefault="00B851F2" w:rsidP="00B851F2">
      <w:pPr>
        <w:spacing w:line="360" w:lineRule="auto"/>
        <w:jc w:val="both"/>
        <w:rPr>
          <w:rFonts w:ascii="Arial" w:eastAsia="Arial" w:hAnsi="Arial" w:cs="Arial"/>
          <w:color w:val="000000" w:themeColor="text1"/>
        </w:rPr>
      </w:pPr>
    </w:p>
    <w:p w14:paraId="4DB44E60" w14:textId="3A98D77F" w:rsidR="00B851F2" w:rsidRPr="004551BE"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983BB9">
        <w:rPr>
          <w:rFonts w:ascii="Arial" w:eastAsia="Arial" w:hAnsi="Arial" w:cs="Arial"/>
          <w:b/>
          <w:bCs/>
          <w:color w:val="000000" w:themeColor="text1"/>
          <w:u w:val="single"/>
        </w:rPr>
        <w:t>I</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xml:space="preserve">. CONTESTACIÓN </w:t>
      </w:r>
      <w:r>
        <w:rPr>
          <w:rFonts w:ascii="Arial" w:eastAsia="Arial" w:hAnsi="Arial" w:cs="Arial"/>
          <w:b/>
          <w:bCs/>
          <w:color w:val="000000" w:themeColor="text1"/>
          <w:u w:val="single"/>
        </w:rPr>
        <w:t>FRENTE AL LLAMAMIENTO EN GARANTÍA FORMULADO POR EL DISTRITO ESPECIAL DE SANTIAGO DE CALI</w:t>
      </w:r>
    </w:p>
    <w:p w14:paraId="192FA766" w14:textId="77777777" w:rsidR="00B851F2" w:rsidRDefault="00B851F2" w:rsidP="00B851F2">
      <w:pPr>
        <w:spacing w:line="360" w:lineRule="auto"/>
        <w:jc w:val="both"/>
        <w:rPr>
          <w:rFonts w:ascii="Arial" w:eastAsia="Arial" w:hAnsi="Arial" w:cs="Arial"/>
          <w:color w:val="000000" w:themeColor="text1"/>
        </w:rPr>
      </w:pPr>
    </w:p>
    <w:p w14:paraId="5435A475" w14:textId="77777777" w:rsidR="00B851F2" w:rsidRPr="003828D6" w:rsidRDefault="00B851F2" w:rsidP="00B851F2">
      <w:pPr>
        <w:pStyle w:val="Prrafodelista"/>
        <w:numPr>
          <w:ilvl w:val="0"/>
          <w:numId w:val="31"/>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w:t>
      </w:r>
      <w:r>
        <w:rPr>
          <w:rFonts w:ascii="Arial" w:eastAsia="Arial" w:hAnsi="Arial" w:cs="Arial"/>
          <w:b/>
          <w:bCs/>
          <w:color w:val="000000" w:themeColor="text1"/>
          <w:u w:val="single"/>
          <w:lang w:val="es-ES"/>
        </w:rPr>
        <w:t>L</w:t>
      </w:r>
      <w:r w:rsidRPr="004551BE">
        <w:rPr>
          <w:rFonts w:ascii="Arial" w:eastAsia="Arial" w:hAnsi="Arial" w:cs="Arial"/>
          <w:b/>
          <w:bCs/>
          <w:color w:val="000000" w:themeColor="text1"/>
          <w:u w:val="single"/>
          <w:lang w:val="es-ES"/>
        </w:rPr>
        <w:t xml:space="preserve"> </w:t>
      </w:r>
      <w:r>
        <w:rPr>
          <w:rFonts w:ascii="Arial" w:eastAsia="Arial" w:hAnsi="Arial" w:cs="Arial"/>
          <w:b/>
          <w:bCs/>
          <w:color w:val="000000" w:themeColor="text1"/>
          <w:u w:val="single"/>
          <w:lang w:val="es-ES"/>
        </w:rPr>
        <w:t>LLAMIENTO EN GARANTÍA</w:t>
      </w:r>
    </w:p>
    <w:p w14:paraId="28F30362" w14:textId="7D3E33E4"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1F5AA2">
        <w:rPr>
          <w:rFonts w:ascii="Arial" w:eastAsia="Arial" w:hAnsi="Arial" w:cs="Arial"/>
          <w:color w:val="000000" w:themeColor="text1"/>
        </w:rPr>
        <w:t>Es cierto</w:t>
      </w:r>
      <w:r w:rsidR="00FE0279">
        <w:rPr>
          <w:rFonts w:ascii="Arial" w:eastAsia="Arial" w:hAnsi="Arial" w:cs="Arial"/>
          <w:color w:val="000000" w:themeColor="text1"/>
        </w:rPr>
        <w:t xml:space="preserve">,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0DD58924" w14:textId="360B8ACE"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2A78FE19" w14:textId="77777777" w:rsidR="00172B69" w:rsidRDefault="00B851F2" w:rsidP="00172B69">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TERCERO</w:t>
      </w:r>
      <w:r w:rsidRPr="004551BE">
        <w:rPr>
          <w:rFonts w:ascii="Arial" w:eastAsia="Arial" w:hAnsi="Arial" w:cs="Arial"/>
          <w:b/>
          <w:bCs/>
          <w:color w:val="000000" w:themeColor="text1"/>
        </w:rPr>
        <w:t xml:space="preserve">: </w:t>
      </w:r>
      <w:r w:rsidR="00A864B2">
        <w:rPr>
          <w:rFonts w:ascii="Arial" w:eastAsia="Arial" w:hAnsi="Arial" w:cs="Arial"/>
          <w:color w:val="000000" w:themeColor="text1"/>
        </w:rPr>
        <w:t xml:space="preserve">No es un hecho, es una manifestación relacionada a que el motivo por el cual se llama en garantía a la asegurado, es para </w:t>
      </w:r>
      <w:r w:rsidR="00E04EDA">
        <w:rPr>
          <w:rFonts w:ascii="Arial" w:eastAsia="Arial" w:hAnsi="Arial" w:cs="Arial"/>
          <w:color w:val="000000" w:themeColor="text1"/>
        </w:rPr>
        <w:t>proceder con la acción de repetición en caso de condena.</w:t>
      </w:r>
      <w:r w:rsidR="00172B69">
        <w:rPr>
          <w:rFonts w:ascii="Arial" w:eastAsia="Arial" w:hAnsi="Arial" w:cs="Arial"/>
          <w:color w:val="000000" w:themeColor="text1"/>
        </w:rPr>
        <w:t xml:space="preserve"> S</w:t>
      </w:r>
      <w:r w:rsidR="00172B69" w:rsidRPr="00172B69">
        <w:rPr>
          <w:rFonts w:ascii="Arial" w:eastAsia="Arial" w:hAnsi="Arial" w:cs="Arial"/>
          <w:color w:val="000000" w:themeColor="text1"/>
        </w:rPr>
        <w:t>i bien es cierta la existencia de la mentada póliza, debe advertirse que esta no opera automáticamente y que es carga del flamante acreditar la ocurrencia del siniestro y la cuantía de la pérdida, sin embargo, en el presente asunto, ello a</w:t>
      </w:r>
      <w:r w:rsidR="00172B69">
        <w:rPr>
          <w:rFonts w:ascii="Arial" w:eastAsia="Arial" w:hAnsi="Arial" w:cs="Arial"/>
          <w:color w:val="000000" w:themeColor="text1"/>
        </w:rPr>
        <w:t>ú</w:t>
      </w:r>
      <w:r w:rsidR="00172B69" w:rsidRPr="00172B69">
        <w:rPr>
          <w:rFonts w:ascii="Arial" w:eastAsia="Arial" w:hAnsi="Arial" w:cs="Arial"/>
          <w:color w:val="000000" w:themeColor="text1"/>
        </w:rPr>
        <w:t>n no ha ocurrido, comoquiera que no hay lugar a declarar responsabilidad alguna en cabeza del municipio.</w:t>
      </w:r>
    </w:p>
    <w:p w14:paraId="53FAE8F1" w14:textId="7142CB2A" w:rsidR="00172B69" w:rsidRDefault="00172B69" w:rsidP="002E7384">
      <w:pPr>
        <w:spacing w:line="360" w:lineRule="auto"/>
        <w:jc w:val="both"/>
        <w:rPr>
          <w:rFonts w:ascii="Arial" w:eastAsia="Arial" w:hAnsi="Arial" w:cs="Arial"/>
          <w:b/>
          <w:bCs/>
          <w:color w:val="000000" w:themeColor="text1"/>
          <w:u w:val="single"/>
        </w:rPr>
      </w:pPr>
      <w:r w:rsidRPr="00172B69">
        <w:rPr>
          <w:rFonts w:ascii="Arial" w:eastAsia="Arial" w:hAnsi="Arial" w:cs="Arial"/>
          <w:color w:val="000000" w:themeColor="text1"/>
        </w:rPr>
        <w:t xml:space="preserve">  </w:t>
      </w:r>
      <w:r w:rsidR="00A864B2">
        <w:rPr>
          <w:rFonts w:ascii="Arial" w:eastAsia="Arial" w:hAnsi="Arial" w:cs="Arial"/>
          <w:color w:val="000000" w:themeColor="text1"/>
        </w:rPr>
        <w:t xml:space="preserve"> </w:t>
      </w:r>
    </w:p>
    <w:p w14:paraId="6765BECC" w14:textId="7DB995E3" w:rsidR="00FE0279" w:rsidRPr="002E7384" w:rsidRDefault="00B851F2" w:rsidP="002E7384">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B851F2">
      <w:pPr>
        <w:spacing w:line="360" w:lineRule="auto"/>
        <w:jc w:val="both"/>
        <w:rPr>
          <w:rFonts w:ascii="Arial" w:hAnsi="Arial" w:cs="Arial"/>
        </w:rPr>
      </w:pPr>
    </w:p>
    <w:p w14:paraId="0A6E2298" w14:textId="2CA85B59" w:rsidR="00B851F2" w:rsidRDefault="00B851F2" w:rsidP="00B851F2">
      <w:pPr>
        <w:spacing w:line="360" w:lineRule="auto"/>
        <w:jc w:val="both"/>
        <w:rPr>
          <w:rFonts w:ascii="Arial" w:eastAsia="Arial" w:hAnsi="Arial" w:cs="Arial"/>
        </w:rPr>
      </w:pPr>
      <w:r>
        <w:rPr>
          <w:rFonts w:ascii="Arial" w:hAnsi="Arial" w:cs="Arial"/>
        </w:rPr>
        <w:t>R</w:t>
      </w:r>
      <w:r w:rsidRPr="00071185">
        <w:rPr>
          <w:rFonts w:ascii="Arial" w:hAnsi="Arial" w:cs="Arial"/>
        </w:rPr>
        <w:t>espetuosamente manifiesto al Despacho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3" w:name="_Hlk162900177"/>
      <w:r w:rsidRPr="00071185">
        <w:rPr>
          <w:rFonts w:ascii="Arial" w:hAnsi="Arial" w:cs="Arial"/>
        </w:rPr>
        <w:t xml:space="preserve">la </w:t>
      </w:r>
      <w:r w:rsidRPr="00071185">
        <w:rPr>
          <w:rFonts w:ascii="Arial" w:hAnsi="Arial" w:cs="Arial"/>
          <w:b/>
          <w:bCs/>
        </w:rPr>
        <w:t xml:space="preserve">póliza de responsabilidad civil No. </w:t>
      </w:r>
      <w:r w:rsidR="006B1F7E" w:rsidRPr="006B1F7E">
        <w:rPr>
          <w:rFonts w:ascii="Arial" w:hAnsi="Arial" w:cs="Arial"/>
          <w:b/>
          <w:bCs/>
        </w:rPr>
        <w:t>420-80-</w:t>
      </w:r>
      <w:r w:rsidR="006B1F7E" w:rsidRPr="006B1F7E">
        <w:rPr>
          <w:rFonts w:ascii="Arial" w:hAnsi="Arial" w:cs="Arial"/>
          <w:b/>
          <w:bCs/>
        </w:rPr>
        <w:lastRenderedPageBreak/>
        <w:t>994000000109</w:t>
      </w:r>
      <w:r w:rsidRPr="00071185">
        <w:rPr>
          <w:rFonts w:ascii="Arial" w:hAnsi="Arial" w:cs="Arial"/>
        </w:rPr>
        <w:t xml:space="preserve"> con vigencia </w:t>
      </w:r>
      <w:bookmarkEnd w:id="3"/>
      <w:r w:rsidRPr="006A4C3B">
        <w:rPr>
          <w:rFonts w:ascii="Arial" w:hAnsi="Arial" w:cs="Arial"/>
        </w:rPr>
        <w:t xml:space="preserve">desde el </w:t>
      </w:r>
      <w:r w:rsidR="006B1F7E" w:rsidRPr="006B1F7E">
        <w:rPr>
          <w:rFonts w:ascii="Arial" w:hAnsi="Arial" w:cs="Arial"/>
        </w:rPr>
        <w:t xml:space="preserve">29 de mayo de 2019 </w:t>
      </w:r>
      <w:r w:rsidR="006B1F7E">
        <w:rPr>
          <w:rFonts w:ascii="Arial" w:hAnsi="Arial" w:cs="Arial"/>
        </w:rPr>
        <w:t>hasta el</w:t>
      </w:r>
      <w:r w:rsidR="006B1F7E" w:rsidRPr="006B1F7E">
        <w:rPr>
          <w:rFonts w:ascii="Arial" w:hAnsi="Arial" w:cs="Arial"/>
        </w:rPr>
        <w:t xml:space="preserve"> 23 de abril de 2020</w:t>
      </w:r>
      <w:r w:rsidRPr="00071185">
        <w:rPr>
          <w:rFonts w:ascii="Arial" w:eastAsia="Arial" w:hAnsi="Arial" w:cs="Arial"/>
        </w:rPr>
        <w:t>.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3E31D871" w14:textId="77777777" w:rsidR="00B851F2" w:rsidRDefault="00B851F2" w:rsidP="00B851F2">
      <w:pPr>
        <w:spacing w:line="360" w:lineRule="auto"/>
        <w:jc w:val="both"/>
        <w:rPr>
          <w:rFonts w:ascii="Arial" w:hAnsi="Arial" w:cs="Arial"/>
        </w:rPr>
      </w:pPr>
    </w:p>
    <w:p w14:paraId="19493BDF" w14:textId="77777777" w:rsidR="00B851F2" w:rsidRPr="004551BE" w:rsidRDefault="00B851F2" w:rsidP="00B851F2">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B851F2">
      <w:pPr>
        <w:spacing w:line="360" w:lineRule="auto"/>
        <w:jc w:val="both"/>
        <w:rPr>
          <w:rFonts w:ascii="Arial" w:eastAsia="Arial" w:hAnsi="Arial" w:cs="Arial"/>
          <w:color w:val="000000" w:themeColor="text1"/>
        </w:rPr>
      </w:pPr>
    </w:p>
    <w:p w14:paraId="46EF1D3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6A4C3B">
        <w:rPr>
          <w:rFonts w:ascii="Arial" w:eastAsia="Arial" w:hAnsi="Arial" w:cs="Arial"/>
          <w:b/>
          <w:bCs/>
          <w:color w:val="000000" w:themeColor="text1"/>
          <w:lang w:val="es-ES"/>
        </w:rPr>
        <w:t>INEXISTENCIA DE LA OBLIGACIÓN INDEMNIZATORIA A CARGO DE LA COMPAÑÍA ASEGURADORA AL NO REALIZARSE EL RIESGO ASEGURADO EN LA PÓLIZA</w:t>
      </w:r>
    </w:p>
    <w:p w14:paraId="23878D6E" w14:textId="77777777" w:rsidR="00FE0279" w:rsidRPr="006A4C3B" w:rsidRDefault="00FE0279" w:rsidP="003125FD">
      <w:pPr>
        <w:pStyle w:val="Prrafodelista"/>
        <w:spacing w:after="160" w:line="360" w:lineRule="auto"/>
        <w:jc w:val="both"/>
        <w:rPr>
          <w:rFonts w:ascii="Arial" w:eastAsia="Arial" w:hAnsi="Arial" w:cs="Arial"/>
          <w:b/>
          <w:bCs/>
          <w:color w:val="000000" w:themeColor="text1"/>
        </w:rPr>
      </w:pPr>
    </w:p>
    <w:p w14:paraId="5E40A277" w14:textId="1D8FA2E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006B1F7E">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sidR="006B1F7E" w:rsidRPr="00071185">
        <w:rPr>
          <w:rFonts w:ascii="Arial" w:hAnsi="Arial" w:cs="Arial"/>
          <w:b/>
          <w:bCs/>
        </w:rPr>
        <w:t xml:space="preserve">póliza de responsabilidad civil No. </w:t>
      </w:r>
      <w:r w:rsidR="006B1F7E" w:rsidRPr="006B1F7E">
        <w:rPr>
          <w:rFonts w:ascii="Arial" w:hAnsi="Arial" w:cs="Arial"/>
          <w:b/>
          <w:bCs/>
        </w:rPr>
        <w:t>420-80-994000000109</w:t>
      </w:r>
      <w:r w:rsidRPr="004551BE">
        <w:rPr>
          <w:rFonts w:ascii="Arial" w:eastAsia="Arial" w:hAnsi="Arial" w:cs="Arial"/>
          <w:color w:val="000000" w:themeColor="text1"/>
        </w:rPr>
        <w:t xml:space="preserve">, por cuanto no se ha realizado el riesgo asegurado amparado en el contrato de seguro. </w:t>
      </w:r>
    </w:p>
    <w:p w14:paraId="70A5A71D" w14:textId="77777777" w:rsidR="00B851F2" w:rsidRPr="004551BE" w:rsidRDefault="00B851F2" w:rsidP="00B851F2">
      <w:pPr>
        <w:spacing w:line="360" w:lineRule="auto"/>
        <w:jc w:val="both"/>
        <w:rPr>
          <w:rFonts w:ascii="Arial" w:eastAsia="Arial" w:hAnsi="Arial" w:cs="Arial"/>
          <w:color w:val="000000" w:themeColor="text1"/>
        </w:rPr>
      </w:pPr>
    </w:p>
    <w:p w14:paraId="1E08F55B"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solo entrará a operar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58B9543C" w14:textId="77777777" w:rsidR="00B851F2" w:rsidRPr="004551BE" w:rsidRDefault="00B851F2" w:rsidP="00B851F2">
      <w:pPr>
        <w:spacing w:line="360" w:lineRule="auto"/>
        <w:jc w:val="both"/>
        <w:rPr>
          <w:rFonts w:ascii="Arial" w:eastAsia="Arial" w:hAnsi="Arial" w:cs="Arial"/>
          <w:color w:val="000000" w:themeColor="text1"/>
        </w:rPr>
      </w:pPr>
    </w:p>
    <w:p w14:paraId="58E17A2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5D173940" w14:textId="77777777" w:rsidR="00B851F2" w:rsidRPr="004551BE" w:rsidRDefault="00B851F2" w:rsidP="00B851F2">
      <w:pPr>
        <w:spacing w:line="360" w:lineRule="auto"/>
        <w:jc w:val="both"/>
        <w:rPr>
          <w:rFonts w:ascii="Arial" w:eastAsia="Arial" w:hAnsi="Arial" w:cs="Arial"/>
          <w:color w:val="000000" w:themeColor="text1"/>
        </w:rPr>
      </w:pPr>
    </w:p>
    <w:p w14:paraId="5EFC305A" w14:textId="119F9DDF" w:rsidR="00B851F2" w:rsidRDefault="00E23924" w:rsidP="00B851F2">
      <w:pPr>
        <w:spacing w:line="360" w:lineRule="auto"/>
        <w:jc w:val="center"/>
        <w:rPr>
          <w:rFonts w:ascii="Arial" w:eastAsia="Arial" w:hAnsi="Arial" w:cs="Arial"/>
        </w:rPr>
      </w:pPr>
      <w:r w:rsidRPr="00E23924">
        <w:rPr>
          <w:rFonts w:ascii="Arial" w:eastAsia="Arial" w:hAnsi="Arial" w:cs="Arial"/>
          <w:noProof/>
        </w:rPr>
        <w:drawing>
          <wp:inline distT="0" distB="0" distL="0" distR="0" wp14:anchorId="3378381F" wp14:editId="1D4214C7">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4"/>
                    <a:stretch>
                      <a:fillRect/>
                    </a:stretch>
                  </pic:blipFill>
                  <pic:spPr>
                    <a:xfrm>
                      <a:off x="0" y="0"/>
                      <a:ext cx="6116320" cy="373380"/>
                    </a:xfrm>
                    <a:prstGeom prst="rect">
                      <a:avLst/>
                    </a:prstGeom>
                  </pic:spPr>
                </pic:pic>
              </a:graphicData>
            </a:graphic>
          </wp:inline>
        </w:drawing>
      </w:r>
    </w:p>
    <w:p w14:paraId="0EB7C8CB" w14:textId="77777777" w:rsidR="00FE0279" w:rsidRDefault="00FE0279" w:rsidP="00B851F2">
      <w:pPr>
        <w:spacing w:line="360" w:lineRule="auto"/>
        <w:jc w:val="center"/>
        <w:rPr>
          <w:rFonts w:ascii="Arial" w:eastAsia="Arial" w:hAnsi="Arial" w:cs="Arial"/>
        </w:rPr>
      </w:pPr>
    </w:p>
    <w:p w14:paraId="73C51AF3" w14:textId="630436CB" w:rsidR="00B851F2" w:rsidRDefault="00B851F2" w:rsidP="00B851F2">
      <w:pPr>
        <w:spacing w:line="360" w:lineRule="auto"/>
        <w:jc w:val="both"/>
        <w:rPr>
          <w:rFonts w:ascii="Arial" w:eastAsia="Arial" w:hAnsi="Arial" w:cs="Arial"/>
        </w:rPr>
      </w:pPr>
      <w:r w:rsidRPr="004551BE">
        <w:rPr>
          <w:rFonts w:ascii="Arial" w:eastAsia="Arial" w:hAnsi="Arial" w:cs="Arial"/>
        </w:rPr>
        <w:t xml:space="preserve">Al respecto, la parte demandante no ha demostrado los elementos constitutivos de la responsabilidad en cabeza del Distrito de Santiago de Cali, pues es claro que: i) no ha acreditado que la causa eficiente del accidente haya sido la supuesta </w:t>
      </w:r>
      <w:r>
        <w:rPr>
          <w:rFonts w:ascii="Arial" w:eastAsia="Arial" w:hAnsi="Arial" w:cs="Arial"/>
        </w:rPr>
        <w:t xml:space="preserve">omisión en el </w:t>
      </w:r>
      <w:r w:rsidR="00E23924">
        <w:rPr>
          <w:rFonts w:ascii="Arial" w:eastAsia="Arial" w:hAnsi="Arial" w:cs="Arial"/>
        </w:rPr>
        <w:t>mantenimiento de los semáforos del sitio de accidente</w:t>
      </w:r>
      <w:r w:rsidR="00FE0279">
        <w:rPr>
          <w:rFonts w:ascii="Arial" w:eastAsia="Arial" w:hAnsi="Arial" w:cs="Arial"/>
        </w:rPr>
        <w:t>,</w:t>
      </w:r>
      <w:r w:rsidRPr="004551BE">
        <w:rPr>
          <w:rFonts w:ascii="Arial" w:eastAsia="Arial" w:hAnsi="Arial" w:cs="Arial"/>
        </w:rPr>
        <w:t xml:space="preserve"> </w:t>
      </w:r>
      <w:proofErr w:type="spellStart"/>
      <w:r w:rsidRPr="004551BE">
        <w:rPr>
          <w:rFonts w:ascii="Arial" w:eastAsia="Arial" w:hAnsi="Arial" w:cs="Arial"/>
        </w:rPr>
        <w:t>ii</w:t>
      </w:r>
      <w:proofErr w:type="spellEnd"/>
      <w:r w:rsidRPr="004551BE">
        <w:rPr>
          <w:rFonts w:ascii="Arial" w:eastAsia="Arial" w:hAnsi="Arial" w:cs="Arial"/>
        </w:rPr>
        <w:t xml:space="preserve">) </w:t>
      </w:r>
      <w:r>
        <w:rPr>
          <w:rFonts w:ascii="Arial" w:eastAsia="Arial" w:hAnsi="Arial" w:cs="Arial"/>
        </w:rPr>
        <w:t xml:space="preserve">como se ha explicado ampliamente a lo extenso de este escrito, hay una evidente conducta de un tercero que es quién </w:t>
      </w:r>
      <w:r w:rsidR="00E23924">
        <w:rPr>
          <w:rFonts w:ascii="Arial" w:eastAsia="Arial" w:hAnsi="Arial" w:cs="Arial"/>
        </w:rPr>
        <w:t>cruza una avenida cuando el semáforo destinado a otorgar o negar su paso</w:t>
      </w:r>
      <w:r>
        <w:rPr>
          <w:rFonts w:ascii="Arial" w:eastAsia="Arial" w:hAnsi="Arial" w:cs="Arial"/>
        </w:rPr>
        <w:t xml:space="preserve">, </w:t>
      </w:r>
      <w:r w:rsidR="00E23924">
        <w:rPr>
          <w:rFonts w:ascii="Arial" w:eastAsia="Arial" w:hAnsi="Arial" w:cs="Arial"/>
        </w:rPr>
        <w:t xml:space="preserve">estaba rojo denotando imposibilidad de cruzar, lo </w:t>
      </w:r>
      <w:r>
        <w:rPr>
          <w:rFonts w:ascii="Arial" w:eastAsia="Arial" w:hAnsi="Arial" w:cs="Arial"/>
        </w:rPr>
        <w:t>que genera un ineludible rompimiento del nexo de causalidad necesario para declarar la responsabilidad extracontractual de la entidad demandada</w:t>
      </w:r>
      <w:r w:rsidRPr="004551BE">
        <w:rPr>
          <w:rFonts w:ascii="Arial" w:eastAsia="Arial" w:hAnsi="Arial" w:cs="Arial"/>
        </w:rPr>
        <w:t xml:space="preserve">. </w:t>
      </w:r>
    </w:p>
    <w:p w14:paraId="6BA7DDD3" w14:textId="77777777" w:rsidR="00B851F2" w:rsidRPr="004551BE" w:rsidRDefault="00B851F2" w:rsidP="00B851F2">
      <w:pPr>
        <w:spacing w:line="360" w:lineRule="auto"/>
        <w:jc w:val="both"/>
        <w:rPr>
          <w:rFonts w:ascii="Arial" w:eastAsia="Arial" w:hAnsi="Arial" w:cs="Arial"/>
        </w:rPr>
      </w:pPr>
    </w:p>
    <w:p w14:paraId="21F5EA1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Por lo anterior, en razón a que no se ha demostrado la responsabilidad del Distrito de Santiago de Cali en la </w:t>
      </w:r>
      <w:proofErr w:type="spellStart"/>
      <w:r w:rsidRPr="004551BE">
        <w:rPr>
          <w:rFonts w:ascii="Arial" w:eastAsia="Arial" w:hAnsi="Arial" w:cs="Arial"/>
        </w:rPr>
        <w:t>causación</w:t>
      </w:r>
      <w:proofErr w:type="spellEnd"/>
      <w:r w:rsidRPr="004551BE">
        <w:rPr>
          <w:rFonts w:ascii="Arial" w:eastAsia="Arial" w:hAnsi="Arial" w:cs="Arial"/>
        </w:rPr>
        <w:t xml:space="preserve"> del daño y que, en todo caso, existe una causal de exoneración de la </w:t>
      </w:r>
      <w:r w:rsidRPr="004551BE">
        <w:rPr>
          <w:rFonts w:ascii="Arial" w:eastAsia="Arial" w:hAnsi="Arial" w:cs="Arial"/>
        </w:rPr>
        <w:lastRenderedPageBreak/>
        <w:t>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7222CA6C" w14:textId="77777777" w:rsidR="00B851F2" w:rsidRPr="004551BE" w:rsidRDefault="00B851F2" w:rsidP="00B851F2">
      <w:pPr>
        <w:spacing w:line="360" w:lineRule="auto"/>
        <w:jc w:val="both"/>
        <w:rPr>
          <w:rFonts w:ascii="Arial" w:eastAsia="Arial" w:hAnsi="Arial" w:cs="Arial"/>
        </w:rPr>
      </w:pPr>
    </w:p>
    <w:p w14:paraId="3BBC8F6A"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40670218"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BD6AADA" w14:textId="1F5EC30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00994828" w:rsidRPr="00071185">
        <w:rPr>
          <w:rFonts w:ascii="Arial" w:hAnsi="Arial" w:cs="Arial"/>
          <w:b/>
          <w:bCs/>
        </w:rPr>
        <w:t xml:space="preserve">póliza de responsabilidad civil No. </w:t>
      </w:r>
      <w:r w:rsidR="00994828"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056542C4" w14:textId="77777777" w:rsidR="00B851F2" w:rsidRDefault="00B851F2" w:rsidP="00B851F2">
      <w:pPr>
        <w:spacing w:line="360" w:lineRule="auto"/>
        <w:jc w:val="both"/>
        <w:rPr>
          <w:rFonts w:ascii="Arial" w:eastAsia="Arial" w:hAnsi="Arial" w:cs="Arial"/>
          <w:color w:val="000000" w:themeColor="text1"/>
        </w:rPr>
      </w:pPr>
    </w:p>
    <w:p w14:paraId="18BF1D5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D4642B" w14:textId="77777777" w:rsidR="00B851F2" w:rsidRPr="004551BE" w:rsidRDefault="00B851F2" w:rsidP="00B851F2">
      <w:pPr>
        <w:spacing w:line="360" w:lineRule="auto"/>
        <w:jc w:val="both"/>
        <w:rPr>
          <w:rFonts w:ascii="Arial" w:eastAsia="Arial" w:hAnsi="Arial" w:cs="Arial"/>
          <w:color w:val="000000" w:themeColor="text1"/>
        </w:rPr>
      </w:pPr>
    </w:p>
    <w:p w14:paraId="4D13CB38" w14:textId="3DF24156"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óliza para los casos de responsabilidad civil extracontractual es</w:t>
      </w:r>
      <w:r w:rsidRPr="004551BE">
        <w:rPr>
          <w:rFonts w:ascii="Arial" w:eastAsia="Arial" w:hAnsi="Arial" w:cs="Arial"/>
        </w:rPr>
        <w:t xml:space="preserve"> de $</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pesos m/cte. </w:t>
      </w:r>
    </w:p>
    <w:p w14:paraId="0B67F817" w14:textId="77777777" w:rsidR="00B851F2" w:rsidRPr="004551BE" w:rsidRDefault="00B851F2" w:rsidP="00B851F2">
      <w:pPr>
        <w:spacing w:line="360" w:lineRule="auto"/>
        <w:jc w:val="both"/>
        <w:rPr>
          <w:rFonts w:ascii="Arial" w:eastAsia="Arial" w:hAnsi="Arial" w:cs="Arial"/>
        </w:rPr>
      </w:pPr>
    </w:p>
    <w:p w14:paraId="2EA54E8B" w14:textId="3EBAD542" w:rsidR="00B851F2" w:rsidRDefault="00CC2613" w:rsidP="00B851F2">
      <w:pPr>
        <w:spacing w:line="360" w:lineRule="auto"/>
        <w:jc w:val="center"/>
        <w:rPr>
          <w:rFonts w:ascii="Arial" w:eastAsia="Arial" w:hAnsi="Arial" w:cs="Arial"/>
          <w:color w:val="000000" w:themeColor="text1"/>
        </w:rPr>
      </w:pPr>
      <w:r w:rsidRPr="00CC2613">
        <w:rPr>
          <w:rFonts w:ascii="Arial" w:eastAsia="Arial" w:hAnsi="Arial" w:cs="Arial"/>
          <w:noProof/>
          <w:color w:val="000000" w:themeColor="text1"/>
        </w:rPr>
        <w:drawing>
          <wp:inline distT="0" distB="0" distL="0" distR="0" wp14:anchorId="20942663" wp14:editId="3D1131D3">
            <wp:extent cx="6116320" cy="780415"/>
            <wp:effectExtent l="0" t="0" r="0" b="635"/>
            <wp:docPr id="159153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
                    <pic:cNvPicPr/>
                  </pic:nvPicPr>
                  <pic:blipFill>
                    <a:blip r:embed="rId15"/>
                    <a:stretch>
                      <a:fillRect/>
                    </a:stretch>
                  </pic:blipFill>
                  <pic:spPr>
                    <a:xfrm>
                      <a:off x="0" y="0"/>
                      <a:ext cx="6116320" cy="780415"/>
                    </a:xfrm>
                    <a:prstGeom prst="rect">
                      <a:avLst/>
                    </a:prstGeom>
                  </pic:spPr>
                </pic:pic>
              </a:graphicData>
            </a:graphic>
          </wp:inline>
        </w:drawing>
      </w:r>
    </w:p>
    <w:p w14:paraId="7489D35D" w14:textId="77777777" w:rsidR="00FE0279" w:rsidRDefault="00FE0279" w:rsidP="00B851F2">
      <w:pPr>
        <w:spacing w:line="360" w:lineRule="auto"/>
        <w:jc w:val="center"/>
        <w:rPr>
          <w:rFonts w:ascii="Arial" w:eastAsia="Arial" w:hAnsi="Arial" w:cs="Arial"/>
          <w:color w:val="000000" w:themeColor="text1"/>
        </w:rPr>
      </w:pPr>
    </w:p>
    <w:p w14:paraId="4E7997BB" w14:textId="1D59A50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9BEB5FB" w14:textId="77777777" w:rsidR="00B851F2" w:rsidRPr="004551BE" w:rsidRDefault="00B851F2" w:rsidP="00B851F2">
      <w:pPr>
        <w:spacing w:line="360" w:lineRule="auto"/>
        <w:jc w:val="both"/>
        <w:rPr>
          <w:rFonts w:ascii="Arial" w:eastAsia="Arial" w:hAnsi="Arial" w:cs="Arial"/>
          <w:color w:val="000000" w:themeColor="text1"/>
        </w:rPr>
      </w:pPr>
    </w:p>
    <w:p w14:paraId="145817E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298E756" w14:textId="77777777" w:rsidR="00B851F2" w:rsidRPr="004551BE" w:rsidRDefault="00B851F2" w:rsidP="00B851F2">
      <w:pPr>
        <w:spacing w:line="360" w:lineRule="auto"/>
        <w:jc w:val="both"/>
        <w:rPr>
          <w:rFonts w:ascii="Arial" w:eastAsia="Arial" w:hAnsi="Arial" w:cs="Arial"/>
          <w:color w:val="000000" w:themeColor="text1"/>
        </w:rPr>
      </w:pPr>
    </w:p>
    <w:p w14:paraId="0EEF847E"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15BA9CBC" w14:textId="77777777" w:rsidR="00B851F2" w:rsidRPr="004551BE" w:rsidRDefault="00B851F2" w:rsidP="00B851F2">
      <w:pPr>
        <w:spacing w:line="360" w:lineRule="auto"/>
        <w:jc w:val="both"/>
        <w:rPr>
          <w:rFonts w:ascii="Arial" w:eastAsia="Arial" w:hAnsi="Arial" w:cs="Arial"/>
          <w:color w:val="000000" w:themeColor="text1"/>
        </w:rPr>
      </w:pPr>
    </w:p>
    <w:p w14:paraId="331B8C4C" w14:textId="445077AE"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w:t>
      </w:r>
      <w:r w:rsidR="00FE0279">
        <w:rPr>
          <w:rFonts w:ascii="Arial" w:eastAsia="Arial" w:hAnsi="Arial" w:cs="Arial"/>
          <w:b/>
          <w:bCs/>
          <w:color w:val="000000" w:themeColor="text1"/>
          <w:lang w:val="es-ES"/>
        </w:rPr>
        <w:t>RESPONSABILIDAD DE LA ASEGURADORA SE CIRCUNSCRIBE AL PORCENTAJE DE PARTICIPACIÓN CONFORME AL COASEGURO PACTADO -</w:t>
      </w:r>
      <w:r w:rsidRPr="004551BE">
        <w:rPr>
          <w:rFonts w:ascii="Arial" w:eastAsia="Arial" w:hAnsi="Arial" w:cs="Arial"/>
          <w:b/>
          <w:bCs/>
          <w:color w:val="000000" w:themeColor="text1"/>
          <w:lang w:val="es-ES"/>
        </w:rPr>
        <w:t xml:space="preserve"> INEXISTENCIA DE SOLIDARIDAD </w:t>
      </w:r>
    </w:p>
    <w:p w14:paraId="36F4A05C"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2E21BB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74D5E91" w14:textId="77777777" w:rsidR="00B851F2" w:rsidRPr="004551BE" w:rsidRDefault="00B851F2" w:rsidP="00B851F2">
      <w:pPr>
        <w:spacing w:line="360" w:lineRule="auto"/>
        <w:jc w:val="both"/>
        <w:rPr>
          <w:rFonts w:ascii="Arial" w:eastAsia="Arial" w:hAnsi="Arial" w:cs="Arial"/>
        </w:rPr>
      </w:pPr>
    </w:p>
    <w:p w14:paraId="6E31D7E2" w14:textId="09B61030" w:rsidR="00B851F2" w:rsidRPr="004551BE" w:rsidRDefault="00CC2613" w:rsidP="00B851F2">
      <w:pPr>
        <w:spacing w:after="240" w:line="360" w:lineRule="auto"/>
        <w:jc w:val="center"/>
        <w:rPr>
          <w:rFonts w:ascii="Arial" w:hAnsi="Arial" w:cs="Arial"/>
        </w:rPr>
      </w:pPr>
      <w:r w:rsidRPr="00CC2613">
        <w:rPr>
          <w:rFonts w:ascii="Arial" w:hAnsi="Arial" w:cs="Arial"/>
          <w:noProof/>
        </w:rPr>
        <w:drawing>
          <wp:inline distT="0" distB="0" distL="0" distR="0" wp14:anchorId="2897A5B4" wp14:editId="5E7049C4">
            <wp:extent cx="5741753" cy="814775"/>
            <wp:effectExtent l="0" t="0" r="0" b="4445"/>
            <wp:docPr id="102547241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418" name="Imagen 1" descr="Interfaz de usuario gráfica, Texto&#10;&#10;Descripción generada automáticamente"/>
                    <pic:cNvPicPr/>
                  </pic:nvPicPr>
                  <pic:blipFill>
                    <a:blip r:embed="rId16"/>
                    <a:stretch>
                      <a:fillRect/>
                    </a:stretch>
                  </pic:blipFill>
                  <pic:spPr>
                    <a:xfrm>
                      <a:off x="0" y="0"/>
                      <a:ext cx="5757420" cy="816998"/>
                    </a:xfrm>
                    <a:prstGeom prst="rect">
                      <a:avLst/>
                    </a:prstGeom>
                  </pic:spPr>
                </pic:pic>
              </a:graphicData>
            </a:graphic>
          </wp:inline>
        </w:drawing>
      </w:r>
    </w:p>
    <w:p w14:paraId="0933F902" w14:textId="7A0D8026" w:rsidR="00B851F2" w:rsidRDefault="00CC2613"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este extracto se debe mencionar que el porcentaje restante, es decir treinta y cinco por ciento (35%) corresponde a la responsabilidad de Aseguradora Solidaria de Colombia. </w:t>
      </w:r>
      <w:r w:rsidR="00B851F2"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w:t>
      </w:r>
      <w:r w:rsidR="008746F8">
        <w:rPr>
          <w:rFonts w:ascii="Arial" w:eastAsia="Arial" w:hAnsi="Arial" w:cs="Arial"/>
          <w:color w:val="000000" w:themeColor="text1"/>
        </w:rPr>
        <w:t xml:space="preserve"> </w:t>
      </w:r>
      <w:r w:rsidR="00B851F2" w:rsidRPr="004551BE">
        <w:rPr>
          <w:rFonts w:ascii="Arial" w:eastAsia="Arial" w:hAnsi="Arial" w:cs="Arial"/>
          <w:color w:val="000000" w:themeColor="text1"/>
        </w:rPr>
        <w:t>l</w:t>
      </w:r>
      <w:r w:rsidR="008746F8">
        <w:rPr>
          <w:rFonts w:ascii="Arial" w:eastAsia="Arial" w:hAnsi="Arial" w:cs="Arial"/>
          <w:color w:val="000000" w:themeColor="text1"/>
        </w:rPr>
        <w:t>os</w:t>
      </w:r>
      <w:r w:rsidR="00B851F2" w:rsidRPr="004551BE">
        <w:rPr>
          <w:rFonts w:ascii="Arial" w:eastAsia="Arial" w:hAnsi="Arial" w:cs="Arial"/>
          <w:color w:val="000000" w:themeColor="text1"/>
        </w:rPr>
        <w:t xml:space="preserve"> porcentaje</w:t>
      </w:r>
      <w:r w:rsidR="008746F8">
        <w:rPr>
          <w:rFonts w:ascii="Arial" w:eastAsia="Arial" w:hAnsi="Arial" w:cs="Arial"/>
          <w:color w:val="000000" w:themeColor="text1"/>
        </w:rPr>
        <w:t>s</w:t>
      </w:r>
      <w:r w:rsidR="00B851F2" w:rsidRPr="004551BE">
        <w:rPr>
          <w:rFonts w:ascii="Arial" w:eastAsia="Arial" w:hAnsi="Arial" w:cs="Arial"/>
          <w:color w:val="000000" w:themeColor="text1"/>
        </w:rPr>
        <w:t xml:space="preserve"> antes señalado</w:t>
      </w:r>
      <w:r w:rsidR="008746F8">
        <w:rPr>
          <w:rFonts w:ascii="Arial" w:eastAsia="Arial" w:hAnsi="Arial" w:cs="Arial"/>
          <w:color w:val="000000" w:themeColor="text1"/>
        </w:rPr>
        <w:t>s</w:t>
      </w:r>
      <w:r w:rsidR="00B851F2" w:rsidRPr="004551BE">
        <w:rPr>
          <w:rFonts w:ascii="Arial" w:eastAsia="Arial" w:hAnsi="Arial" w:cs="Arial"/>
          <w:color w:val="000000" w:themeColor="text1"/>
        </w:rPr>
        <w:t>, pues no se puede predicar una solidaridad entre ellas.</w:t>
      </w:r>
    </w:p>
    <w:p w14:paraId="29E4779A" w14:textId="77777777" w:rsidR="00B851F2" w:rsidRPr="004551BE" w:rsidRDefault="00B851F2" w:rsidP="00B851F2">
      <w:pPr>
        <w:spacing w:line="360" w:lineRule="auto"/>
        <w:jc w:val="both"/>
        <w:rPr>
          <w:rFonts w:ascii="Arial" w:eastAsia="Arial" w:hAnsi="Arial" w:cs="Arial"/>
          <w:color w:val="000000" w:themeColor="text1"/>
        </w:rPr>
      </w:pPr>
    </w:p>
    <w:p w14:paraId="3CCD196D"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siempre que el asegurado haya actuado de buena fe. La mala fe en la contratación de éstos produce nulidad”.</w:t>
      </w:r>
    </w:p>
    <w:p w14:paraId="23553335" w14:textId="77777777" w:rsidR="00B851F2" w:rsidRPr="004551BE" w:rsidRDefault="00B851F2" w:rsidP="00B851F2">
      <w:pPr>
        <w:spacing w:line="360" w:lineRule="auto"/>
        <w:jc w:val="both"/>
        <w:rPr>
          <w:rFonts w:ascii="Arial" w:eastAsia="Arial" w:hAnsi="Arial" w:cs="Arial"/>
          <w:color w:val="000000" w:themeColor="text1"/>
        </w:rPr>
      </w:pPr>
    </w:p>
    <w:p w14:paraId="169A2C1B" w14:textId="77777777" w:rsidR="00B851F2" w:rsidRDefault="00B851F2" w:rsidP="00B851F2">
      <w:pPr>
        <w:spacing w:line="360"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p>
    <w:p w14:paraId="339AD5F6" w14:textId="77777777" w:rsidR="00B851F2" w:rsidRPr="004551BE" w:rsidRDefault="00B851F2" w:rsidP="00B851F2">
      <w:pPr>
        <w:spacing w:line="360" w:lineRule="auto"/>
        <w:jc w:val="both"/>
        <w:rPr>
          <w:rFonts w:ascii="Arial" w:eastAsia="Arial" w:hAnsi="Arial" w:cs="Arial"/>
          <w:color w:val="000000" w:themeColor="text1"/>
        </w:rPr>
      </w:pPr>
    </w:p>
    <w:p w14:paraId="560F0326"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18F8BF45"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19CE7437" w14:textId="77777777" w:rsidR="00B851F2" w:rsidRPr="004551BE" w:rsidRDefault="00B851F2" w:rsidP="00B851F2">
      <w:pPr>
        <w:spacing w:line="360" w:lineRule="auto"/>
        <w:ind w:left="851"/>
        <w:jc w:val="both"/>
        <w:rPr>
          <w:rFonts w:ascii="Arial" w:eastAsia="Arial" w:hAnsi="Arial" w:cs="Arial"/>
          <w:color w:val="000000" w:themeColor="text1"/>
          <w:sz w:val="20"/>
          <w:szCs w:val="20"/>
        </w:rPr>
      </w:pPr>
      <w:r w:rsidRPr="002E4DBE">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2E4DBE">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2E4DBE">
        <w:rPr>
          <w:rFonts w:ascii="Arial" w:eastAsia="Arial" w:hAnsi="Arial" w:cs="Arial"/>
          <w:i/>
          <w:iCs/>
          <w:color w:val="000000" w:themeColor="text1"/>
          <w:sz w:val="20"/>
          <w:szCs w:val="20"/>
        </w:rPr>
        <w:t xml:space="preserve"> de conformidad con el artículo 1092 del Código de Comercio: La jurisprudencia ha reconocido que en estos </w:t>
      </w:r>
      <w:r w:rsidRPr="002E4DBE">
        <w:rPr>
          <w:rFonts w:ascii="Arial" w:eastAsia="Arial" w:hAnsi="Arial" w:cs="Arial"/>
          <w:b/>
          <w:bCs/>
          <w:i/>
          <w:iCs/>
          <w:color w:val="000000" w:themeColor="text1"/>
          <w:sz w:val="20"/>
          <w:szCs w:val="20"/>
        </w:rPr>
        <w:t>casos de coaseguro se responde en proporción a la cuantía que se asumió</w:t>
      </w:r>
      <w:r w:rsidRPr="002E4DBE">
        <w:rPr>
          <w:rFonts w:ascii="Arial" w:eastAsia="Arial" w:hAnsi="Arial" w:cs="Arial"/>
          <w:i/>
          <w:iCs/>
          <w:color w:val="000000" w:themeColor="text1"/>
          <w:sz w:val="20"/>
          <w:szCs w:val="20"/>
        </w:rPr>
        <w:t xml:space="preserve">, </w:t>
      </w:r>
      <w:r w:rsidRPr="002E4DBE">
        <w:rPr>
          <w:rFonts w:ascii="Arial" w:eastAsia="Arial" w:hAnsi="Arial" w:cs="Arial"/>
          <w:b/>
          <w:bCs/>
          <w:i/>
          <w:iCs/>
          <w:color w:val="000000" w:themeColor="text1"/>
          <w:sz w:val="20"/>
          <w:szCs w:val="20"/>
        </w:rPr>
        <w:t xml:space="preserve">sobre todo </w:t>
      </w:r>
      <w:r w:rsidRPr="002E4DBE">
        <w:rPr>
          <w:rFonts w:ascii="Arial" w:eastAsia="Arial" w:hAnsi="Arial" w:cs="Arial"/>
          <w:b/>
          <w:bCs/>
          <w:i/>
          <w:iCs/>
          <w:color w:val="000000" w:themeColor="text1"/>
          <w:sz w:val="20"/>
          <w:szCs w:val="20"/>
        </w:rPr>
        <w:lastRenderedPageBreak/>
        <w:t>en el caso en que ello se pacte expresamente</w:t>
      </w:r>
      <w:r w:rsidRPr="002E4DBE">
        <w:rPr>
          <w:rFonts w:ascii="Arial" w:eastAsia="Arial" w:hAnsi="Arial" w:cs="Arial"/>
          <w:i/>
          <w:iCs/>
          <w:color w:val="000000" w:themeColor="text1"/>
          <w:sz w:val="20"/>
          <w:szCs w:val="20"/>
        </w:rPr>
        <w:t>. De hecho, ha indicado que en esos casos de coaseguro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3"/>
      </w:r>
      <w:r>
        <w:rPr>
          <w:rFonts w:ascii="Arial" w:eastAsia="Arial" w:hAnsi="Arial" w:cs="Arial"/>
          <w:color w:val="000000" w:themeColor="text1"/>
          <w:sz w:val="20"/>
          <w:szCs w:val="20"/>
        </w:rPr>
        <w:t xml:space="preserve"> </w:t>
      </w:r>
      <w:r w:rsidRPr="002E4DBE">
        <w:rPr>
          <w:rFonts w:ascii="Arial" w:eastAsia="Arial" w:hAnsi="Arial" w:cs="Arial"/>
          <w:color w:val="000000" w:themeColor="text1"/>
          <w:lang w:val="es"/>
        </w:rPr>
        <w:t xml:space="preserve">(Negrilla fuera del texto). </w:t>
      </w:r>
    </w:p>
    <w:p w14:paraId="204D13A9" w14:textId="77777777" w:rsidR="00B851F2" w:rsidRPr="004551BE" w:rsidRDefault="00B851F2" w:rsidP="00B851F2">
      <w:pPr>
        <w:spacing w:line="360"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47F7FE48"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FE2D95D"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CB98A06" w14:textId="77777777" w:rsidR="00B851F2" w:rsidRPr="004551BE" w:rsidRDefault="00B851F2" w:rsidP="004F2FAB">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44F0B55D" w14:textId="77777777" w:rsidR="00B851F2" w:rsidRPr="004551BE" w:rsidRDefault="00B851F2" w:rsidP="00B851F2">
      <w:pPr>
        <w:spacing w:line="360" w:lineRule="auto"/>
        <w:ind w:left="851"/>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405B56">
        <w:rPr>
          <w:rFonts w:ascii="Arial" w:eastAsia="Arial" w:hAnsi="Arial" w:cs="Arial"/>
          <w:i/>
          <w:iCs/>
          <w:color w:val="000000" w:themeColor="text1"/>
          <w:sz w:val="20"/>
          <w:szCs w:val="20"/>
        </w:rPr>
        <w:t>Segurexpo</w:t>
      </w:r>
      <w:proofErr w:type="spellEnd"/>
      <w:r w:rsidRPr="00405B56">
        <w:rPr>
          <w:rFonts w:ascii="Arial" w:eastAsia="Arial" w:hAnsi="Arial" w:cs="Arial"/>
          <w:i/>
          <w:iCs/>
          <w:color w:val="000000" w:themeColor="text1"/>
          <w:sz w:val="20"/>
          <w:szCs w:val="20"/>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405B56">
        <w:rPr>
          <w:rFonts w:ascii="Arial" w:eastAsia="Arial" w:hAnsi="Arial" w:cs="Arial"/>
          <w:i/>
          <w:iCs/>
          <w:color w:val="000000" w:themeColor="text1"/>
          <w:sz w:val="20"/>
          <w:szCs w:val="20"/>
        </w:rPr>
        <w:t>Segurexpo</w:t>
      </w:r>
      <w:proofErr w:type="spellEnd"/>
      <w:r w:rsidRPr="00405B56">
        <w:rPr>
          <w:rFonts w:ascii="Arial" w:eastAsia="Arial" w:hAnsi="Arial" w:cs="Arial"/>
          <w:i/>
          <w:iCs/>
          <w:color w:val="000000" w:themeColor="text1"/>
          <w:sz w:val="20"/>
          <w:szCs w:val="20"/>
        </w:rPr>
        <w:t xml:space="preserve"> S.A. para reclamar la nulidad parcial del acto, precisamente porque las obligaciones no eran solidarias y bien podía reclamársele su parte sin la comparecencia del 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4"/>
      </w:r>
    </w:p>
    <w:p w14:paraId="616A7891" w14:textId="77777777" w:rsidR="00B851F2" w:rsidRPr="004551BE" w:rsidRDefault="00B851F2" w:rsidP="00B851F2">
      <w:pPr>
        <w:spacing w:line="360" w:lineRule="auto"/>
        <w:jc w:val="both"/>
        <w:rPr>
          <w:rFonts w:ascii="Arial" w:eastAsia="Aptos" w:hAnsi="Arial" w:cs="Arial"/>
          <w:color w:val="000000" w:themeColor="text1"/>
        </w:rPr>
      </w:pPr>
    </w:p>
    <w:p w14:paraId="4CA02CF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7E9D4DA" w14:textId="77777777" w:rsidR="00B851F2" w:rsidRPr="004551BE" w:rsidRDefault="00B851F2" w:rsidP="00B851F2">
      <w:pPr>
        <w:spacing w:line="360" w:lineRule="auto"/>
        <w:jc w:val="both"/>
        <w:rPr>
          <w:rFonts w:ascii="Arial" w:eastAsia="Arial" w:hAnsi="Arial" w:cs="Arial"/>
          <w:color w:val="000000" w:themeColor="text1"/>
        </w:rPr>
      </w:pPr>
    </w:p>
    <w:p w14:paraId="20976FDC" w14:textId="299B8B4C"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DE6DFE">
        <w:rPr>
          <w:rFonts w:ascii="Arial" w:eastAsia="Arial" w:hAnsi="Arial" w:cs="Arial"/>
          <w:color w:val="000000" w:themeColor="text1"/>
        </w:rPr>
        <w:t>diez</w:t>
      </w:r>
      <w:r w:rsidR="00CF7406">
        <w:rPr>
          <w:rFonts w:ascii="Arial" w:eastAsia="Arial" w:hAnsi="Arial" w:cs="Arial"/>
          <w:color w:val="000000" w:themeColor="text1"/>
        </w:rPr>
        <w:t xml:space="preserve"> por ciento (</w:t>
      </w:r>
      <w:r w:rsidR="00DE6DFE">
        <w:rPr>
          <w:rFonts w:ascii="Arial" w:eastAsia="Arial" w:hAnsi="Arial" w:cs="Arial"/>
          <w:color w:val="000000" w:themeColor="text1"/>
        </w:rPr>
        <w:t>10</w:t>
      </w:r>
      <w:r>
        <w:rPr>
          <w:rFonts w:ascii="Arial" w:eastAsia="Arial" w:hAnsi="Arial" w:cs="Arial"/>
          <w:color w:val="000000" w:themeColor="text1"/>
        </w:rPr>
        <w:t>%</w:t>
      </w:r>
      <w:r w:rsidR="00CF7406">
        <w:rPr>
          <w:rFonts w:ascii="Arial" w:eastAsia="Arial" w:hAnsi="Arial" w:cs="Arial"/>
          <w:color w:val="000000" w:themeColor="text1"/>
        </w:rPr>
        <w:t>)</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00CD59B4" w:rsidRPr="00CD59B4">
        <w:rPr>
          <w:rFonts w:ascii="Arial" w:eastAsia="Arial" w:hAnsi="Arial" w:cs="Arial"/>
          <w:b/>
          <w:bCs/>
          <w:color w:val="000000" w:themeColor="text1"/>
        </w:rPr>
        <w:t>HDI SEGUROS S.A.</w:t>
      </w:r>
      <w:r w:rsidRPr="004551BE">
        <w:rPr>
          <w:rFonts w:ascii="Arial" w:eastAsia="Arial" w:hAnsi="Arial" w:cs="Arial"/>
          <w:color w:val="000000" w:themeColor="text1"/>
        </w:rPr>
        <w:t xml:space="preserve"> </w:t>
      </w:r>
    </w:p>
    <w:p w14:paraId="6CAB1B64" w14:textId="77777777" w:rsidR="00B851F2" w:rsidRPr="004551BE" w:rsidRDefault="00B851F2" w:rsidP="00B851F2">
      <w:pPr>
        <w:pStyle w:val="Prrafodelista"/>
        <w:spacing w:line="360" w:lineRule="auto"/>
        <w:jc w:val="both"/>
        <w:rPr>
          <w:rFonts w:ascii="Arial" w:eastAsia="Arial" w:hAnsi="Arial" w:cs="Arial"/>
          <w:b/>
          <w:bCs/>
          <w:color w:val="000000" w:themeColor="text1"/>
        </w:rPr>
      </w:pPr>
    </w:p>
    <w:p w14:paraId="7BDC646F" w14:textId="015B9807" w:rsidR="00B851F2" w:rsidRDefault="00B851F2" w:rsidP="00B851F2">
      <w:pPr>
        <w:pStyle w:val="Prrafodelista"/>
        <w:numPr>
          <w:ilvl w:val="0"/>
          <w:numId w:val="32"/>
        </w:numPr>
        <w:spacing w:after="160" w:line="360" w:lineRule="auto"/>
        <w:jc w:val="both"/>
        <w:rPr>
          <w:rFonts w:ascii="Arial" w:eastAsia="Arial" w:hAnsi="Arial" w:cs="Arial"/>
          <w:b/>
          <w:bCs/>
        </w:rPr>
      </w:pPr>
      <w:r w:rsidRPr="007D70CE">
        <w:rPr>
          <w:rFonts w:ascii="Arial" w:eastAsia="Arial" w:hAnsi="Arial" w:cs="Arial"/>
          <w:b/>
          <w:bCs/>
        </w:rPr>
        <w:t xml:space="preserve">LAS EXCLUSIONES DE AMPARO CONCERTADAS EN LA PÓLIZA DE RESPONSABILIDAD CIVIL </w:t>
      </w:r>
      <w:r w:rsidR="00853127">
        <w:rPr>
          <w:rFonts w:ascii="Arial" w:eastAsia="Arial" w:hAnsi="Arial" w:cs="Arial"/>
          <w:b/>
          <w:bCs/>
        </w:rPr>
        <w:t>EXTRACONTRACTUAL</w:t>
      </w:r>
      <w:r w:rsidRPr="007D70CE">
        <w:rPr>
          <w:rFonts w:ascii="Arial" w:eastAsia="Arial" w:hAnsi="Arial" w:cs="Arial"/>
          <w:b/>
          <w:bCs/>
        </w:rPr>
        <w:t xml:space="preserve"> No. </w:t>
      </w:r>
      <w:r w:rsidR="00853127" w:rsidRPr="00853127">
        <w:rPr>
          <w:rFonts w:ascii="Arial" w:eastAsia="Arial" w:hAnsi="Arial" w:cs="Arial"/>
          <w:b/>
          <w:bCs/>
        </w:rPr>
        <w:t>420-80-994000000109</w:t>
      </w:r>
    </w:p>
    <w:p w14:paraId="37705404" w14:textId="77777777" w:rsidR="00FE0279" w:rsidRDefault="00FE0279" w:rsidP="003125FD">
      <w:pPr>
        <w:pStyle w:val="Prrafodelista"/>
        <w:spacing w:after="160" w:line="360" w:lineRule="auto"/>
        <w:jc w:val="both"/>
        <w:rPr>
          <w:rFonts w:ascii="Arial" w:eastAsia="Arial" w:hAnsi="Arial" w:cs="Arial"/>
          <w:b/>
          <w:bCs/>
        </w:rPr>
      </w:pPr>
    </w:p>
    <w:p w14:paraId="27EB464F" w14:textId="38C466E4" w:rsidR="00FE0279" w:rsidRDefault="00B851F2" w:rsidP="00B851F2">
      <w:pPr>
        <w:spacing w:after="160" w:line="360" w:lineRule="auto"/>
        <w:jc w:val="both"/>
        <w:rPr>
          <w:rFonts w:ascii="Arial" w:eastAsia="Arial" w:hAnsi="Arial" w:cs="Arial"/>
        </w:rPr>
      </w:pPr>
      <w:r w:rsidRPr="005D1BBD">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w:t>
      </w:r>
      <w:r w:rsidRPr="005D1BBD">
        <w:rPr>
          <w:rFonts w:ascii="Arial" w:eastAsia="Arial" w:hAnsi="Arial" w:cs="Arial"/>
        </w:rPr>
        <w:lastRenderedPageBreak/>
        <w:t>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016CF85A" w14:textId="77777777" w:rsidR="00FE0279" w:rsidRDefault="00FE0279" w:rsidP="00B851F2">
      <w:pPr>
        <w:spacing w:after="160" w:line="360" w:lineRule="auto"/>
        <w:jc w:val="both"/>
        <w:rPr>
          <w:rFonts w:ascii="Arial" w:eastAsia="Arial" w:hAnsi="Arial" w:cs="Arial"/>
        </w:rPr>
      </w:pPr>
    </w:p>
    <w:p w14:paraId="6D22C6F6"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15"/>
      </w:r>
    </w:p>
    <w:p w14:paraId="28D4A014" w14:textId="77777777" w:rsidR="00397D10" w:rsidRDefault="00B851F2" w:rsidP="00397D10">
      <w:pPr>
        <w:spacing w:line="360" w:lineRule="auto"/>
        <w:jc w:val="both"/>
        <w:rPr>
          <w:rFonts w:ascii="Arial" w:eastAsia="Arial" w:hAnsi="Arial" w:cs="Arial"/>
        </w:rPr>
      </w:pPr>
      <w:r w:rsidRPr="005D1BBD">
        <w:rPr>
          <w:rFonts w:ascii="Arial" w:eastAsia="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00397D10" w:rsidRPr="00397D10">
        <w:rPr>
          <w:rFonts w:ascii="Arial" w:eastAsia="Arial" w:hAnsi="Arial" w:cs="Arial"/>
          <w:b/>
          <w:bCs/>
        </w:rPr>
        <w:t xml:space="preserve">extracontractual </w:t>
      </w:r>
      <w:r w:rsidRPr="00397D10">
        <w:rPr>
          <w:rFonts w:ascii="Arial" w:eastAsia="Arial" w:hAnsi="Arial" w:cs="Arial"/>
          <w:b/>
          <w:bCs/>
        </w:rPr>
        <w:t xml:space="preserve">No. </w:t>
      </w:r>
      <w:r w:rsidR="00397D10" w:rsidRPr="00397D10">
        <w:rPr>
          <w:rFonts w:ascii="Arial" w:eastAsia="Arial" w:hAnsi="Arial" w:cs="Arial"/>
          <w:b/>
          <w:bCs/>
        </w:rPr>
        <w:t>420-80-994000000109</w:t>
      </w:r>
      <w:r>
        <w:rPr>
          <w:rFonts w:ascii="Arial" w:eastAsia="Arial" w:hAnsi="Arial" w:cs="Arial"/>
        </w:rPr>
        <w:t xml:space="preserve"> </w:t>
      </w:r>
      <w:r w:rsidRPr="005D1BBD">
        <w:rPr>
          <w:rFonts w:ascii="Arial" w:eastAsia="Arial" w:hAnsi="Arial" w:cs="Arial"/>
        </w:rPr>
        <w:t xml:space="preserve">cuya vigencia corrió </w:t>
      </w:r>
      <w:r w:rsidR="00397D10" w:rsidRPr="00397D10">
        <w:rPr>
          <w:rFonts w:ascii="Arial" w:eastAsia="Arial" w:hAnsi="Arial" w:cs="Arial"/>
        </w:rPr>
        <w:t>desde el 29 de mayo de 2019 hasta el 23 de abril de</w:t>
      </w:r>
      <w:r w:rsidR="00397D10">
        <w:rPr>
          <w:rFonts w:ascii="Arial" w:eastAsia="Arial" w:hAnsi="Arial" w:cs="Arial"/>
        </w:rPr>
        <w:t xml:space="preserve"> </w:t>
      </w:r>
      <w:r w:rsidR="00397D10"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se encuentra la numerada como “</w:t>
      </w:r>
      <w:r w:rsidR="00397D10">
        <w:rPr>
          <w:rFonts w:ascii="Arial" w:eastAsia="Arial" w:hAnsi="Arial" w:cs="Arial"/>
          <w:i/>
          <w:iCs/>
        </w:rPr>
        <w:t>17</w:t>
      </w:r>
      <w:r w:rsidRPr="004F2E61">
        <w:rPr>
          <w:rFonts w:ascii="Arial" w:eastAsia="Arial" w:hAnsi="Arial" w:cs="Arial"/>
          <w:i/>
          <w:iCs/>
        </w:rPr>
        <w:t xml:space="preserve">: </w:t>
      </w:r>
      <w:r w:rsidR="00397D10" w:rsidRPr="00397D10">
        <w:rPr>
          <w:rFonts w:ascii="Arial" w:eastAsia="Arial" w:hAnsi="Arial" w:cs="Arial"/>
          <w:i/>
          <w:iCs/>
        </w:rPr>
        <w:t>INOBSERVANCIA DE DISPOSICIONES LEGALES, DE ÓRDENES IMPARTIDAS POR LA AUTORIDAD</w:t>
      </w:r>
      <w:r w:rsidR="00397D10">
        <w:rPr>
          <w:rFonts w:ascii="Arial" w:eastAsia="Arial" w:hAnsi="Arial" w:cs="Arial"/>
          <w:i/>
          <w:iCs/>
        </w:rPr>
        <w:t xml:space="preserve"> </w:t>
      </w:r>
      <w:r w:rsidR="00397D10" w:rsidRPr="00397D10">
        <w:rPr>
          <w:rFonts w:ascii="Arial" w:eastAsia="Arial" w:hAnsi="Arial" w:cs="Arial"/>
          <w:i/>
          <w:iCs/>
        </w:rPr>
        <w:t>COMPETENTE O DE INSTRUCCIONES Y ESTIPULACIONES CONTRACTUALES.</w:t>
      </w:r>
      <w:r w:rsidRPr="004F2E61">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6A37C6B2" w14:textId="087C6FAB" w:rsidR="00B851F2" w:rsidRDefault="00B851F2" w:rsidP="00397D10">
      <w:pPr>
        <w:spacing w:line="360" w:lineRule="auto"/>
        <w:jc w:val="both"/>
        <w:rPr>
          <w:rFonts w:ascii="Arial" w:eastAsia="Arial" w:hAnsi="Arial" w:cs="Arial"/>
        </w:rPr>
      </w:pPr>
      <w:r w:rsidRPr="005D1BBD">
        <w:rPr>
          <w:rFonts w:ascii="Arial" w:eastAsia="Arial" w:hAnsi="Arial" w:cs="Arial"/>
        </w:rPr>
        <w:t xml:space="preserve"> </w:t>
      </w:r>
    </w:p>
    <w:p w14:paraId="78CE9A4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3152BF62" w14:textId="77777777" w:rsidR="00FE0279" w:rsidRDefault="00FE0279" w:rsidP="00B851F2">
      <w:pPr>
        <w:spacing w:after="160" w:line="360" w:lineRule="auto"/>
        <w:jc w:val="both"/>
        <w:rPr>
          <w:rFonts w:ascii="Arial" w:eastAsia="Arial" w:hAnsi="Arial" w:cs="Arial"/>
        </w:rPr>
      </w:pPr>
    </w:p>
    <w:p w14:paraId="2901095B"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w:t>
      </w:r>
      <w:r w:rsidRPr="005D1BBD">
        <w:rPr>
          <w:rFonts w:ascii="Arial" w:eastAsia="Arial" w:hAnsi="Arial" w:cs="Arial"/>
          <w:i/>
          <w:iCs/>
          <w:sz w:val="20"/>
          <w:szCs w:val="20"/>
        </w:rPr>
        <w:lastRenderedPageBreak/>
        <w:t>fácilmente legibles, y c. Los amparos básicos y las exclusiones deben figurar, en caracteres destacados, en la primera página de la póliza. (negrilla y subrayado por fuera del texto original).</w:t>
      </w:r>
    </w:p>
    <w:p w14:paraId="055F8A5B" w14:textId="77777777" w:rsidR="00FE0279" w:rsidRDefault="00FE0279" w:rsidP="00B851F2">
      <w:pPr>
        <w:spacing w:after="160" w:line="360" w:lineRule="auto"/>
        <w:ind w:left="851"/>
        <w:jc w:val="both"/>
        <w:rPr>
          <w:rFonts w:ascii="Arial" w:eastAsia="Arial" w:hAnsi="Arial" w:cs="Arial"/>
          <w:i/>
          <w:iCs/>
          <w:sz w:val="20"/>
          <w:szCs w:val="20"/>
        </w:rPr>
      </w:pPr>
    </w:p>
    <w:p w14:paraId="27D0BC3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470BFA24" w14:textId="77777777" w:rsidR="00FE0279" w:rsidRDefault="00FE0279" w:rsidP="00B851F2">
      <w:pPr>
        <w:spacing w:after="160" w:line="360" w:lineRule="auto"/>
        <w:jc w:val="both"/>
        <w:rPr>
          <w:rFonts w:ascii="Arial" w:eastAsia="Arial" w:hAnsi="Arial" w:cs="Arial"/>
        </w:rPr>
      </w:pPr>
    </w:p>
    <w:p w14:paraId="0DD0F00F"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w:t>
      </w:r>
      <w:proofErr w:type="spellStart"/>
      <w:r w:rsidRPr="005D1BBD">
        <w:rPr>
          <w:rFonts w:ascii="Arial" w:eastAsia="Arial" w:hAnsi="Arial" w:cs="Arial"/>
          <w:i/>
          <w:iCs/>
          <w:sz w:val="20"/>
          <w:szCs w:val="20"/>
        </w:rPr>
        <w:t>ii</w:t>
      </w:r>
      <w:proofErr w:type="spellEnd"/>
      <w:r w:rsidRPr="005D1BBD">
        <w:rPr>
          <w:rFonts w:ascii="Arial" w:eastAsia="Arial" w:hAnsi="Arial" w:cs="Arial"/>
          <w:i/>
          <w:iCs/>
          <w:sz w:val="20"/>
          <w:szCs w:val="20"/>
        </w:rPr>
        <w:t>) el clausulado del contrato, que corresponde a las condiciones negociales generales o clausulado general; y (</w:t>
      </w:r>
      <w:proofErr w:type="spellStart"/>
      <w:r w:rsidRPr="005D1BBD">
        <w:rPr>
          <w:rFonts w:ascii="Arial" w:eastAsia="Arial" w:hAnsi="Arial" w:cs="Arial"/>
          <w:i/>
          <w:iCs/>
          <w:sz w:val="20"/>
          <w:szCs w:val="20"/>
        </w:rPr>
        <w:t>iii</w:t>
      </w:r>
      <w:proofErr w:type="spellEnd"/>
      <w:r w:rsidRPr="005D1BBD">
        <w:rPr>
          <w:rFonts w:ascii="Arial" w:eastAsia="Arial" w:hAnsi="Arial" w:cs="Arial"/>
          <w:i/>
          <w:iCs/>
          <w:sz w:val="20"/>
          <w:szCs w:val="20"/>
        </w:rPr>
        <w:t xml:space="preserve">) los anexos, en los términos del artículo 1048 </w:t>
      </w:r>
      <w:proofErr w:type="spellStart"/>
      <w:r w:rsidRPr="005D1BBD">
        <w:rPr>
          <w:rFonts w:ascii="Arial" w:eastAsia="Arial" w:hAnsi="Arial" w:cs="Arial"/>
          <w:i/>
          <w:iCs/>
          <w:sz w:val="20"/>
          <w:szCs w:val="20"/>
        </w:rPr>
        <w:t>ejusdem</w:t>
      </w:r>
      <w:proofErr w:type="spellEnd"/>
      <w:r w:rsidRPr="005D1BBD">
        <w:rPr>
          <w:rFonts w:ascii="Arial" w:eastAsia="Arial" w:hAnsi="Arial" w:cs="Arial"/>
          <w:i/>
          <w:iCs/>
          <w:sz w:val="20"/>
          <w:szCs w:val="20"/>
        </w:rPr>
        <w:t>.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0687776" w14:textId="77777777" w:rsidR="00FE0279" w:rsidRDefault="00FE0279" w:rsidP="00B851F2">
      <w:pPr>
        <w:spacing w:after="160" w:line="360" w:lineRule="auto"/>
        <w:ind w:left="851"/>
        <w:jc w:val="both"/>
        <w:rPr>
          <w:rFonts w:ascii="Arial" w:eastAsia="Arial" w:hAnsi="Arial" w:cs="Arial"/>
          <w:i/>
          <w:iCs/>
          <w:sz w:val="20"/>
          <w:szCs w:val="20"/>
        </w:rPr>
      </w:pPr>
    </w:p>
    <w:p w14:paraId="614D54C9" w14:textId="77777777" w:rsidR="00CA7199" w:rsidRDefault="00B851F2" w:rsidP="00CA7199">
      <w:pPr>
        <w:spacing w:line="360"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239628C5" w14:textId="14642788" w:rsidR="00B851F2" w:rsidRDefault="00B851F2" w:rsidP="00CA7199">
      <w:pPr>
        <w:spacing w:line="360" w:lineRule="auto"/>
        <w:jc w:val="both"/>
        <w:rPr>
          <w:rFonts w:ascii="Arial" w:eastAsia="Arial" w:hAnsi="Arial" w:cs="Arial"/>
        </w:rPr>
      </w:pPr>
      <w:r w:rsidRPr="00493277">
        <w:rPr>
          <w:rFonts w:ascii="Arial" w:eastAsia="Arial" w:hAnsi="Arial" w:cs="Arial"/>
        </w:rPr>
        <w:t xml:space="preserve"> </w:t>
      </w:r>
    </w:p>
    <w:p w14:paraId="52A6E5AE" w14:textId="77777777" w:rsidR="00B851F2" w:rsidRDefault="00B851F2" w:rsidP="00B851F2">
      <w:pPr>
        <w:spacing w:after="160" w:line="360"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57E61A2C" w14:textId="77777777" w:rsidR="00FE0279" w:rsidRDefault="00FE0279" w:rsidP="00B851F2">
      <w:pPr>
        <w:spacing w:after="160" w:line="360" w:lineRule="auto"/>
        <w:jc w:val="both"/>
        <w:rPr>
          <w:rFonts w:ascii="Arial" w:eastAsia="Arial" w:hAnsi="Arial" w:cs="Arial"/>
        </w:rPr>
      </w:pPr>
    </w:p>
    <w:p w14:paraId="67C6356D" w14:textId="77777777" w:rsidR="00B851F2" w:rsidRDefault="00B851F2" w:rsidP="00B851F2">
      <w:pPr>
        <w:spacing w:after="160" w:line="360" w:lineRule="auto"/>
        <w:ind w:left="851"/>
        <w:jc w:val="both"/>
        <w:rPr>
          <w:rFonts w:ascii="Arial" w:eastAsia="Arial" w:hAnsi="Arial" w:cs="Arial"/>
          <w:i/>
          <w:iCs/>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Cali - </w:t>
      </w:r>
      <w:proofErr w:type="spellStart"/>
      <w:r w:rsidRPr="00493277">
        <w:rPr>
          <w:rFonts w:ascii="Arial" w:eastAsia="Arial" w:hAnsi="Arial" w:cs="Arial"/>
          <w:i/>
          <w:iCs/>
          <w:sz w:val="20"/>
          <w:szCs w:val="20"/>
        </w:rPr>
        <w:t>Av</w:t>
      </w:r>
      <w:proofErr w:type="spellEnd"/>
      <w:r w:rsidRPr="00493277">
        <w:rPr>
          <w:rFonts w:ascii="Arial" w:eastAsia="Arial" w:hAnsi="Arial" w:cs="Arial"/>
          <w:i/>
          <w:iCs/>
          <w:sz w:val="20"/>
          <w:szCs w:val="20"/>
        </w:rPr>
        <w:t xml:space="preserve"> 6A Bis #35N-100, </w:t>
      </w:r>
      <w:proofErr w:type="spellStart"/>
      <w:r w:rsidRPr="00493277">
        <w:rPr>
          <w:rFonts w:ascii="Arial" w:eastAsia="Arial" w:hAnsi="Arial" w:cs="Arial"/>
          <w:i/>
          <w:iCs/>
          <w:sz w:val="20"/>
          <w:szCs w:val="20"/>
        </w:rPr>
        <w:t>Of</w:t>
      </w:r>
      <w:proofErr w:type="spellEnd"/>
      <w:r w:rsidRPr="00493277">
        <w:rPr>
          <w:rFonts w:ascii="Arial" w:eastAsia="Arial" w:hAnsi="Arial" w:cs="Arial"/>
          <w:i/>
          <w:iCs/>
          <w:sz w:val="20"/>
          <w:szCs w:val="20"/>
        </w:rPr>
        <w:t xml:space="preserve">. 212, Cali, Valle del Cauca, Centro </w:t>
      </w:r>
      <w:r w:rsidRPr="00493277">
        <w:rPr>
          <w:rFonts w:ascii="Arial" w:eastAsia="Arial" w:hAnsi="Arial" w:cs="Arial"/>
          <w:i/>
          <w:iCs/>
          <w:sz w:val="20"/>
          <w:szCs w:val="20"/>
        </w:rPr>
        <w:lastRenderedPageBreak/>
        <w:t xml:space="preserve">Empresarial Chipichape +57 315 577 6200 Bogotá - </w:t>
      </w:r>
      <w:proofErr w:type="spellStart"/>
      <w:r w:rsidRPr="00493277">
        <w:rPr>
          <w:rFonts w:ascii="Arial" w:eastAsia="Arial" w:hAnsi="Arial" w:cs="Arial"/>
          <w:i/>
          <w:iCs/>
          <w:sz w:val="20"/>
          <w:szCs w:val="20"/>
        </w:rPr>
        <w:t>Cra</w:t>
      </w:r>
      <w:proofErr w:type="spellEnd"/>
      <w:r w:rsidRPr="00493277">
        <w:rPr>
          <w:rFonts w:ascii="Arial" w:eastAsia="Arial" w:hAnsi="Arial" w:cs="Arial"/>
          <w:i/>
          <w:iCs/>
          <w:sz w:val="20"/>
          <w:szCs w:val="20"/>
        </w:rPr>
        <w:t xml:space="preserve"> 11A # 94A - 23 de 201 | +57 317 379 5688 KLGM Página 40 | 46 1.2.1.1.1. Las condiciones particulares previstas en el art. 1047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xml:space="preserve">. 1.2.1.1.2. En caracteres destacados o resaltados, es decir, que se distingan del resto del texto de la impresión, el contenido del inciso 1º del art. 1068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Para el caso de los seguros de vida, el contenido del art. 1152 del mismo ordenamiento legal. 1.2.1.2. A partir de la primera página de la póliza (amparos y exclusiones) 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9FC820C" w14:textId="3BDBD771" w:rsidR="00B851F2" w:rsidRDefault="00B851F2" w:rsidP="00B851F2">
      <w:pPr>
        <w:spacing w:after="160" w:line="360"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64495A" w:rsidRPr="00966075">
        <w:rPr>
          <w:rFonts w:ascii="Arial" w:eastAsia="Arial" w:hAnsi="Arial" w:cs="Arial"/>
        </w:rPr>
        <w:t>esta</w:t>
      </w:r>
      <w:r w:rsidRPr="00966075">
        <w:rPr>
          <w:rFonts w:ascii="Arial" w:eastAsia="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353621BC" w14:textId="77777777" w:rsidR="00FE0279" w:rsidRDefault="00FE0279" w:rsidP="00B851F2">
      <w:pPr>
        <w:spacing w:after="160" w:line="360" w:lineRule="auto"/>
        <w:jc w:val="both"/>
        <w:rPr>
          <w:rFonts w:ascii="Arial" w:eastAsia="Arial" w:hAnsi="Arial" w:cs="Arial"/>
        </w:rPr>
      </w:pPr>
    </w:p>
    <w:p w14:paraId="2715CBF8"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434E5086" w14:textId="77777777" w:rsidR="00FE0279" w:rsidRDefault="00FE0279" w:rsidP="00B851F2">
      <w:pPr>
        <w:spacing w:after="160" w:line="360" w:lineRule="auto"/>
        <w:ind w:left="851"/>
        <w:jc w:val="both"/>
        <w:rPr>
          <w:rFonts w:ascii="Arial" w:eastAsia="Arial" w:hAnsi="Arial" w:cs="Arial"/>
          <w:i/>
          <w:iCs/>
          <w:sz w:val="20"/>
          <w:szCs w:val="20"/>
        </w:rPr>
      </w:pPr>
    </w:p>
    <w:p w14:paraId="0A3EB91F"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5E4D11E2" w14:textId="77777777" w:rsidR="00FE0279" w:rsidRDefault="00FE0279" w:rsidP="00B851F2">
      <w:pPr>
        <w:spacing w:after="160" w:line="360" w:lineRule="auto"/>
        <w:jc w:val="both"/>
        <w:rPr>
          <w:rFonts w:ascii="Arial" w:eastAsia="Arial" w:hAnsi="Arial" w:cs="Arial"/>
        </w:rPr>
      </w:pPr>
    </w:p>
    <w:p w14:paraId="23508D71"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lastRenderedPageBreak/>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94DCB25" w14:textId="77777777" w:rsidR="00FE0279" w:rsidRDefault="00FE0279" w:rsidP="00B851F2">
      <w:pPr>
        <w:spacing w:after="160" w:line="360" w:lineRule="auto"/>
        <w:ind w:left="851"/>
        <w:jc w:val="both"/>
        <w:rPr>
          <w:rFonts w:ascii="Arial" w:eastAsia="Arial" w:hAnsi="Arial" w:cs="Arial"/>
          <w:i/>
          <w:iCs/>
          <w:sz w:val="20"/>
          <w:szCs w:val="20"/>
        </w:rPr>
      </w:pPr>
    </w:p>
    <w:p w14:paraId="644EDDD9"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30D5DC89" w14:textId="77777777" w:rsidR="00FE0279" w:rsidRDefault="00FE0279" w:rsidP="00B851F2">
      <w:pPr>
        <w:spacing w:after="160" w:line="360" w:lineRule="auto"/>
        <w:jc w:val="both"/>
        <w:rPr>
          <w:rFonts w:ascii="Arial" w:eastAsia="Arial" w:hAnsi="Arial" w:cs="Arial"/>
        </w:rPr>
      </w:pPr>
    </w:p>
    <w:p w14:paraId="40A1B7B5" w14:textId="7E76C5F9" w:rsidR="00B851F2" w:rsidRDefault="00B851F2" w:rsidP="0064495A">
      <w:pPr>
        <w:spacing w:line="360"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 xml:space="preserve">Póliza de Seguro de Responsabilidad Civil </w:t>
      </w:r>
      <w:r w:rsidR="0064495A" w:rsidRPr="0064495A">
        <w:rPr>
          <w:rFonts w:ascii="Arial" w:eastAsia="Arial" w:hAnsi="Arial" w:cs="Arial"/>
          <w:b/>
          <w:bCs/>
        </w:rPr>
        <w:t>No. 420-80-994000000109</w:t>
      </w:r>
      <w:r w:rsidR="0064495A" w:rsidRPr="0064495A">
        <w:rPr>
          <w:rFonts w:ascii="Arial" w:eastAsia="Arial" w:hAnsi="Arial" w:cs="Arial"/>
        </w:rPr>
        <w:t>, c</w:t>
      </w:r>
      <w:r w:rsidR="00AF34A2">
        <w:rPr>
          <w:rFonts w:ascii="Arial" w:eastAsia="Arial" w:hAnsi="Arial" w:cs="Arial"/>
        </w:rPr>
        <w:t>uya</w:t>
      </w:r>
      <w:r w:rsidR="0064495A" w:rsidRPr="0064495A">
        <w:rPr>
          <w:rFonts w:ascii="Arial" w:eastAsia="Arial" w:hAnsi="Arial" w:cs="Arial"/>
        </w:rPr>
        <w:t xml:space="preserve"> vigencia </w:t>
      </w:r>
      <w:r w:rsidR="00AF34A2">
        <w:rPr>
          <w:rFonts w:ascii="Arial" w:eastAsia="Arial" w:hAnsi="Arial" w:cs="Arial"/>
        </w:rPr>
        <w:t xml:space="preserve">fue </w:t>
      </w:r>
      <w:r w:rsidR="0064495A" w:rsidRPr="0064495A">
        <w:rPr>
          <w:rFonts w:ascii="Arial" w:eastAsia="Arial" w:hAnsi="Arial" w:cs="Arial"/>
        </w:rPr>
        <w:t>desde el 29 de mayo de 2019 hasta el 23 de abril de</w:t>
      </w:r>
      <w:r w:rsidR="0064495A">
        <w:rPr>
          <w:rFonts w:ascii="Arial" w:eastAsia="Arial" w:hAnsi="Arial" w:cs="Arial"/>
        </w:rPr>
        <w:t xml:space="preserve"> </w:t>
      </w:r>
      <w:r w:rsidR="0064495A" w:rsidRPr="0064495A">
        <w:rPr>
          <w:rFonts w:ascii="Arial" w:eastAsia="Arial" w:hAnsi="Arial" w:cs="Arial"/>
        </w:rPr>
        <w:t>2020</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probada esta excepción</w:t>
      </w:r>
      <w:r>
        <w:rPr>
          <w:rFonts w:ascii="Arial" w:eastAsia="Arial" w:hAnsi="Arial" w:cs="Arial"/>
        </w:rPr>
        <w:t>.</w:t>
      </w:r>
    </w:p>
    <w:p w14:paraId="1711677C" w14:textId="77777777" w:rsidR="00B851F2" w:rsidRPr="00966075" w:rsidRDefault="00B851F2" w:rsidP="00B851F2">
      <w:pPr>
        <w:spacing w:after="160" w:line="360" w:lineRule="auto"/>
        <w:jc w:val="both"/>
        <w:rPr>
          <w:rFonts w:ascii="Arial" w:eastAsia="Arial" w:hAnsi="Arial" w:cs="Arial"/>
        </w:rPr>
      </w:pPr>
    </w:p>
    <w:p w14:paraId="11BBB38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rPr>
      </w:pPr>
      <w:r w:rsidRPr="004551BE">
        <w:rPr>
          <w:rFonts w:ascii="Arial" w:eastAsia="Arial" w:hAnsi="Arial" w:cs="Arial"/>
          <w:b/>
          <w:bCs/>
          <w:color w:val="000000" w:themeColor="text1"/>
          <w:lang w:val="es-ES"/>
        </w:rPr>
        <w:t>DISPONIBILIDAD DEL VALOR ASEGURADO</w:t>
      </w:r>
    </w:p>
    <w:p w14:paraId="705B99E0" w14:textId="77777777" w:rsidR="00FE0279" w:rsidRPr="004551BE" w:rsidRDefault="00FE0279" w:rsidP="003125FD">
      <w:pPr>
        <w:pStyle w:val="Prrafodelista"/>
        <w:spacing w:after="160" w:line="360" w:lineRule="auto"/>
        <w:jc w:val="both"/>
        <w:rPr>
          <w:rFonts w:ascii="Arial" w:eastAsia="Arial" w:hAnsi="Arial" w:cs="Arial"/>
          <w:b/>
          <w:bCs/>
        </w:rPr>
      </w:pPr>
    </w:p>
    <w:p w14:paraId="68E2ED59" w14:textId="77777777"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r w:rsidRPr="004551BE">
        <w:rPr>
          <w:rFonts w:ascii="Arial" w:eastAsia="Arial" w:hAnsi="Arial" w:cs="Arial"/>
        </w:rPr>
        <w:t xml:space="preserve"> </w:t>
      </w:r>
    </w:p>
    <w:p w14:paraId="64B86F15" w14:textId="77777777" w:rsidR="00B851F2" w:rsidRPr="004551BE" w:rsidRDefault="00B851F2" w:rsidP="00B851F2">
      <w:pPr>
        <w:spacing w:line="360" w:lineRule="auto"/>
        <w:jc w:val="both"/>
        <w:rPr>
          <w:rFonts w:ascii="Arial" w:hAnsi="Arial" w:cs="Arial"/>
        </w:rPr>
      </w:pPr>
    </w:p>
    <w:p w14:paraId="128A6D38"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CARÁCTER MERAMENTE INDEMNIZATORIO DE LOS CONTRATOS DE SEGUROS </w:t>
      </w:r>
    </w:p>
    <w:p w14:paraId="03B35441"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2B0B9010" w14:textId="382495F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sidR="00B27A4B">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75A27054" w14:textId="77777777" w:rsidR="00B851F2" w:rsidRPr="004551BE" w:rsidRDefault="00B851F2" w:rsidP="00B851F2">
      <w:pPr>
        <w:spacing w:line="360" w:lineRule="auto"/>
        <w:jc w:val="both"/>
        <w:rPr>
          <w:rFonts w:ascii="Arial" w:eastAsia="Arial" w:hAnsi="Arial" w:cs="Arial"/>
          <w:color w:val="000000" w:themeColor="text1"/>
        </w:rPr>
      </w:pPr>
    </w:p>
    <w:p w14:paraId="73BC4165"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lastRenderedPageBreak/>
        <w:t>Al respecto, la Corte Suprema de Justicia, Sala de Casación Civil en sentencia No. 5065 del 22 de julio de 1999 estableció:</w:t>
      </w:r>
    </w:p>
    <w:p w14:paraId="1825BBB3" w14:textId="77777777" w:rsidR="00B851F2" w:rsidRPr="004551BE" w:rsidRDefault="00B851F2" w:rsidP="00B851F2">
      <w:pPr>
        <w:spacing w:line="360" w:lineRule="auto"/>
        <w:jc w:val="both"/>
        <w:rPr>
          <w:rFonts w:ascii="Arial" w:eastAsia="Arial" w:hAnsi="Arial" w:cs="Arial"/>
          <w:color w:val="000000" w:themeColor="text1"/>
        </w:rPr>
      </w:pPr>
    </w:p>
    <w:p w14:paraId="7A9E8D2D" w14:textId="77777777" w:rsidR="00B851F2" w:rsidRDefault="00B851F2" w:rsidP="00B851F2">
      <w:pPr>
        <w:spacing w:line="360" w:lineRule="auto"/>
        <w:ind w:left="851"/>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6"/>
      </w:r>
    </w:p>
    <w:p w14:paraId="2F9AFEAB" w14:textId="77777777" w:rsidR="00B851F2" w:rsidRPr="004551BE" w:rsidRDefault="00B851F2" w:rsidP="00B851F2">
      <w:pPr>
        <w:spacing w:line="360" w:lineRule="auto"/>
        <w:ind w:left="708"/>
        <w:jc w:val="both"/>
        <w:rPr>
          <w:rFonts w:ascii="Arial" w:eastAsia="Arial" w:hAnsi="Arial" w:cs="Arial"/>
          <w:color w:val="000000" w:themeColor="text1"/>
          <w:sz w:val="20"/>
          <w:szCs w:val="20"/>
          <w:vertAlign w:val="superscript"/>
        </w:rPr>
      </w:pPr>
    </w:p>
    <w:p w14:paraId="6828C1C2"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7E9E0EEF" w14:textId="77777777" w:rsidR="00B851F2" w:rsidRPr="004551BE" w:rsidRDefault="00B851F2" w:rsidP="00B851F2">
      <w:pPr>
        <w:spacing w:line="360" w:lineRule="auto"/>
        <w:jc w:val="both"/>
        <w:rPr>
          <w:rFonts w:ascii="Arial" w:eastAsia="Arial" w:hAnsi="Arial" w:cs="Arial"/>
          <w:color w:val="000000" w:themeColor="text1"/>
        </w:rPr>
      </w:pPr>
    </w:p>
    <w:p w14:paraId="10AFD06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3DAB059" w14:textId="77777777" w:rsidR="00B851F2" w:rsidRPr="004551BE" w:rsidRDefault="00B851F2" w:rsidP="00B851F2">
      <w:pPr>
        <w:spacing w:line="360" w:lineRule="auto"/>
        <w:jc w:val="both"/>
        <w:rPr>
          <w:rFonts w:ascii="Arial" w:eastAsia="Arial" w:hAnsi="Arial" w:cs="Arial"/>
          <w:color w:val="000000" w:themeColor="text1"/>
        </w:rPr>
      </w:pPr>
    </w:p>
    <w:p w14:paraId="37AC1143"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F1F0364" w14:textId="77777777" w:rsidR="00B851F2" w:rsidRPr="004551BE" w:rsidRDefault="00B851F2" w:rsidP="00B851F2">
      <w:pPr>
        <w:spacing w:line="360" w:lineRule="auto"/>
        <w:jc w:val="both"/>
        <w:rPr>
          <w:rFonts w:ascii="Arial" w:eastAsia="Arial" w:hAnsi="Arial" w:cs="Arial"/>
          <w:color w:val="000000" w:themeColor="text1"/>
        </w:rPr>
      </w:pPr>
    </w:p>
    <w:p w14:paraId="43D1FB2E" w14:textId="77777777" w:rsidR="00B851F2" w:rsidRPr="001E3A8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699DE41B" w14:textId="77777777" w:rsidR="00B851F2" w:rsidRPr="004551BE" w:rsidRDefault="00B851F2" w:rsidP="00B851F2">
      <w:pPr>
        <w:spacing w:line="360" w:lineRule="auto"/>
        <w:jc w:val="both"/>
        <w:rPr>
          <w:rFonts w:ascii="Arial" w:eastAsia="Arial" w:hAnsi="Arial" w:cs="Arial"/>
          <w:b/>
          <w:bCs/>
          <w:color w:val="000000" w:themeColor="text1"/>
        </w:rPr>
      </w:pPr>
    </w:p>
    <w:p w14:paraId="6944DC30" w14:textId="3DCDA548" w:rsidR="00B851F2" w:rsidRPr="003125FD" w:rsidRDefault="00B851F2" w:rsidP="00B851F2">
      <w:pPr>
        <w:pStyle w:val="Prrafodelista"/>
        <w:numPr>
          <w:ilvl w:val="0"/>
          <w:numId w:val="32"/>
        </w:num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r w:rsidRPr="004551BE">
        <w:rPr>
          <w:rFonts w:ascii="Arial" w:eastAsia="Arial" w:hAnsi="Arial" w:cs="Arial"/>
          <w:color w:val="000000" w:themeColor="text1"/>
          <w:lang w:val="es-ES"/>
        </w:rPr>
        <w:t xml:space="preserve"> </w:t>
      </w:r>
    </w:p>
    <w:p w14:paraId="04C05208" w14:textId="77777777" w:rsidR="00FE0279" w:rsidRPr="004551BE" w:rsidRDefault="00FE0279" w:rsidP="000B5400">
      <w:pPr>
        <w:pStyle w:val="Prrafodelista"/>
        <w:spacing w:after="0" w:line="360" w:lineRule="auto"/>
        <w:jc w:val="both"/>
        <w:rPr>
          <w:rFonts w:ascii="Arial" w:eastAsia="Arial" w:hAnsi="Arial" w:cs="Arial"/>
          <w:color w:val="000000" w:themeColor="text1"/>
        </w:rPr>
      </w:pPr>
    </w:p>
    <w:p w14:paraId="11C00B5C" w14:textId="77777777" w:rsidR="00B851F2" w:rsidRPr="004551BE"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w:t>
      </w:r>
      <w:r w:rsidRPr="004551BE">
        <w:rPr>
          <w:rFonts w:ascii="Arial" w:eastAsia="Arial" w:hAnsi="Arial" w:cs="Arial"/>
          <w:color w:val="000000" w:themeColor="text1"/>
        </w:rPr>
        <w:lastRenderedPageBreak/>
        <w:t>misma no sea a través de pago directo, sino por rembolso o reintegro.</w:t>
      </w:r>
    </w:p>
    <w:p w14:paraId="0F808DCF" w14:textId="77777777" w:rsidR="00B851F2" w:rsidRPr="004551BE" w:rsidRDefault="00B851F2" w:rsidP="00B851F2">
      <w:pPr>
        <w:spacing w:line="360" w:lineRule="auto"/>
        <w:jc w:val="both"/>
        <w:rPr>
          <w:rFonts w:ascii="Arial" w:eastAsia="Arial" w:hAnsi="Arial" w:cs="Arial"/>
          <w:color w:val="000000" w:themeColor="text1"/>
        </w:rPr>
      </w:pPr>
    </w:p>
    <w:p w14:paraId="51CCF951" w14:textId="77777777" w:rsidR="00B851F2" w:rsidRDefault="00B851F2" w:rsidP="008D2A79">
      <w:pPr>
        <w:pStyle w:val="Prrafodelista"/>
        <w:numPr>
          <w:ilvl w:val="0"/>
          <w:numId w:val="32"/>
        </w:numPr>
        <w:spacing w:after="160" w:line="360"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476DF6BE" w14:textId="77777777" w:rsidR="00FE0279" w:rsidRDefault="00FE0279" w:rsidP="003125FD">
      <w:pPr>
        <w:pStyle w:val="Prrafodelista"/>
        <w:spacing w:after="160" w:line="360" w:lineRule="auto"/>
        <w:ind w:left="714"/>
        <w:jc w:val="both"/>
        <w:rPr>
          <w:rFonts w:ascii="Arial" w:eastAsia="Arial" w:hAnsi="Arial" w:cs="Arial"/>
          <w:b/>
          <w:bCs/>
          <w:color w:val="000000" w:themeColor="text1"/>
        </w:rPr>
      </w:pPr>
    </w:p>
    <w:p w14:paraId="3F857E54"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4C378D"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9FC10AA" w14:textId="77777777" w:rsidR="00B851F2" w:rsidRDefault="00B851F2" w:rsidP="00B851F2">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461807B9" w14:textId="77777777" w:rsidR="00B851F2" w:rsidRPr="00DA50D0" w:rsidRDefault="00B851F2" w:rsidP="00B851F2">
      <w:pPr>
        <w:spacing w:after="160" w:line="360" w:lineRule="auto"/>
        <w:jc w:val="both"/>
        <w:rPr>
          <w:rFonts w:ascii="Arial" w:eastAsia="Arial" w:hAnsi="Arial" w:cs="Arial"/>
          <w:color w:val="000000" w:themeColor="text1"/>
        </w:rPr>
      </w:pPr>
    </w:p>
    <w:p w14:paraId="22ED265D"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28592DE4"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7EE595AC"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48ABEA29" w14:textId="77777777" w:rsidR="00B851F2" w:rsidRPr="004551BE" w:rsidRDefault="00B851F2" w:rsidP="00B851F2">
      <w:pPr>
        <w:spacing w:line="360" w:lineRule="auto"/>
        <w:jc w:val="both"/>
        <w:rPr>
          <w:rFonts w:ascii="Arial" w:eastAsia="Arial" w:hAnsi="Arial" w:cs="Arial"/>
        </w:rPr>
      </w:pPr>
    </w:p>
    <w:p w14:paraId="0642F858"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B851F2">
      <w:pPr>
        <w:spacing w:line="360" w:lineRule="auto"/>
        <w:jc w:val="both"/>
        <w:rPr>
          <w:rFonts w:ascii="Arial" w:eastAsia="Arial" w:hAnsi="Arial" w:cs="Arial"/>
          <w:color w:val="000000" w:themeColor="text1"/>
        </w:rPr>
      </w:pPr>
    </w:p>
    <w:p w14:paraId="3451B6C1" w14:textId="5936EA2C"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1675018D" w14:textId="77777777" w:rsidR="00983BB9" w:rsidRDefault="00983BB9" w:rsidP="00983BB9">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 xml:space="preserve">Con el objeto de probar los hechos materia de las excepciones de mérito, nos reservamos el </w:t>
      </w:r>
      <w:r w:rsidRPr="00AD6D2F">
        <w:rPr>
          <w:rFonts w:ascii="Arial" w:eastAsia="Arial" w:hAnsi="Arial" w:cs="Arial"/>
          <w:color w:val="000000" w:themeColor="text1"/>
        </w:rPr>
        <w:lastRenderedPageBreak/>
        <w:t>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21C93A51" w14:textId="77777777" w:rsidR="00983BB9" w:rsidRPr="00AD6D2F" w:rsidRDefault="00983BB9" w:rsidP="00983BB9">
      <w:pPr>
        <w:spacing w:line="360" w:lineRule="auto"/>
        <w:jc w:val="both"/>
        <w:rPr>
          <w:rFonts w:ascii="Arial" w:eastAsia="Arial" w:hAnsi="Arial" w:cs="Arial"/>
          <w:color w:val="000000" w:themeColor="text1"/>
        </w:rPr>
      </w:pPr>
    </w:p>
    <w:p w14:paraId="3FCF02D4" w14:textId="77777777" w:rsidR="00983BB9" w:rsidRPr="004551BE"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FRENTE A LA EXHIBICIÓN DE DOCUMENTOS </w:t>
      </w:r>
    </w:p>
    <w:p w14:paraId="03AC4AD9" w14:textId="77777777" w:rsidR="00983BB9"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Me opongo a la solicitud probatoria número </w:t>
      </w:r>
      <w:r>
        <w:rPr>
          <w:rFonts w:ascii="Arial" w:eastAsia="Arial" w:hAnsi="Arial" w:cs="Arial"/>
          <w:color w:val="000000" w:themeColor="text1"/>
        </w:rPr>
        <w:t>1</w:t>
      </w:r>
      <w:r w:rsidRPr="004551BE">
        <w:rPr>
          <w:rFonts w:ascii="Arial" w:eastAsia="Arial" w:hAnsi="Arial" w:cs="Arial"/>
          <w:color w:val="000000" w:themeColor="text1"/>
        </w:rPr>
        <w:t>.2. del acápite de pruebas, en razón a que a la parte demandante le asistía el deber de obtener es</w:t>
      </w:r>
      <w:r>
        <w:rPr>
          <w:rFonts w:ascii="Arial" w:eastAsia="Arial" w:hAnsi="Arial" w:cs="Arial"/>
          <w:color w:val="000000" w:themeColor="text1"/>
        </w:rPr>
        <w:t>e</w:t>
      </w:r>
      <w:r w:rsidRPr="004551BE">
        <w:rPr>
          <w:rFonts w:ascii="Arial" w:eastAsia="Arial" w:hAnsi="Arial" w:cs="Arial"/>
          <w:color w:val="000000" w:themeColor="text1"/>
        </w:rPr>
        <w:t xml:space="preserve"> documento a través del ejercicio del derecho de petición, de conformidad con el artículo 78, numeral 10 del Código General del Proceso, que expresa: </w:t>
      </w:r>
      <w:r w:rsidRPr="004551BE">
        <w:rPr>
          <w:rFonts w:ascii="Arial" w:eastAsia="Arial" w:hAnsi="Arial" w:cs="Arial"/>
          <w:i/>
          <w:iCs/>
          <w:color w:val="000000" w:themeColor="text1"/>
        </w:rPr>
        <w:t>“son deberes de las partes y de sus apoderados abstenerse de solicitarle al juez la consecución de documentos que mediante el ejercicio del derecho de petición se pueden obtener”</w:t>
      </w:r>
      <w:r w:rsidRPr="004551BE">
        <w:rPr>
          <w:rFonts w:ascii="Arial" w:eastAsia="Arial" w:hAnsi="Arial" w:cs="Arial"/>
          <w:color w:val="000000" w:themeColor="text1"/>
        </w:rPr>
        <w:t>.</w:t>
      </w:r>
    </w:p>
    <w:p w14:paraId="03C0136B" w14:textId="77777777" w:rsidR="00983BB9" w:rsidRPr="004551BE" w:rsidRDefault="00983BB9" w:rsidP="00983BB9">
      <w:pPr>
        <w:spacing w:line="360" w:lineRule="auto"/>
        <w:jc w:val="both"/>
        <w:rPr>
          <w:rFonts w:ascii="Arial" w:eastAsia="Arial" w:hAnsi="Arial" w:cs="Arial"/>
          <w:color w:val="000000" w:themeColor="text1"/>
        </w:rPr>
      </w:pPr>
    </w:p>
    <w:p w14:paraId="4518D865" w14:textId="77777777" w:rsidR="00806C9F"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mismo, en armonía con el artículo 173 del Código General del Proceso, referente a las oportunidades probatorias expresa que </w:t>
      </w:r>
      <w:r w:rsidRPr="004551BE">
        <w:rPr>
          <w:rFonts w:ascii="Arial" w:eastAsia="Arial" w:hAnsi="Arial" w:cs="Arial"/>
          <w:i/>
          <w:iCs/>
          <w:color w:val="000000" w:themeColor="text1"/>
        </w:rPr>
        <w:t>“el juez se abstendrá de decretar las pruebas que directamente o que por medio de derecho de petición hubiere podido conseguir la parte quien la solicite, salvo que la petición no haya sido atendida, lo cual, deberá acreditarse sumariamente”</w:t>
      </w:r>
      <w:r w:rsidRPr="004551BE">
        <w:rPr>
          <w:rFonts w:ascii="Arial" w:eastAsia="Arial" w:hAnsi="Arial" w:cs="Arial"/>
          <w:color w:val="000000" w:themeColor="text1"/>
        </w:rPr>
        <w:t xml:space="preserve">. En este caso, el demandante </w:t>
      </w:r>
      <w:r>
        <w:rPr>
          <w:rFonts w:ascii="Arial" w:eastAsia="Arial" w:hAnsi="Arial" w:cs="Arial"/>
          <w:color w:val="000000" w:themeColor="text1"/>
        </w:rPr>
        <w:t xml:space="preserve">allega una copia del documento solicitado, y en caso de que el mismo no resulte el correspondiente al caso o resulte incompleto, el actor </w:t>
      </w:r>
      <w:r w:rsidRPr="004551BE">
        <w:rPr>
          <w:rFonts w:ascii="Arial" w:eastAsia="Arial" w:hAnsi="Arial" w:cs="Arial"/>
          <w:color w:val="000000" w:themeColor="text1"/>
        </w:rPr>
        <w:t xml:space="preserve">no acreditó que hubiere solicitado </w:t>
      </w:r>
      <w:r>
        <w:rPr>
          <w:rFonts w:ascii="Arial" w:eastAsia="Arial" w:hAnsi="Arial" w:cs="Arial"/>
          <w:color w:val="000000" w:themeColor="text1"/>
        </w:rPr>
        <w:t>el</w:t>
      </w:r>
      <w:r w:rsidRPr="004551BE">
        <w:rPr>
          <w:rFonts w:ascii="Arial" w:eastAsia="Arial" w:hAnsi="Arial" w:cs="Arial"/>
          <w:color w:val="000000" w:themeColor="text1"/>
        </w:rPr>
        <w:t xml:space="preserve"> documento mediante derecho de petición, ni que dicha </w:t>
      </w:r>
      <w:r>
        <w:rPr>
          <w:rFonts w:ascii="Arial" w:eastAsia="Arial" w:hAnsi="Arial" w:cs="Arial"/>
          <w:color w:val="000000" w:themeColor="text1"/>
        </w:rPr>
        <w:t xml:space="preserve">hipotética </w:t>
      </w:r>
      <w:r w:rsidRPr="004551BE">
        <w:rPr>
          <w:rFonts w:ascii="Arial" w:eastAsia="Arial" w:hAnsi="Arial" w:cs="Arial"/>
          <w:color w:val="000000" w:themeColor="text1"/>
        </w:rPr>
        <w:t>solicitud</w:t>
      </w:r>
      <w:r>
        <w:rPr>
          <w:rFonts w:ascii="Arial" w:eastAsia="Arial" w:hAnsi="Arial" w:cs="Arial"/>
          <w:color w:val="000000" w:themeColor="text1"/>
        </w:rPr>
        <w:t>,</w:t>
      </w:r>
      <w:r w:rsidRPr="004551BE">
        <w:rPr>
          <w:rFonts w:ascii="Arial" w:eastAsia="Arial" w:hAnsi="Arial" w:cs="Arial"/>
          <w:color w:val="000000" w:themeColor="text1"/>
        </w:rPr>
        <w:t xml:space="preserve"> no haya sido atendida.</w:t>
      </w:r>
    </w:p>
    <w:p w14:paraId="5CBE6ACA" w14:textId="77777777" w:rsidR="00806C9F" w:rsidRDefault="00806C9F" w:rsidP="00983BB9">
      <w:pPr>
        <w:spacing w:line="360" w:lineRule="auto"/>
        <w:jc w:val="both"/>
        <w:rPr>
          <w:rFonts w:ascii="Arial" w:eastAsia="Arial" w:hAnsi="Arial" w:cs="Arial"/>
          <w:color w:val="000000" w:themeColor="text1"/>
        </w:rPr>
      </w:pPr>
    </w:p>
    <w:p w14:paraId="7AB5A644" w14:textId="029655FE" w:rsidR="00983BB9" w:rsidRPr="004551BE" w:rsidRDefault="00806C9F" w:rsidP="00983BB9">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solicito se realice la debida </w:t>
      </w:r>
      <w:r w:rsidRPr="00806C9F">
        <w:rPr>
          <w:rFonts w:ascii="Arial" w:eastAsia="Arial" w:hAnsi="Arial" w:cs="Arial"/>
          <w:color w:val="000000" w:themeColor="text1"/>
        </w:rPr>
        <w:t xml:space="preserve">ratificación de las constancias suscritas por </w:t>
      </w:r>
      <w:r>
        <w:rPr>
          <w:rFonts w:ascii="Arial" w:eastAsia="Arial" w:hAnsi="Arial" w:cs="Arial"/>
          <w:color w:val="000000" w:themeColor="text1"/>
        </w:rPr>
        <w:t xml:space="preserve">la señora </w:t>
      </w:r>
      <w:r w:rsidRPr="00806C9F">
        <w:rPr>
          <w:rFonts w:ascii="Arial" w:eastAsia="Arial" w:hAnsi="Arial" w:cs="Arial"/>
          <w:color w:val="000000" w:themeColor="text1"/>
        </w:rPr>
        <w:t xml:space="preserve">YAMILETH GOMEZ y </w:t>
      </w:r>
      <w:r>
        <w:rPr>
          <w:rFonts w:ascii="Arial" w:eastAsia="Arial" w:hAnsi="Arial" w:cs="Arial"/>
          <w:color w:val="000000" w:themeColor="text1"/>
        </w:rPr>
        <w:t xml:space="preserve">el señor </w:t>
      </w:r>
      <w:r w:rsidRPr="00806C9F">
        <w:rPr>
          <w:rFonts w:ascii="Arial" w:eastAsia="Arial" w:hAnsi="Arial" w:cs="Arial"/>
          <w:color w:val="000000" w:themeColor="text1"/>
        </w:rPr>
        <w:t xml:space="preserve">RAUL ALEXIS MONDRAGON DIAZ, </w:t>
      </w:r>
      <w:r>
        <w:rPr>
          <w:rFonts w:ascii="Arial" w:eastAsia="Arial" w:hAnsi="Arial" w:cs="Arial"/>
          <w:color w:val="000000" w:themeColor="text1"/>
        </w:rPr>
        <w:t xml:space="preserve">ello </w:t>
      </w:r>
      <w:r w:rsidRPr="00806C9F">
        <w:rPr>
          <w:rFonts w:ascii="Arial" w:eastAsia="Arial" w:hAnsi="Arial" w:cs="Arial"/>
          <w:color w:val="000000" w:themeColor="text1"/>
        </w:rPr>
        <w:t xml:space="preserve">conforme </w:t>
      </w:r>
      <w:r>
        <w:rPr>
          <w:rFonts w:ascii="Arial" w:eastAsia="Arial" w:hAnsi="Arial" w:cs="Arial"/>
          <w:color w:val="000000" w:themeColor="text1"/>
        </w:rPr>
        <w:t>a lo dispuesto por e</w:t>
      </w:r>
      <w:r w:rsidRPr="00806C9F">
        <w:rPr>
          <w:rFonts w:ascii="Arial" w:eastAsia="Arial" w:hAnsi="Arial" w:cs="Arial"/>
          <w:color w:val="000000" w:themeColor="text1"/>
        </w:rPr>
        <w:t>l art</w:t>
      </w:r>
      <w:r>
        <w:rPr>
          <w:rFonts w:ascii="Arial" w:eastAsia="Arial" w:hAnsi="Arial" w:cs="Arial"/>
          <w:color w:val="000000" w:themeColor="text1"/>
        </w:rPr>
        <w:t>ículo</w:t>
      </w:r>
      <w:r w:rsidRPr="00806C9F">
        <w:rPr>
          <w:rFonts w:ascii="Arial" w:eastAsia="Arial" w:hAnsi="Arial" w:cs="Arial"/>
          <w:color w:val="000000" w:themeColor="text1"/>
        </w:rPr>
        <w:t xml:space="preserve"> 262 del C</w:t>
      </w:r>
      <w:r>
        <w:rPr>
          <w:rFonts w:ascii="Arial" w:eastAsia="Arial" w:hAnsi="Arial" w:cs="Arial"/>
          <w:color w:val="000000" w:themeColor="text1"/>
        </w:rPr>
        <w:t>ódigo General del Proceso.</w:t>
      </w:r>
    </w:p>
    <w:p w14:paraId="523E0C74" w14:textId="77777777" w:rsidR="00B851F2" w:rsidRPr="004551BE" w:rsidRDefault="00B851F2" w:rsidP="00B851F2">
      <w:pPr>
        <w:spacing w:line="360" w:lineRule="auto"/>
        <w:jc w:val="both"/>
        <w:rPr>
          <w:rFonts w:ascii="Arial" w:eastAsia="Arial" w:hAnsi="Arial" w:cs="Arial"/>
          <w:b/>
          <w:bCs/>
          <w:color w:val="000000" w:themeColor="text1"/>
        </w:rPr>
      </w:pPr>
    </w:p>
    <w:p w14:paraId="317098BB" w14:textId="77777777" w:rsidR="00B851F2"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47A00890" w14:textId="77777777" w:rsidR="00B851F2" w:rsidRPr="004551BE" w:rsidRDefault="00B851F2" w:rsidP="00B851F2">
      <w:pPr>
        <w:spacing w:line="360" w:lineRule="auto"/>
        <w:jc w:val="center"/>
        <w:rPr>
          <w:rFonts w:ascii="Arial" w:eastAsia="Arial" w:hAnsi="Arial" w:cs="Arial"/>
          <w:b/>
          <w:bCs/>
          <w:color w:val="000000" w:themeColor="text1"/>
          <w:u w:val="single"/>
        </w:rPr>
      </w:pPr>
    </w:p>
    <w:p w14:paraId="617552DA"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p>
    <w:p w14:paraId="6CF86D87" w14:textId="769B9988" w:rsidR="00B851F2" w:rsidRPr="004551BE" w:rsidRDefault="00B851F2" w:rsidP="00B851F2">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008D2A79">
        <w:rPr>
          <w:rFonts w:ascii="Arial" w:eastAsia="Arial" w:hAnsi="Arial" w:cs="Arial"/>
          <w:lang w:val="es-ES"/>
        </w:rPr>
        <w:t>.</w:t>
      </w:r>
      <w:r w:rsidRPr="004551BE">
        <w:rPr>
          <w:rFonts w:ascii="Arial" w:eastAsia="Arial" w:hAnsi="Arial" w:cs="Arial"/>
          <w:lang w:val="es-ES"/>
        </w:rPr>
        <w:t xml:space="preserve"> </w:t>
      </w:r>
    </w:p>
    <w:p w14:paraId="118EC94F" w14:textId="177CA520" w:rsidR="00B851F2" w:rsidRPr="001E3A82" w:rsidRDefault="00B851F2" w:rsidP="00B851F2">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 xml:space="preserve">Clausulado general </w:t>
      </w:r>
      <w:r w:rsidR="008D2A79"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Pr="004551BE">
        <w:rPr>
          <w:rFonts w:ascii="Arial" w:eastAsia="Arial" w:hAnsi="Arial" w:cs="Arial"/>
          <w:lang w:val="es-ES"/>
        </w:rPr>
        <w:t xml:space="preserve">. </w:t>
      </w:r>
    </w:p>
    <w:p w14:paraId="2DCD9984" w14:textId="77777777" w:rsidR="00B851F2" w:rsidRPr="004551BE" w:rsidRDefault="00B851F2" w:rsidP="00B851F2">
      <w:pPr>
        <w:pStyle w:val="Prrafodelista"/>
        <w:spacing w:after="160" w:line="360" w:lineRule="auto"/>
        <w:jc w:val="both"/>
        <w:rPr>
          <w:rFonts w:ascii="Arial" w:eastAsia="Arial" w:hAnsi="Arial" w:cs="Arial"/>
        </w:rPr>
      </w:pPr>
    </w:p>
    <w:p w14:paraId="4387312C" w14:textId="77777777" w:rsidR="00B851F2" w:rsidRPr="004551BE"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b/>
          <w:bCs/>
          <w:color w:val="000000" w:themeColor="text1"/>
        </w:rPr>
        <w:t>INTERROGATORIO DE PARTE</w:t>
      </w:r>
      <w:r w:rsidRPr="004551BE">
        <w:rPr>
          <w:rFonts w:ascii="Arial" w:eastAsia="Arial" w:hAnsi="Arial" w:cs="Arial"/>
          <w:color w:val="000000" w:themeColor="text1"/>
        </w:rPr>
        <w:t xml:space="preserve"> </w:t>
      </w:r>
    </w:p>
    <w:p w14:paraId="3476451E" w14:textId="5CF67A7D" w:rsidR="00B851F2" w:rsidRDefault="00B851F2" w:rsidP="008204A7">
      <w:pPr>
        <w:spacing w:line="360" w:lineRule="auto"/>
        <w:jc w:val="both"/>
        <w:rPr>
          <w:rFonts w:ascii="Arial" w:eastAsia="Arial" w:hAnsi="Arial" w:cs="Arial"/>
        </w:rPr>
      </w:pPr>
      <w:r w:rsidRPr="004551BE">
        <w:rPr>
          <w:rFonts w:ascii="Arial" w:eastAsia="Arial" w:hAnsi="Arial" w:cs="Arial"/>
        </w:rPr>
        <w:t xml:space="preserve">Solicito respetuosamente se sirva citar a la audiencia de pruebas respectiva a los señores </w:t>
      </w:r>
      <w:r w:rsidR="008204A7" w:rsidRPr="008204A7">
        <w:rPr>
          <w:rFonts w:ascii="Arial" w:eastAsia="Arial" w:hAnsi="Arial" w:cs="Arial"/>
        </w:rPr>
        <w:t>David Caicedo Garzón, Isabel</w:t>
      </w:r>
      <w:r w:rsidR="008204A7">
        <w:rPr>
          <w:rFonts w:ascii="Arial" w:eastAsia="Arial" w:hAnsi="Arial" w:cs="Arial"/>
        </w:rPr>
        <w:t xml:space="preserve"> </w:t>
      </w:r>
      <w:r w:rsidR="008204A7" w:rsidRPr="008204A7">
        <w:rPr>
          <w:rFonts w:ascii="Arial" w:eastAsia="Arial" w:hAnsi="Arial" w:cs="Arial"/>
        </w:rPr>
        <w:t>Carolina Medina, Sigifredo Caicedo Y Adíela Garzón Grajales</w:t>
      </w:r>
      <w:r w:rsidRPr="004551BE">
        <w:rPr>
          <w:rFonts w:ascii="Arial" w:eastAsia="Arial" w:hAnsi="Arial" w:cs="Arial"/>
        </w:rPr>
        <w:t>, con la intención de que dé respuesta a un cuestionario que le formularé verbalmente en la diligencia, con relación a las situaciones de hecho que motivaron la presente demanda.</w:t>
      </w:r>
    </w:p>
    <w:p w14:paraId="238D92D7" w14:textId="77777777" w:rsidR="00FE0279" w:rsidRDefault="00FE0279" w:rsidP="008204A7">
      <w:pPr>
        <w:spacing w:line="360" w:lineRule="auto"/>
        <w:jc w:val="both"/>
        <w:rPr>
          <w:rFonts w:ascii="Arial" w:eastAsia="Arial" w:hAnsi="Arial" w:cs="Arial"/>
        </w:rPr>
      </w:pPr>
    </w:p>
    <w:p w14:paraId="0095665D"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TESTIMONIAL</w:t>
      </w:r>
    </w:p>
    <w:p w14:paraId="7E849EC0" w14:textId="77777777" w:rsidR="00B851F2" w:rsidRDefault="00B851F2" w:rsidP="00B851F2">
      <w:pPr>
        <w:spacing w:after="240" w:line="360" w:lineRule="auto"/>
        <w:jc w:val="both"/>
        <w:rPr>
          <w:rFonts w:ascii="Arial" w:eastAsia="Arial" w:hAnsi="Arial" w:cs="Arial"/>
          <w:color w:val="000000" w:themeColor="text1"/>
        </w:rPr>
      </w:pPr>
      <w:r w:rsidRPr="00CA05D8">
        <w:rPr>
          <w:rFonts w:ascii="Arial" w:eastAsia="Arial" w:hAnsi="Arial" w:cs="Arial"/>
          <w:color w:val="000000" w:themeColor="text1"/>
        </w:rPr>
        <w:lastRenderedPageBreak/>
        <w:t xml:space="preserve">Solicito respetuosamente se sirva citar a la audiencia de pruebas a los señores: </w:t>
      </w:r>
    </w:p>
    <w:p w14:paraId="40CB28F5" w14:textId="2EDDD71F" w:rsidR="00B851F2" w:rsidRDefault="00CA3443" w:rsidP="00B851F2">
      <w:pPr>
        <w:pStyle w:val="Prrafodelista"/>
        <w:numPr>
          <w:ilvl w:val="0"/>
          <w:numId w:val="22"/>
        </w:numPr>
        <w:spacing w:line="360" w:lineRule="auto"/>
        <w:jc w:val="both"/>
        <w:rPr>
          <w:rFonts w:ascii="Arial" w:eastAsia="Arial" w:hAnsi="Arial" w:cs="Arial"/>
          <w:color w:val="000000" w:themeColor="text1"/>
        </w:rPr>
      </w:pPr>
      <w:proofErr w:type="spellStart"/>
      <w:r w:rsidRPr="00CA3443">
        <w:rPr>
          <w:rFonts w:ascii="Arial" w:eastAsia="Arial" w:hAnsi="Arial" w:cs="Arial"/>
          <w:color w:val="000000" w:themeColor="text1"/>
        </w:rPr>
        <w:t>Welmar</w:t>
      </w:r>
      <w:proofErr w:type="spellEnd"/>
      <w:r w:rsidRPr="00CA3443">
        <w:rPr>
          <w:rFonts w:ascii="Arial" w:eastAsia="Arial" w:hAnsi="Arial" w:cs="Arial"/>
          <w:color w:val="000000" w:themeColor="text1"/>
        </w:rPr>
        <w:t xml:space="preserve"> Ortiz</w:t>
      </w:r>
      <w:r w:rsidR="00B851F2" w:rsidRPr="001D6F37">
        <w:rPr>
          <w:rFonts w:ascii="Arial" w:eastAsia="Arial" w:hAnsi="Arial" w:cs="Arial"/>
          <w:color w:val="000000" w:themeColor="text1"/>
        </w:rPr>
        <w:t xml:space="preserve">, identificado con cédula de ciudadanía No. </w:t>
      </w:r>
      <w:r>
        <w:rPr>
          <w:rFonts w:ascii="Arial" w:eastAsia="Arial" w:hAnsi="Arial" w:cs="Arial"/>
          <w:color w:val="000000" w:themeColor="text1"/>
        </w:rPr>
        <w:t>7</w:t>
      </w:r>
      <w:r w:rsidR="00B851F2" w:rsidRPr="001D6F37">
        <w:rPr>
          <w:rFonts w:ascii="Arial" w:eastAsia="Arial" w:hAnsi="Arial" w:cs="Arial"/>
          <w:color w:val="000000" w:themeColor="text1"/>
        </w:rPr>
        <w:t>.5</w:t>
      </w:r>
      <w:r>
        <w:rPr>
          <w:rFonts w:ascii="Arial" w:eastAsia="Arial" w:hAnsi="Arial" w:cs="Arial"/>
          <w:color w:val="000000" w:themeColor="text1"/>
        </w:rPr>
        <w:t>57</w:t>
      </w:r>
      <w:r w:rsidR="00B851F2" w:rsidRPr="001D6F37">
        <w:rPr>
          <w:rFonts w:ascii="Arial" w:eastAsia="Arial" w:hAnsi="Arial" w:cs="Arial"/>
          <w:color w:val="000000" w:themeColor="text1"/>
        </w:rPr>
        <w:t>.</w:t>
      </w:r>
      <w:r>
        <w:rPr>
          <w:rFonts w:ascii="Arial" w:eastAsia="Arial" w:hAnsi="Arial" w:cs="Arial"/>
          <w:color w:val="000000" w:themeColor="text1"/>
        </w:rPr>
        <w:t>684</w:t>
      </w:r>
      <w:r w:rsidR="00B851F2" w:rsidRPr="001D6F37">
        <w:rPr>
          <w:rFonts w:ascii="Arial" w:eastAsia="Arial" w:hAnsi="Arial" w:cs="Arial"/>
          <w:color w:val="000000" w:themeColor="text1"/>
        </w:rPr>
        <w:t xml:space="preserve">, quien para la época se desempeñó como agente de tránsito y fue quien realizó el Informe Policial de Accidente de Tránsito No. </w:t>
      </w:r>
      <w:r w:rsidRPr="00CA3443">
        <w:rPr>
          <w:rFonts w:ascii="Arial" w:eastAsia="Arial" w:hAnsi="Arial" w:cs="Arial"/>
          <w:color w:val="000000" w:themeColor="text1"/>
        </w:rPr>
        <w:t>0001111290</w:t>
      </w:r>
      <w:r w:rsidR="00B851F2" w:rsidRPr="001D6F37">
        <w:rPr>
          <w:rFonts w:ascii="Arial" w:eastAsia="Arial" w:hAnsi="Arial" w:cs="Arial"/>
          <w:color w:val="000000" w:themeColor="text1"/>
        </w:rPr>
        <w:t>, por lo cual, podrá declarar sobre las circunstancias de tiempo, modo y lugar que le constan del accidente. Podrá ser contactado en la Secretaría de Movilidad de Tránsito Carrera 3 No. 56-90 de Cali</w:t>
      </w:r>
      <w:r w:rsidR="00B851F2" w:rsidRPr="00CB5705">
        <w:rPr>
          <w:rFonts w:ascii="Arial" w:eastAsia="Arial" w:hAnsi="Arial" w:cs="Arial"/>
          <w:color w:val="000000" w:themeColor="text1"/>
        </w:rPr>
        <w:t>.</w:t>
      </w:r>
    </w:p>
    <w:p w14:paraId="4CEF1219" w14:textId="399B7E26" w:rsidR="00B851F2" w:rsidRPr="00962BCA" w:rsidRDefault="00A7366A" w:rsidP="00F07D22">
      <w:pPr>
        <w:pStyle w:val="Prrafodelista"/>
        <w:numPr>
          <w:ilvl w:val="0"/>
          <w:numId w:val="22"/>
        </w:numPr>
        <w:spacing w:line="360" w:lineRule="auto"/>
        <w:jc w:val="both"/>
        <w:rPr>
          <w:rFonts w:ascii="Arial" w:eastAsia="Arial" w:hAnsi="Arial" w:cs="Arial"/>
          <w:color w:val="000000" w:themeColor="text1"/>
        </w:rPr>
      </w:pPr>
      <w:r w:rsidRPr="00962BCA">
        <w:rPr>
          <w:rFonts w:ascii="Arial" w:eastAsia="Arial" w:hAnsi="Arial" w:cs="Arial"/>
          <w:color w:val="000000" w:themeColor="text1"/>
        </w:rPr>
        <w:t>Gustavo Rodríguez</w:t>
      </w:r>
      <w:r w:rsidR="00962BCA" w:rsidRPr="00962BCA">
        <w:rPr>
          <w:rFonts w:ascii="Arial" w:eastAsia="Arial" w:hAnsi="Arial" w:cs="Arial"/>
          <w:color w:val="000000" w:themeColor="text1"/>
        </w:rPr>
        <w:t>, mayor de edad vecino de la ciudad de Cali identificado con cedula de ciudadanía N</w:t>
      </w:r>
      <w:r>
        <w:rPr>
          <w:rFonts w:ascii="Arial" w:eastAsia="Arial" w:hAnsi="Arial" w:cs="Arial"/>
          <w:color w:val="000000" w:themeColor="text1"/>
        </w:rPr>
        <w:t>o.</w:t>
      </w:r>
      <w:r w:rsidR="00962BCA" w:rsidRPr="00962BCA">
        <w:rPr>
          <w:rFonts w:ascii="Arial" w:eastAsia="Arial" w:hAnsi="Arial" w:cs="Arial"/>
          <w:color w:val="000000" w:themeColor="text1"/>
        </w:rPr>
        <w:t xml:space="preserve"> 6.078.379 expedida en Cali- Valle, quien puede ser notificado Carrera 41 A No. 55 – 92 B/ El Vallado en la</w:t>
      </w:r>
      <w:r w:rsidR="00962BCA">
        <w:rPr>
          <w:rFonts w:ascii="Arial" w:eastAsia="Arial" w:hAnsi="Arial" w:cs="Arial"/>
          <w:color w:val="000000" w:themeColor="text1"/>
        </w:rPr>
        <w:t xml:space="preserve"> </w:t>
      </w:r>
      <w:r w:rsidR="00962BCA" w:rsidRPr="00962BCA">
        <w:rPr>
          <w:rFonts w:ascii="Arial" w:eastAsia="Arial" w:hAnsi="Arial" w:cs="Arial"/>
          <w:color w:val="000000" w:themeColor="text1"/>
        </w:rPr>
        <w:t>ciudad de Cali, o bien sea a su número de contacto el 3128525567</w:t>
      </w:r>
      <w:r w:rsidR="00B851F2" w:rsidRPr="00962BCA">
        <w:rPr>
          <w:rFonts w:ascii="Arial" w:eastAsia="Arial" w:hAnsi="Arial" w:cs="Arial"/>
          <w:color w:val="000000" w:themeColor="text1"/>
        </w:rPr>
        <w:t xml:space="preserve">. </w:t>
      </w:r>
    </w:p>
    <w:p w14:paraId="3F4D4C4F" w14:textId="77777777" w:rsidR="00B851F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B851F2">
      <w:pPr>
        <w:spacing w:line="360" w:lineRule="auto"/>
        <w:jc w:val="center"/>
        <w:rPr>
          <w:rFonts w:ascii="Arial" w:eastAsia="Arial" w:hAnsi="Arial" w:cs="Arial"/>
          <w:b/>
          <w:bCs/>
          <w:color w:val="000000" w:themeColor="text1"/>
          <w:u w:val="single"/>
        </w:rPr>
      </w:pPr>
    </w:p>
    <w:p w14:paraId="7B052BCC" w14:textId="55BD5624" w:rsidR="007108D6" w:rsidRPr="007108D6" w:rsidRDefault="007108D6" w:rsidP="00B851F2">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Poder </w:t>
      </w:r>
      <w:r w:rsidR="004B7262">
        <w:rPr>
          <w:rFonts w:ascii="Arial" w:eastAsia="Arial" w:hAnsi="Arial" w:cs="Arial"/>
          <w:color w:val="000000" w:themeColor="text1"/>
        </w:rPr>
        <w:t xml:space="preserve">especial de representación </w:t>
      </w:r>
      <w:r>
        <w:rPr>
          <w:rFonts w:ascii="Arial" w:eastAsia="Arial" w:hAnsi="Arial" w:cs="Arial"/>
          <w:color w:val="000000" w:themeColor="text1"/>
        </w:rPr>
        <w:t>a mí conferido</w:t>
      </w:r>
    </w:p>
    <w:p w14:paraId="14FAC7D6" w14:textId="2CD4CE90" w:rsidR="00B851F2" w:rsidRPr="004551BE"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7"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Pr="001E3A82" w:rsidRDefault="00194DAC" w:rsidP="00B851F2">
      <w:pPr>
        <w:spacing w:line="360" w:lineRule="auto"/>
        <w:jc w:val="both"/>
        <w:rPr>
          <w:rFonts w:ascii="Arial" w:eastAsia="Calibri" w:hAnsi="Arial" w:cs="Arial"/>
          <w:bCs/>
        </w:rPr>
      </w:pPr>
    </w:p>
    <w:sectPr w:rsidR="00194DAC" w:rsidRPr="001E3A82" w:rsidSect="00B54DC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A44D3" w14:textId="77777777" w:rsidR="00695FCE" w:rsidRDefault="00695FCE" w:rsidP="0025591F">
      <w:r>
        <w:separator/>
      </w:r>
    </w:p>
  </w:endnote>
  <w:endnote w:type="continuationSeparator" w:id="0">
    <w:p w14:paraId="7A5013E9" w14:textId="77777777" w:rsidR="00695FCE" w:rsidRDefault="00695FC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29996" w14:textId="77777777" w:rsidR="00695FCE" w:rsidRDefault="00695FCE" w:rsidP="0025591F">
      <w:r>
        <w:separator/>
      </w:r>
    </w:p>
  </w:footnote>
  <w:footnote w:type="continuationSeparator" w:id="0">
    <w:p w14:paraId="41FF3ABD" w14:textId="77777777" w:rsidR="00695FCE" w:rsidRDefault="00695FCE" w:rsidP="0025591F">
      <w:r>
        <w:continuationSeparator/>
      </w:r>
    </w:p>
  </w:footnote>
  <w:footnote w:id="1">
    <w:p w14:paraId="31DBEE3C" w14:textId="157BD10B" w:rsidR="005D2F91" w:rsidRPr="005D2F91" w:rsidRDefault="005D2F91" w:rsidP="005D2F91">
      <w:pPr>
        <w:pStyle w:val="Textonotapie"/>
        <w:rPr>
          <w:sz w:val="16"/>
          <w:szCs w:val="16"/>
        </w:rPr>
      </w:pPr>
      <w:r w:rsidRPr="005D2F91">
        <w:rPr>
          <w:rStyle w:val="Refdenotaalpie"/>
          <w:sz w:val="16"/>
          <w:szCs w:val="16"/>
        </w:rPr>
        <w:footnoteRef/>
      </w:r>
      <w:r w:rsidRPr="005D2F91">
        <w:rPr>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7AA8BD74" w14:textId="77777777" w:rsidR="00166462" w:rsidRDefault="00166462" w:rsidP="00166462">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3">
    <w:p w14:paraId="36790A38" w14:textId="77777777" w:rsidR="00166462" w:rsidRDefault="00166462" w:rsidP="00166462">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w:t>
      </w:r>
      <w:proofErr w:type="spellStart"/>
      <w:r>
        <w:rPr>
          <w:rFonts w:ascii="Arial" w:hAnsi="Arial" w:cs="Arial"/>
          <w:sz w:val="16"/>
          <w:szCs w:val="16"/>
        </w:rPr>
        <w:t>exp</w:t>
      </w:r>
      <w:proofErr w:type="spellEnd"/>
      <w:r>
        <w:rPr>
          <w:rFonts w:ascii="Arial" w:hAnsi="Arial" w:cs="Arial"/>
          <w:sz w:val="16"/>
          <w:szCs w:val="16"/>
        </w:rPr>
        <w:t>. 16.271, M.P. Ruth Stella Correa Palacio.</w:t>
      </w:r>
    </w:p>
  </w:footnote>
  <w:footnote w:id="4">
    <w:p w14:paraId="42793334" w14:textId="77777777" w:rsidR="005364C1" w:rsidRPr="003125FD" w:rsidRDefault="005364C1" w:rsidP="005364C1">
      <w:pPr>
        <w:pBdr>
          <w:top w:val="nil"/>
          <w:left w:val="nil"/>
          <w:bottom w:val="nil"/>
          <w:right w:val="nil"/>
          <w:between w:val="nil"/>
        </w:pBdr>
        <w:tabs>
          <w:tab w:val="left" w:pos="-284"/>
          <w:tab w:val="left" w:pos="0"/>
          <w:tab w:val="left" w:pos="142"/>
        </w:tabs>
        <w:ind w:right="51"/>
        <w:jc w:val="both"/>
        <w:rPr>
          <w:rFonts w:ascii="Arial" w:eastAsia="Arial" w:hAnsi="Arial" w:cs="Arial"/>
          <w:i/>
          <w:color w:val="000000"/>
          <w:sz w:val="16"/>
          <w:szCs w:val="16"/>
        </w:rPr>
      </w:pPr>
      <w:r w:rsidRPr="003125FD">
        <w:rPr>
          <w:rFonts w:ascii="Arial" w:hAnsi="Arial" w:cs="Arial"/>
          <w:sz w:val="16"/>
          <w:szCs w:val="16"/>
          <w:vertAlign w:val="superscript"/>
        </w:rPr>
        <w:footnoteRef/>
      </w:r>
      <w:r w:rsidRPr="003125FD">
        <w:rPr>
          <w:rFonts w:ascii="Arial" w:eastAsia="Arial" w:hAnsi="Arial" w:cs="Arial"/>
          <w:i/>
          <w:color w:val="000000"/>
          <w:sz w:val="16"/>
          <w:szCs w:val="16"/>
        </w:rPr>
        <w:t xml:space="preserve"> “ARTÍCULO 177.</w:t>
      </w:r>
      <w:r w:rsidRPr="003125FD">
        <w:rPr>
          <w:rFonts w:ascii="Arial" w:eastAsia="Arial" w:hAnsi="Arial" w:cs="Arial"/>
          <w:b/>
          <w:i/>
          <w:color w:val="000000"/>
          <w:sz w:val="16"/>
          <w:szCs w:val="16"/>
        </w:rPr>
        <w:t> </w:t>
      </w:r>
      <w:r w:rsidRPr="003125FD">
        <w:rPr>
          <w:rFonts w:ascii="Arial" w:eastAsia="Arial" w:hAnsi="Arial" w:cs="Arial"/>
          <w:i/>
          <w:color w:val="000000"/>
          <w:sz w:val="16"/>
          <w:szCs w:val="16"/>
        </w:rPr>
        <w:t>Carga de la prueba. Incumbe a las partes probar el supuesto de hecho de las normas que consagran el efecto jurídico que ellas persiguen”.</w:t>
      </w:r>
    </w:p>
  </w:footnote>
  <w:footnote w:id="5">
    <w:p w14:paraId="3EAE3878" w14:textId="77777777" w:rsidR="005364C1" w:rsidRPr="00E048D8" w:rsidRDefault="005364C1" w:rsidP="005364C1">
      <w:pPr>
        <w:pStyle w:val="Textonotapie"/>
        <w:jc w:val="both"/>
        <w:rPr>
          <w:rFonts w:ascii="Arial" w:hAnsi="Arial" w:cs="Arial"/>
        </w:rPr>
      </w:pPr>
      <w:r w:rsidRPr="003125FD">
        <w:rPr>
          <w:rStyle w:val="Refdenotaalpie"/>
          <w:rFonts w:ascii="Arial" w:hAnsi="Arial" w:cs="Arial"/>
          <w:sz w:val="16"/>
          <w:szCs w:val="16"/>
        </w:rPr>
        <w:footnoteRef/>
      </w:r>
      <w:r w:rsidRPr="003125FD">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6">
    <w:p w14:paraId="3CB9209F" w14:textId="77777777" w:rsidR="005364C1" w:rsidRPr="00E048D8" w:rsidRDefault="005364C1" w:rsidP="005364C1">
      <w:pPr>
        <w:pStyle w:val="Textonotapie"/>
        <w:jc w:val="both"/>
        <w:rPr>
          <w:rFonts w:ascii="Arial" w:hAnsi="Arial" w:cs="Arial"/>
          <w:lang w:val="es-ES"/>
        </w:rPr>
      </w:pPr>
      <w:r w:rsidRPr="00E048D8">
        <w:rPr>
          <w:rStyle w:val="Refdenotaalpie"/>
          <w:rFonts w:ascii="Arial" w:hAnsi="Arial" w:cs="Arial"/>
        </w:rPr>
        <w:footnoteRef/>
      </w:r>
      <w:r w:rsidRPr="00E048D8">
        <w:rPr>
          <w:rFonts w:ascii="Arial" w:hAnsi="Arial" w:cs="Arial"/>
        </w:rPr>
        <w:t xml:space="preserve"> Saavedra Becerra, R. (2018). De la responsabilidad patrimonial del Estado. Tomo I. Grupo Editorial </w:t>
      </w:r>
      <w:proofErr w:type="spellStart"/>
      <w:r w:rsidRPr="00E048D8">
        <w:rPr>
          <w:rFonts w:ascii="Arial" w:hAnsi="Arial" w:cs="Arial"/>
        </w:rPr>
        <w:t>Ibañez</w:t>
      </w:r>
      <w:proofErr w:type="spellEnd"/>
      <w:r w:rsidRPr="00E048D8">
        <w:rPr>
          <w:rFonts w:ascii="Arial" w:hAnsi="Arial" w:cs="Arial"/>
        </w:rPr>
        <w:t>. Págs. 313-314.</w:t>
      </w:r>
    </w:p>
  </w:footnote>
  <w:footnote w:id="7">
    <w:p w14:paraId="2C7349CC" w14:textId="77777777" w:rsidR="009E2DAE" w:rsidRPr="00906284" w:rsidRDefault="009E2DAE" w:rsidP="009E2DAE">
      <w:pPr>
        <w:pStyle w:val="Textonotapie"/>
        <w:jc w:val="both"/>
        <w:rPr>
          <w:sz w:val="16"/>
          <w:szCs w:val="16"/>
        </w:rPr>
      </w:pPr>
      <w:r w:rsidRPr="00906284">
        <w:rPr>
          <w:rStyle w:val="Refdenotaalpie"/>
          <w:sz w:val="16"/>
          <w:szCs w:val="16"/>
        </w:rPr>
        <w:footnoteRef/>
      </w:r>
      <w:r w:rsidRPr="00906284">
        <w:rPr>
          <w:sz w:val="16"/>
          <w:szCs w:val="16"/>
        </w:rPr>
        <w:t xml:space="preserve"> CONSEJO DE ESTADO. Sala de lo Contencioso Administrativo. Sección Tercera. Rad. 19256 del 7 de abril de 2011, C.P. Mauricio Fajardo Gómez.</w:t>
      </w:r>
    </w:p>
  </w:footnote>
  <w:footnote w:id="8">
    <w:p w14:paraId="6C0EB41A" w14:textId="77777777" w:rsidR="00B851F2" w:rsidRPr="004551BE" w:rsidRDefault="00B851F2" w:rsidP="00B851F2">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9">
    <w:p w14:paraId="0B203259" w14:textId="77777777" w:rsidR="00B851F2" w:rsidRDefault="00B851F2" w:rsidP="00B851F2">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0">
    <w:p w14:paraId="6D383F32"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1">
    <w:p w14:paraId="5BFFCE8A" w14:textId="77777777" w:rsidR="00AD73E0" w:rsidRPr="0080235D" w:rsidRDefault="00AD73E0" w:rsidP="00AD73E0">
      <w:pPr>
        <w:pStyle w:val="Textonotapie"/>
        <w:rPr>
          <w:sz w:val="16"/>
          <w:szCs w:val="16"/>
        </w:rPr>
      </w:pPr>
      <w:r w:rsidRPr="0080235D">
        <w:rPr>
          <w:rStyle w:val="Refdenotaalpie"/>
          <w:sz w:val="16"/>
          <w:szCs w:val="16"/>
        </w:rPr>
        <w:footnoteRef/>
      </w:r>
      <w:r w:rsidRPr="0080235D">
        <w:rPr>
          <w:sz w:val="16"/>
          <w:szCs w:val="16"/>
        </w:rPr>
        <w:t xml:space="preserve"> CONSEJO DE ESTADO. Sala de lo Contencioso Administrativo. Sección Tercera. Sala Plena. Rad. 28804 del 28 de agosto de 2014, C.P. Stella Conto Díaz del Castillo.</w:t>
      </w:r>
    </w:p>
  </w:footnote>
  <w:footnote w:id="12">
    <w:p w14:paraId="7FA3598C" w14:textId="77777777" w:rsidR="00AD73E0" w:rsidRPr="0080235D" w:rsidRDefault="00AD73E0" w:rsidP="00AD73E0">
      <w:pPr>
        <w:pStyle w:val="Textonotapie"/>
      </w:pPr>
      <w:r w:rsidRPr="0080235D">
        <w:rPr>
          <w:rStyle w:val="Refdenotaalpie"/>
          <w:sz w:val="16"/>
          <w:szCs w:val="16"/>
        </w:rPr>
        <w:footnoteRef/>
      </w:r>
      <w:r w:rsidRPr="0080235D">
        <w:rPr>
          <w:sz w:val="16"/>
          <w:szCs w:val="16"/>
        </w:rPr>
        <w:t xml:space="preserve"> Ibídem.</w:t>
      </w:r>
    </w:p>
  </w:footnote>
  <w:footnote w:id="13">
    <w:p w14:paraId="3DB25535"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4">
    <w:p w14:paraId="7D7B978F" w14:textId="77777777" w:rsidR="00B851F2" w:rsidRDefault="00B851F2" w:rsidP="00B851F2">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 xml:space="preserve">Sentencia del 26 de enero de 2022. Consejo de Estado, Sala de lo Contencioso Administrativo, Sección Tercera, Subsección B. M.P. Freddy Ibarra </w:t>
      </w:r>
      <w:proofErr w:type="spellStart"/>
      <w:r w:rsidRPr="76B68F44">
        <w:rPr>
          <w:rFonts w:ascii="Arial" w:eastAsia="Arial" w:hAnsi="Arial" w:cs="Arial"/>
          <w:color w:val="000000" w:themeColor="text1"/>
          <w:sz w:val="16"/>
          <w:szCs w:val="16"/>
          <w:lang w:val="es"/>
        </w:rPr>
        <w:t>Martinez</w:t>
      </w:r>
      <w:proofErr w:type="spellEnd"/>
      <w:r w:rsidRPr="76B68F44">
        <w:rPr>
          <w:rFonts w:ascii="Arial" w:eastAsia="Arial" w:hAnsi="Arial" w:cs="Arial"/>
          <w:color w:val="000000" w:themeColor="text1"/>
          <w:sz w:val="16"/>
          <w:szCs w:val="16"/>
          <w:lang w:val="es"/>
        </w:rPr>
        <w:t>. Radicación No. 25000232600020110122201 (50.698).</w:t>
      </w:r>
    </w:p>
    <w:p w14:paraId="097249D4" w14:textId="77777777" w:rsidR="00B851F2" w:rsidRDefault="00B851F2" w:rsidP="00B851F2">
      <w:pPr>
        <w:pStyle w:val="Textonotapie"/>
      </w:pPr>
    </w:p>
  </w:footnote>
  <w:footnote w:id="15">
    <w:p w14:paraId="58248082" w14:textId="77777777" w:rsidR="00B851F2" w:rsidRDefault="00B851F2" w:rsidP="00B851F2">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6">
    <w:p w14:paraId="0B62F331"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7"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9"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4"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5"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3"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5"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7"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8"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1"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4"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5"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7"/>
  </w:num>
  <w:num w:numId="3" w16cid:durableId="1576665367">
    <w:abstractNumId w:val="29"/>
  </w:num>
  <w:num w:numId="4" w16cid:durableId="1557548772">
    <w:abstractNumId w:val="28"/>
  </w:num>
  <w:num w:numId="5" w16cid:durableId="578442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1"/>
  </w:num>
  <w:num w:numId="7" w16cid:durableId="74521802">
    <w:abstractNumId w:val="12"/>
  </w:num>
  <w:num w:numId="8" w16cid:durableId="2011828652">
    <w:abstractNumId w:val="35"/>
  </w:num>
  <w:num w:numId="9" w16cid:durableId="692388710">
    <w:abstractNumId w:val="4"/>
  </w:num>
  <w:num w:numId="10" w16cid:durableId="1976905541">
    <w:abstractNumId w:val="21"/>
  </w:num>
  <w:num w:numId="11" w16cid:durableId="765661861">
    <w:abstractNumId w:val="1"/>
  </w:num>
  <w:num w:numId="12" w16cid:durableId="142039985">
    <w:abstractNumId w:val="30"/>
  </w:num>
  <w:num w:numId="13" w16cid:durableId="1901089053">
    <w:abstractNumId w:val="9"/>
  </w:num>
  <w:num w:numId="14" w16cid:durableId="1332831623">
    <w:abstractNumId w:val="36"/>
  </w:num>
  <w:num w:numId="15" w16cid:durableId="1364359335">
    <w:abstractNumId w:val="11"/>
  </w:num>
  <w:num w:numId="16" w16cid:durableId="1163277706">
    <w:abstractNumId w:val="10"/>
  </w:num>
  <w:num w:numId="17" w16cid:durableId="1302616263">
    <w:abstractNumId w:val="16"/>
  </w:num>
  <w:num w:numId="18" w16cid:durableId="1739474286">
    <w:abstractNumId w:val="17"/>
  </w:num>
  <w:num w:numId="19" w16cid:durableId="1019547174">
    <w:abstractNumId w:val="3"/>
  </w:num>
  <w:num w:numId="20" w16cid:durableId="1872062884">
    <w:abstractNumId w:val="6"/>
  </w:num>
  <w:num w:numId="21" w16cid:durableId="2007202768">
    <w:abstractNumId w:val="24"/>
  </w:num>
  <w:num w:numId="22" w16cid:durableId="1604800425">
    <w:abstractNumId w:val="26"/>
  </w:num>
  <w:num w:numId="23" w16cid:durableId="261648509">
    <w:abstractNumId w:val="20"/>
  </w:num>
  <w:num w:numId="24" w16cid:durableId="784080199">
    <w:abstractNumId w:val="22"/>
  </w:num>
  <w:num w:numId="25" w16cid:durableId="938565225">
    <w:abstractNumId w:val="34"/>
  </w:num>
  <w:num w:numId="26" w16cid:durableId="1438057306">
    <w:abstractNumId w:val="14"/>
  </w:num>
  <w:num w:numId="27" w16cid:durableId="855578698">
    <w:abstractNumId w:val="13"/>
  </w:num>
  <w:num w:numId="28" w16cid:durableId="1173909351">
    <w:abstractNumId w:val="8"/>
  </w:num>
  <w:num w:numId="29" w16cid:durableId="541670460">
    <w:abstractNumId w:val="33"/>
  </w:num>
  <w:num w:numId="30" w16cid:durableId="2015566145">
    <w:abstractNumId w:val="25"/>
  </w:num>
  <w:num w:numId="31" w16cid:durableId="1516653308">
    <w:abstractNumId w:val="18"/>
  </w:num>
  <w:num w:numId="32" w16cid:durableId="639769869">
    <w:abstractNumId w:val="19"/>
  </w:num>
  <w:num w:numId="33" w16cid:durableId="612173379">
    <w:abstractNumId w:val="15"/>
  </w:num>
  <w:num w:numId="34" w16cid:durableId="1908374139">
    <w:abstractNumId w:val="2"/>
  </w:num>
  <w:num w:numId="35" w16cid:durableId="487552534">
    <w:abstractNumId w:val="32"/>
  </w:num>
  <w:num w:numId="36" w16cid:durableId="672689636">
    <w:abstractNumId w:val="23"/>
  </w:num>
  <w:num w:numId="37" w16cid:durableId="1138373818">
    <w:abstractNumId w:val="7"/>
  </w:num>
  <w:num w:numId="38" w16cid:durableId="16550668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49F"/>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8DD"/>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52CE"/>
    <w:rsid w:val="005F5962"/>
    <w:rsid w:val="005F6144"/>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95FCE"/>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5D28"/>
    <w:rsid w:val="007E6378"/>
    <w:rsid w:val="007E6759"/>
    <w:rsid w:val="007E75F9"/>
    <w:rsid w:val="007E7B42"/>
    <w:rsid w:val="007F1A8C"/>
    <w:rsid w:val="007F2365"/>
    <w:rsid w:val="007F268C"/>
    <w:rsid w:val="007F4201"/>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366A"/>
    <w:rsid w:val="00A739EF"/>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9B4"/>
    <w:rsid w:val="00CD5A00"/>
    <w:rsid w:val="00CD6FBB"/>
    <w:rsid w:val="00CD6FF2"/>
    <w:rsid w:val="00CD6FF3"/>
    <w:rsid w:val="00CD7D30"/>
    <w:rsid w:val="00CE08C5"/>
    <w:rsid w:val="00CE0CDD"/>
    <w:rsid w:val="00CE11AB"/>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6DFE"/>
    <w:rsid w:val="00DE795E"/>
    <w:rsid w:val="00DE7F3A"/>
    <w:rsid w:val="00DF3084"/>
    <w:rsid w:val="00DF4FB0"/>
    <w:rsid w:val="00DF5C64"/>
    <w:rsid w:val="00DF6AF2"/>
    <w:rsid w:val="00E01669"/>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964A8"/>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1098</TotalTime>
  <Pages>37</Pages>
  <Words>14866</Words>
  <Characters>81768</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182</cp:revision>
  <cp:lastPrinted>2024-10-02T16:56:00Z</cp:lastPrinted>
  <dcterms:created xsi:type="dcterms:W3CDTF">2024-09-16T15:53:00Z</dcterms:created>
  <dcterms:modified xsi:type="dcterms:W3CDTF">2024-10-02T17:00:00Z</dcterms:modified>
</cp:coreProperties>
</file>