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347B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Palmira, </w:t>
      </w:r>
      <w:r>
        <w:rPr>
          <w:rFonts w:ascii="Century Gothic" w:hAnsi="Century Gothic" w:cs="Arial"/>
        </w:rPr>
        <w:t>19 de septiembre del 2024</w:t>
      </w:r>
    </w:p>
    <w:p w14:paraId="31FF0111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1ED8AD5D" w14:textId="77777777" w:rsidR="00410976" w:rsidRPr="00141D68" w:rsidRDefault="00410976" w:rsidP="00410976">
      <w:pPr>
        <w:spacing w:after="0" w:line="276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Señores</w:t>
      </w:r>
    </w:p>
    <w:p w14:paraId="797F877F" w14:textId="77777777" w:rsidR="00410976" w:rsidRPr="00141D68" w:rsidRDefault="00410976" w:rsidP="00410976">
      <w:pPr>
        <w:spacing w:after="0" w:line="276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CHUBB SEGUROS COLOMBIA</w:t>
      </w:r>
      <w:r w:rsidRPr="00141D68">
        <w:rPr>
          <w:rFonts w:ascii="Century Gothic" w:hAnsi="Century Gothic" w:cs="Arial"/>
          <w:b/>
          <w:bCs/>
        </w:rPr>
        <w:t xml:space="preserve"> S.A.</w:t>
      </w:r>
    </w:p>
    <w:p w14:paraId="2C7E149D" w14:textId="77777777" w:rsidR="00410976" w:rsidRPr="00141D68" w:rsidRDefault="00000000" w:rsidP="00410976">
      <w:pPr>
        <w:spacing w:after="0" w:line="276" w:lineRule="auto"/>
        <w:jc w:val="both"/>
        <w:rPr>
          <w:rFonts w:ascii="Century Gothic" w:hAnsi="Century Gothic" w:cs="Arial"/>
        </w:rPr>
      </w:pPr>
      <w:hyperlink r:id="rId7" w:history="1">
        <w:r w:rsidR="00410976" w:rsidRPr="009721C9">
          <w:rPr>
            <w:rStyle w:val="Hipervnculo"/>
            <w:rFonts w:ascii="Century Gothic" w:hAnsi="Century Gothic"/>
          </w:rPr>
          <w:t>notificacioneslegales.co</w:t>
        </w:r>
        <w:r w:rsidR="00410976" w:rsidRPr="009721C9">
          <w:rPr>
            <w:rStyle w:val="Hipervnculo"/>
            <w:rFonts w:ascii="Century Gothic" w:hAnsi="Century Gothic" w:cs="Arial"/>
          </w:rPr>
          <w:t>@chubb.co</w:t>
        </w:r>
      </w:hyperlink>
      <w:r w:rsidR="00410976">
        <w:rPr>
          <w:rFonts w:ascii="Century Gothic" w:hAnsi="Century Gothic" w:cs="Arial"/>
        </w:rPr>
        <w:t xml:space="preserve"> </w:t>
      </w:r>
    </w:p>
    <w:p w14:paraId="7BE9A013" w14:textId="77777777" w:rsidR="00410976" w:rsidRPr="00141D68" w:rsidRDefault="00410976" w:rsidP="00410976">
      <w:pPr>
        <w:spacing w:after="0" w:line="276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Ciudad</w:t>
      </w:r>
    </w:p>
    <w:p w14:paraId="4CAEFF53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7085E7E5" w14:textId="4C6E3AB9" w:rsidR="00410976" w:rsidRPr="00AF14EC" w:rsidRDefault="00410976" w:rsidP="00410976">
      <w:pPr>
        <w:spacing w:after="0" w:line="360" w:lineRule="auto"/>
        <w:ind w:left="720"/>
        <w:jc w:val="both"/>
        <w:rPr>
          <w:rFonts w:ascii="Century Gothic" w:hAnsi="Century Gothic" w:cs="Arial"/>
        </w:rPr>
      </w:pPr>
      <w:r w:rsidRPr="00FB7E9B">
        <w:rPr>
          <w:rFonts w:ascii="Century Gothic" w:hAnsi="Century Gothic" w:cs="Arial"/>
          <w:b/>
          <w:bCs/>
        </w:rPr>
        <w:t>Referencia:</w:t>
      </w:r>
      <w:r w:rsidRPr="00141D68">
        <w:rPr>
          <w:rFonts w:ascii="Century Gothic" w:hAnsi="Century Gothic" w:cs="Arial"/>
        </w:rPr>
        <w:tab/>
        <w:t xml:space="preserve">Interrupción término de prescripción. Caso </w:t>
      </w:r>
      <w:r>
        <w:rPr>
          <w:rFonts w:ascii="Century Gothic" w:hAnsi="Century Gothic" w:cs="Arial"/>
        </w:rPr>
        <w:t>Angie Lorena Rangel León y Otros</w:t>
      </w:r>
      <w:r w:rsidRPr="00141D68">
        <w:rPr>
          <w:rFonts w:ascii="Century Gothic" w:hAnsi="Century Gothic" w:cs="Arial"/>
        </w:rPr>
        <w:t xml:space="preserve"> </w:t>
      </w:r>
      <w:r w:rsidRPr="00141D68">
        <w:rPr>
          <w:rFonts w:ascii="Century Gothic" w:hAnsi="Century Gothic" w:cs="Arial"/>
          <w:i/>
          <w:iCs/>
        </w:rPr>
        <w:t xml:space="preserve">vs. </w:t>
      </w:r>
      <w:r>
        <w:rPr>
          <w:rFonts w:ascii="Century Gothic" w:hAnsi="Century Gothic" w:cs="Arial"/>
        </w:rPr>
        <w:t xml:space="preserve">Clínica Palmira S.A. </w:t>
      </w:r>
      <w:r w:rsidRPr="00AF14EC">
        <w:rPr>
          <w:rFonts w:ascii="Century Gothic" w:hAnsi="Century Gothic" w:cs="Arial"/>
        </w:rPr>
        <w:t xml:space="preserve">y </w:t>
      </w:r>
      <w:r>
        <w:rPr>
          <w:rFonts w:ascii="Century Gothic" w:hAnsi="Century Gothic" w:cs="Arial"/>
        </w:rPr>
        <w:t>O</w:t>
      </w:r>
      <w:r w:rsidRPr="00AF14EC">
        <w:rPr>
          <w:rFonts w:ascii="Century Gothic" w:hAnsi="Century Gothic" w:cs="Arial"/>
        </w:rPr>
        <w:t xml:space="preserve">tros. </w:t>
      </w:r>
    </w:p>
    <w:p w14:paraId="5C1E26BD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ab/>
      </w:r>
      <w:r w:rsidRPr="00FB7E9B">
        <w:rPr>
          <w:rFonts w:ascii="Century Gothic" w:hAnsi="Century Gothic" w:cs="Arial"/>
          <w:b/>
          <w:bCs/>
        </w:rPr>
        <w:t>Póliza:</w:t>
      </w:r>
      <w:r w:rsidRPr="00FB7E9B">
        <w:rPr>
          <w:rFonts w:ascii="Century Gothic" w:hAnsi="Century Gothic" w:cs="Arial"/>
          <w:b/>
          <w:bCs/>
        </w:rPr>
        <w:tab/>
      </w:r>
      <w:r w:rsidRPr="00141D68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>12/00</w:t>
      </w:r>
      <w:r w:rsidRPr="002143A1">
        <w:rPr>
          <w:rFonts w:ascii="Century Gothic" w:hAnsi="Century Gothic" w:cs="Arial"/>
        </w:rPr>
        <w:t>63711</w:t>
      </w:r>
      <w:r>
        <w:rPr>
          <w:rFonts w:ascii="Century Gothic" w:hAnsi="Century Gothic" w:cs="Arial"/>
        </w:rPr>
        <w:t>.</w:t>
      </w:r>
    </w:p>
    <w:p w14:paraId="0BC105E4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ab/>
      </w:r>
    </w:p>
    <w:p w14:paraId="070BBE85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Respetados señores:</w:t>
      </w:r>
    </w:p>
    <w:p w14:paraId="68989AC1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4175BEEC" w14:textId="189FD19D" w:rsidR="00410976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En virtud de lo dispuesto en el artículo 94 del Código General del Proceso</w:t>
      </w:r>
      <w:r w:rsidRPr="00141D68">
        <w:rPr>
          <w:rStyle w:val="Refdenotaalpie"/>
          <w:rFonts w:ascii="Century Gothic" w:hAnsi="Century Gothic" w:cs="Arial"/>
        </w:rPr>
        <w:footnoteReference w:id="1"/>
      </w:r>
      <w:r w:rsidRPr="00141D68">
        <w:rPr>
          <w:rFonts w:ascii="Century Gothic" w:hAnsi="Century Gothic" w:cs="Arial"/>
        </w:rPr>
        <w:t xml:space="preserve">, por medio de la presente comunicación, respetuosamente elevo el </w:t>
      </w:r>
      <w:r w:rsidRPr="00141D68">
        <w:rPr>
          <w:rFonts w:ascii="Century Gothic" w:hAnsi="Century Gothic" w:cs="Arial"/>
          <w:b/>
          <w:bCs/>
        </w:rPr>
        <w:t>requerimiento</w:t>
      </w:r>
      <w:r w:rsidRPr="00141D68">
        <w:rPr>
          <w:rFonts w:ascii="Century Gothic" w:hAnsi="Century Gothic" w:cs="Arial"/>
        </w:rPr>
        <w:t xml:space="preserve"> de que trata el precepto normativo indicado, con ocasión a </w:t>
      </w:r>
      <w:r>
        <w:rPr>
          <w:rFonts w:ascii="Century Gothic" w:hAnsi="Century Gothic" w:cs="Arial"/>
        </w:rPr>
        <w:t>la demanda de responsabilidad civil m</w:t>
      </w:r>
      <w:r w:rsidR="00B24956">
        <w:rPr>
          <w:rFonts w:ascii="Century Gothic" w:hAnsi="Century Gothic" w:cs="Arial"/>
        </w:rPr>
        <w:t>é</w:t>
      </w:r>
      <w:r>
        <w:rPr>
          <w:rFonts w:ascii="Century Gothic" w:hAnsi="Century Gothic" w:cs="Arial"/>
        </w:rPr>
        <w:t xml:space="preserve">dica formulada por los señores Angie Lorena Rangel León, Sergio, Alejandro Barón Moreira, Anthony Oliveros Rangel y Ángel José Flórez Rangel </w:t>
      </w:r>
      <w:r w:rsidRPr="00141D68">
        <w:rPr>
          <w:rFonts w:ascii="Century Gothic" w:hAnsi="Century Gothic" w:cs="Arial"/>
        </w:rPr>
        <w:t xml:space="preserve">contra </w:t>
      </w:r>
      <w:r>
        <w:rPr>
          <w:rFonts w:ascii="Century Gothic" w:hAnsi="Century Gothic" w:cs="Arial"/>
        </w:rPr>
        <w:t xml:space="preserve">Clínica Palmira S.A. y Martha Lucia Osorio Vélez, </w:t>
      </w:r>
      <w:r w:rsidRPr="00141D68">
        <w:rPr>
          <w:rFonts w:ascii="Century Gothic" w:hAnsi="Century Gothic" w:cs="Arial"/>
        </w:rPr>
        <w:t xml:space="preserve">por los presuntos perjuicios de tipo </w:t>
      </w:r>
      <w:r>
        <w:rPr>
          <w:rFonts w:ascii="Century Gothic" w:hAnsi="Century Gothic" w:cs="Arial"/>
        </w:rPr>
        <w:t xml:space="preserve">extrapatrimonial, bajo el concepto de </w:t>
      </w:r>
      <w:r w:rsidRPr="00141D68">
        <w:rPr>
          <w:rFonts w:ascii="Century Gothic" w:hAnsi="Century Gothic" w:cs="Arial"/>
        </w:rPr>
        <w:t>daño mora</w:t>
      </w:r>
      <w:r>
        <w:rPr>
          <w:rFonts w:ascii="Century Gothic" w:hAnsi="Century Gothic" w:cs="Arial"/>
        </w:rPr>
        <w:t>l, daño a la salud</w:t>
      </w:r>
      <w:r w:rsidRPr="00141D68">
        <w:rPr>
          <w:rFonts w:ascii="Century Gothic" w:hAnsi="Century Gothic" w:cs="Arial"/>
        </w:rPr>
        <w:t xml:space="preserve"> y daño a la vida</w:t>
      </w:r>
      <w:r>
        <w:rPr>
          <w:rFonts w:ascii="Century Gothic" w:hAnsi="Century Gothic" w:cs="Arial"/>
        </w:rPr>
        <w:t xml:space="preserve"> en relación, </w:t>
      </w:r>
      <w:r w:rsidRPr="00141D68">
        <w:rPr>
          <w:rFonts w:ascii="Century Gothic" w:hAnsi="Century Gothic" w:cs="Arial"/>
        </w:rPr>
        <w:t xml:space="preserve">presuntamente ocasionados a los mismos, con fundamento </w:t>
      </w:r>
      <w:r>
        <w:rPr>
          <w:rFonts w:ascii="Century Gothic" w:hAnsi="Century Gothic" w:cs="Arial"/>
        </w:rPr>
        <w:t>en lo siguiente:</w:t>
      </w:r>
    </w:p>
    <w:p w14:paraId="5D2A3149" w14:textId="77777777" w:rsidR="00410976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3D8C50F3" w14:textId="1A88146F" w:rsidR="00410976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La señora Angie Lorena Rangel, el 12 de diciembre del 2022, tuvo un accidente de tránsito, por lo cual fue remitida a la Clínica Palmira S.A., donde el presunto </w:t>
      </w:r>
      <w:r>
        <w:rPr>
          <w:rFonts w:ascii="Century Gothic" w:hAnsi="Century Gothic" w:cs="Arial"/>
        </w:rPr>
        <w:lastRenderedPageBreak/>
        <w:t>diagn</w:t>
      </w:r>
      <w:r w:rsidR="00B24956">
        <w:rPr>
          <w:rFonts w:ascii="Century Gothic" w:hAnsi="Century Gothic" w:cs="Arial"/>
        </w:rPr>
        <w:t>ó</w:t>
      </w:r>
      <w:r>
        <w:rPr>
          <w:rFonts w:ascii="Century Gothic" w:hAnsi="Century Gothic" w:cs="Arial"/>
        </w:rPr>
        <w:t>stico inicial fue la de Contusión de Rodilla, procediendo con una intervención quirúrgica, y luego de ello el proce</w:t>
      </w:r>
      <w:r w:rsidR="00B24956">
        <w:rPr>
          <w:rFonts w:ascii="Century Gothic" w:hAnsi="Century Gothic" w:cs="Arial"/>
        </w:rPr>
        <w:t>s</w:t>
      </w:r>
      <w:r>
        <w:rPr>
          <w:rFonts w:ascii="Century Gothic" w:hAnsi="Century Gothic" w:cs="Arial"/>
        </w:rPr>
        <w:t>o de rehabilitación con terapias físicas, sin embargo, la señora Rangel presentaba fuertes dolores en su rodilla.</w:t>
      </w:r>
    </w:p>
    <w:p w14:paraId="5A9CF2A5" w14:textId="77777777" w:rsidR="00410976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204B6B17" w14:textId="03FE40F9" w:rsidR="00410976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 una</w:t>
      </w:r>
      <w:r w:rsidR="002D1FE7">
        <w:rPr>
          <w:rFonts w:ascii="Century Gothic" w:hAnsi="Century Gothic" w:cs="Arial"/>
        </w:rPr>
        <w:t xml:space="preserve"> consulta con un galeno de la EPS Sanitas, le manifiesta que debe ser sometida nuevamente a otra intervención, con la finalidad de corregir la posición de la rodilla y evitar los dolores.</w:t>
      </w:r>
    </w:p>
    <w:p w14:paraId="7F74A797" w14:textId="77777777" w:rsidR="002D1FE7" w:rsidRDefault="002D1FE7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0A0B212C" w14:textId="3E551DB2" w:rsidR="002D1FE7" w:rsidRDefault="002D1FE7" w:rsidP="00410976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La segunda cirugía fue realizada a la señora Angie Rangel el 9 de diciembre del 2023 en la Clínica Palma Real, donde su recuperació</w:t>
      </w:r>
      <w:r w:rsidR="00B24956">
        <w:rPr>
          <w:rFonts w:ascii="Century Gothic" w:hAnsi="Century Gothic" w:cs="Arial"/>
        </w:rPr>
        <w:t xml:space="preserve">n </w:t>
      </w:r>
      <w:r w:rsidR="003C118A">
        <w:rPr>
          <w:rFonts w:ascii="Century Gothic" w:hAnsi="Century Gothic" w:cs="Arial"/>
        </w:rPr>
        <w:t xml:space="preserve">presuntamente </w:t>
      </w:r>
      <w:r w:rsidR="00B24956">
        <w:rPr>
          <w:rFonts w:ascii="Century Gothic" w:hAnsi="Century Gothic" w:cs="Arial"/>
        </w:rPr>
        <w:t>fue</w:t>
      </w:r>
      <w:r>
        <w:rPr>
          <w:rFonts w:ascii="Century Gothic" w:hAnsi="Century Gothic" w:cs="Arial"/>
        </w:rPr>
        <w:t xml:space="preserve"> satisfactoria.</w:t>
      </w:r>
    </w:p>
    <w:p w14:paraId="56059639" w14:textId="77777777" w:rsidR="00410976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2F60E638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</w:t>
      </w:r>
      <w:r w:rsidRPr="00141D68">
        <w:rPr>
          <w:rFonts w:ascii="Century Gothic" w:hAnsi="Century Gothic" w:cs="Arial"/>
        </w:rPr>
        <w:t xml:space="preserve"> fin de </w:t>
      </w:r>
      <w:r w:rsidRPr="00141D68">
        <w:rPr>
          <w:rFonts w:ascii="Century Gothic" w:hAnsi="Century Gothic" w:cs="Arial"/>
          <w:b/>
          <w:bCs/>
          <w:u w:val="single"/>
        </w:rPr>
        <w:t xml:space="preserve">interrumpir las acciones derivadas del contrato de seguro </w:t>
      </w:r>
      <w:r w:rsidRPr="00141D68">
        <w:rPr>
          <w:rFonts w:ascii="Century Gothic" w:hAnsi="Century Gothic" w:cs="Arial"/>
        </w:rPr>
        <w:t>citado en referencia, teniendo en cuenta que:</w:t>
      </w:r>
    </w:p>
    <w:p w14:paraId="336CC032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6E160D70" w14:textId="6BAD84D2" w:rsidR="00410976" w:rsidRPr="00141D68" w:rsidRDefault="00410976" w:rsidP="0041097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Los hechos que motivaron la reclamación aducida ocurrieron </w:t>
      </w:r>
      <w:r w:rsidR="002D1FE7">
        <w:rPr>
          <w:rFonts w:ascii="Century Gothic" w:hAnsi="Century Gothic" w:cs="Arial"/>
        </w:rPr>
        <w:t>el 12 de diciembre del 2022</w:t>
      </w:r>
      <w:r>
        <w:rPr>
          <w:rFonts w:ascii="Century Gothic" w:hAnsi="Century Gothic" w:cs="Arial"/>
        </w:rPr>
        <w:t>.</w:t>
      </w:r>
    </w:p>
    <w:p w14:paraId="5F0E6245" w14:textId="77777777" w:rsidR="00410976" w:rsidRPr="00141D68" w:rsidRDefault="00410976" w:rsidP="00410976">
      <w:pPr>
        <w:pStyle w:val="Prrafodelista"/>
        <w:spacing w:after="0" w:line="360" w:lineRule="auto"/>
        <w:ind w:left="360"/>
        <w:jc w:val="both"/>
        <w:rPr>
          <w:rFonts w:ascii="Century Gothic" w:hAnsi="Century Gothic" w:cs="Arial"/>
        </w:rPr>
      </w:pPr>
    </w:p>
    <w:p w14:paraId="3249F7AB" w14:textId="2C8BB43D" w:rsidR="002D1FE7" w:rsidRDefault="008627F8" w:rsidP="0041097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Los demandantes</w:t>
      </w:r>
      <w:r w:rsidR="002D1FE7">
        <w:rPr>
          <w:rFonts w:ascii="Century Gothic" w:hAnsi="Century Gothic" w:cs="Arial"/>
        </w:rPr>
        <w:t xml:space="preserve"> de manera extrajudicial </w:t>
      </w:r>
      <w:r>
        <w:rPr>
          <w:rFonts w:ascii="Century Gothic" w:hAnsi="Century Gothic" w:cs="Arial"/>
        </w:rPr>
        <w:t>el día 07 de ju</w:t>
      </w:r>
      <w:r w:rsidR="003C118A">
        <w:rPr>
          <w:rFonts w:ascii="Century Gothic" w:hAnsi="Century Gothic" w:cs="Arial"/>
        </w:rPr>
        <w:t>n</w:t>
      </w:r>
      <w:r>
        <w:rPr>
          <w:rFonts w:ascii="Century Gothic" w:hAnsi="Century Gothic" w:cs="Arial"/>
        </w:rPr>
        <w:t xml:space="preserve">io del 2024, </w:t>
      </w:r>
      <w:r w:rsidR="002D1FE7">
        <w:rPr>
          <w:rFonts w:ascii="Century Gothic" w:hAnsi="Century Gothic" w:cs="Arial"/>
        </w:rPr>
        <w:t xml:space="preserve">radicaron solicitud de Conciliación ante el </w:t>
      </w:r>
      <w:r>
        <w:rPr>
          <w:rFonts w:ascii="Century Gothic" w:hAnsi="Century Gothic" w:cs="Arial"/>
        </w:rPr>
        <w:t>C</w:t>
      </w:r>
      <w:r w:rsidR="002D1FE7">
        <w:rPr>
          <w:rFonts w:ascii="Century Gothic" w:hAnsi="Century Gothic" w:cs="Arial"/>
        </w:rPr>
        <w:t xml:space="preserve">entro de </w:t>
      </w:r>
      <w:r>
        <w:rPr>
          <w:rFonts w:ascii="Century Gothic" w:hAnsi="Century Gothic" w:cs="Arial"/>
        </w:rPr>
        <w:t>C</w:t>
      </w:r>
      <w:r w:rsidR="002D1FE7">
        <w:rPr>
          <w:rFonts w:ascii="Century Gothic" w:hAnsi="Century Gothic" w:cs="Arial"/>
        </w:rPr>
        <w:t xml:space="preserve">onciliación </w:t>
      </w:r>
      <w:r>
        <w:rPr>
          <w:rFonts w:ascii="Century Gothic" w:hAnsi="Century Gothic" w:cs="Arial"/>
        </w:rPr>
        <w:t>C</w:t>
      </w:r>
      <w:r w:rsidR="002D1FE7">
        <w:rPr>
          <w:rFonts w:ascii="Century Gothic" w:hAnsi="Century Gothic" w:cs="Arial"/>
        </w:rPr>
        <w:t xml:space="preserve">ivil y </w:t>
      </w:r>
      <w:r w:rsidR="009F424E">
        <w:rPr>
          <w:rFonts w:ascii="Century Gothic" w:hAnsi="Century Gothic" w:cs="Arial"/>
        </w:rPr>
        <w:t>C</w:t>
      </w:r>
      <w:r w:rsidR="002D1FE7">
        <w:rPr>
          <w:rFonts w:ascii="Century Gothic" w:hAnsi="Century Gothic" w:cs="Arial"/>
        </w:rPr>
        <w:t xml:space="preserve">omercial de la Procuraduría </w:t>
      </w:r>
      <w:r w:rsidR="009F424E">
        <w:rPr>
          <w:rFonts w:ascii="Century Gothic" w:hAnsi="Century Gothic" w:cs="Arial"/>
        </w:rPr>
        <w:t>delegada para asuntos civiles,</w:t>
      </w:r>
      <w:r w:rsidR="002D1FE7">
        <w:rPr>
          <w:rFonts w:ascii="Century Gothic" w:hAnsi="Century Gothic" w:cs="Arial"/>
        </w:rPr>
        <w:t xml:space="preserve"> audiencia que se llev</w:t>
      </w:r>
      <w:r w:rsidR="009F424E">
        <w:rPr>
          <w:rFonts w:ascii="Century Gothic" w:hAnsi="Century Gothic" w:cs="Arial"/>
        </w:rPr>
        <w:t>ó</w:t>
      </w:r>
      <w:r w:rsidR="002D1FE7">
        <w:rPr>
          <w:rFonts w:ascii="Century Gothic" w:hAnsi="Century Gothic" w:cs="Arial"/>
        </w:rPr>
        <w:t xml:space="preserve"> a cabo el día 30 de agosto del 2024</w:t>
      </w:r>
      <w:r>
        <w:rPr>
          <w:rFonts w:ascii="Century Gothic" w:hAnsi="Century Gothic" w:cs="Arial"/>
        </w:rPr>
        <w:t>, sin llegar a un acuerdo conciliatorio entre las partes.</w:t>
      </w:r>
    </w:p>
    <w:p w14:paraId="5AAF1DE2" w14:textId="77777777" w:rsidR="002D1FE7" w:rsidRPr="002D1FE7" w:rsidRDefault="002D1FE7" w:rsidP="002D1FE7">
      <w:pPr>
        <w:pStyle w:val="Prrafodelista"/>
        <w:rPr>
          <w:rFonts w:ascii="Century Gothic" w:hAnsi="Century Gothic" w:cs="Arial"/>
        </w:rPr>
      </w:pPr>
    </w:p>
    <w:p w14:paraId="36186053" w14:textId="784AB56D" w:rsidR="00410976" w:rsidRDefault="00410976" w:rsidP="008627F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4D3AEA">
        <w:rPr>
          <w:rFonts w:ascii="Century Gothic" w:hAnsi="Century Gothic" w:cs="Arial"/>
        </w:rPr>
        <w:t xml:space="preserve">Los demandantes </w:t>
      </w:r>
      <w:r w:rsidR="002D1FE7">
        <w:rPr>
          <w:rFonts w:ascii="Century Gothic" w:hAnsi="Century Gothic" w:cs="Arial"/>
        </w:rPr>
        <w:t>promovieron demanda de responsabilidad civil medica en contra de mi representada y otro</w:t>
      </w:r>
      <w:r w:rsidRPr="002D1FE7">
        <w:rPr>
          <w:rFonts w:ascii="Century Gothic" w:hAnsi="Century Gothic" w:cs="Arial"/>
        </w:rPr>
        <w:t xml:space="preserve">, a fin de ser indemnizados por los perjuicios extrapatrimoniales presuntamente causados a ellos como consecuencia de la atención médica brindada a la señora </w:t>
      </w:r>
      <w:r w:rsidR="008627F8">
        <w:rPr>
          <w:rFonts w:ascii="Century Gothic" w:hAnsi="Century Gothic" w:cs="Arial"/>
        </w:rPr>
        <w:t>Angie Rangel León</w:t>
      </w:r>
      <w:r w:rsidRPr="002D1FE7">
        <w:rPr>
          <w:rFonts w:ascii="Century Gothic" w:hAnsi="Century Gothic" w:cs="Arial"/>
        </w:rPr>
        <w:t xml:space="preserve">, </w:t>
      </w:r>
      <w:r w:rsidR="008627F8">
        <w:rPr>
          <w:rFonts w:ascii="Century Gothic" w:hAnsi="Century Gothic" w:cs="Arial"/>
        </w:rPr>
        <w:t>el día 12 de diciembre del 2022</w:t>
      </w:r>
      <w:r w:rsidRPr="002D1FE7">
        <w:rPr>
          <w:rFonts w:ascii="Century Gothic" w:hAnsi="Century Gothic" w:cs="Arial"/>
        </w:rPr>
        <w:t xml:space="preserve">. Este proceso es de conocimiento </w:t>
      </w:r>
      <w:r w:rsidR="008627F8">
        <w:rPr>
          <w:rFonts w:ascii="Century Gothic" w:hAnsi="Century Gothic" w:cs="Arial"/>
        </w:rPr>
        <w:t xml:space="preserve">de los Jueces Civiles del Circuito de Cali, </w:t>
      </w:r>
      <w:r w:rsidR="009F424E">
        <w:rPr>
          <w:rFonts w:ascii="Century Gothic" w:hAnsi="Century Gothic" w:cs="Arial"/>
        </w:rPr>
        <w:t xml:space="preserve">cuya existencia </w:t>
      </w:r>
      <w:r w:rsidR="008627F8">
        <w:rPr>
          <w:rFonts w:ascii="Century Gothic" w:hAnsi="Century Gothic" w:cs="Arial"/>
        </w:rPr>
        <w:t>fue notificada el 11 de septiembre del 2024.</w:t>
      </w:r>
      <w:r w:rsidR="009F424E">
        <w:rPr>
          <w:rFonts w:ascii="Century Gothic" w:hAnsi="Century Gothic" w:cs="Arial"/>
        </w:rPr>
        <w:t xml:space="preserve"> Actualmente el proceso</w:t>
      </w:r>
      <w:r w:rsidR="003C118A">
        <w:rPr>
          <w:rFonts w:ascii="Century Gothic" w:hAnsi="Century Gothic" w:cs="Arial"/>
        </w:rPr>
        <w:t xml:space="preserve"> judicial en atención al auto No. 1028 emitido por el Juzgado Cuarto (04) Civil del Circuito de Cali, dicho proceso fue inadmitido, </w:t>
      </w:r>
      <w:r w:rsidR="003C118A">
        <w:rPr>
          <w:rFonts w:ascii="Century Gothic" w:hAnsi="Century Gothic" w:cs="Arial"/>
        </w:rPr>
        <w:lastRenderedPageBreak/>
        <w:t>estando pendiente que el mismo sea subsanada en debida forma por la parte demandante.</w:t>
      </w:r>
    </w:p>
    <w:p w14:paraId="055E24B4" w14:textId="77777777" w:rsidR="008627F8" w:rsidRPr="008627F8" w:rsidRDefault="008627F8" w:rsidP="008627F8">
      <w:pPr>
        <w:pStyle w:val="Prrafodelista"/>
        <w:rPr>
          <w:rFonts w:ascii="Century Gothic" w:hAnsi="Century Gothic" w:cs="Arial"/>
        </w:rPr>
      </w:pPr>
    </w:p>
    <w:p w14:paraId="603431EF" w14:textId="77777777" w:rsidR="00410976" w:rsidRPr="00141D68" w:rsidRDefault="00410976" w:rsidP="0041097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La póliza responsabilidad civil profesional </w:t>
      </w:r>
      <w:r>
        <w:rPr>
          <w:rFonts w:ascii="Century Gothic" w:hAnsi="Century Gothic" w:cs="Arial"/>
        </w:rPr>
        <w:t>medica</w:t>
      </w:r>
      <w:r w:rsidRPr="00141D6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No.12/0063711</w:t>
      </w:r>
      <w:r w:rsidRPr="00141D68">
        <w:rPr>
          <w:rFonts w:ascii="Century Gothic" w:hAnsi="Century Gothic" w:cs="Arial"/>
        </w:rPr>
        <w:t xml:space="preserve">, comprende la vigencia entre el </w:t>
      </w:r>
      <w:r w:rsidRPr="00141D68">
        <w:rPr>
          <w:rFonts w:ascii="Century Gothic" w:hAnsi="Century Gothic" w:cs="Arial"/>
          <w:b/>
          <w:bCs/>
        </w:rPr>
        <w:t xml:space="preserve">17 de </w:t>
      </w:r>
      <w:r>
        <w:rPr>
          <w:rFonts w:ascii="Century Gothic" w:hAnsi="Century Gothic" w:cs="Arial"/>
          <w:b/>
          <w:bCs/>
        </w:rPr>
        <w:t>noviembre del 2023</w:t>
      </w:r>
      <w:r w:rsidRPr="00141D68">
        <w:rPr>
          <w:rFonts w:ascii="Century Gothic" w:hAnsi="Century Gothic" w:cs="Arial"/>
          <w:b/>
          <w:bCs/>
        </w:rPr>
        <w:t xml:space="preserve"> al </w:t>
      </w:r>
      <w:r>
        <w:rPr>
          <w:rFonts w:ascii="Century Gothic" w:hAnsi="Century Gothic" w:cs="Arial"/>
          <w:b/>
          <w:bCs/>
        </w:rPr>
        <w:t>16 de noviembre del 2024</w:t>
      </w:r>
      <w:r w:rsidRPr="00141D68">
        <w:rPr>
          <w:rFonts w:ascii="Century Gothic" w:hAnsi="Century Gothic" w:cs="Arial"/>
          <w:b/>
          <w:bCs/>
        </w:rPr>
        <w:t>.</w:t>
      </w:r>
    </w:p>
    <w:p w14:paraId="4D6C793C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5573E3B6" w14:textId="77777777" w:rsidR="00410976" w:rsidRPr="00141D68" w:rsidRDefault="00410976" w:rsidP="0041097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El contrato de seguro en cuestión se concertó bajo la modalidad de </w:t>
      </w:r>
      <w:proofErr w:type="spellStart"/>
      <w:r w:rsidRPr="00141D68">
        <w:rPr>
          <w:rFonts w:ascii="Century Gothic" w:hAnsi="Century Gothic" w:cs="Arial"/>
          <w:i/>
          <w:iCs/>
        </w:rPr>
        <w:t>claims</w:t>
      </w:r>
      <w:proofErr w:type="spellEnd"/>
      <w:r w:rsidRPr="00141D68">
        <w:rPr>
          <w:rFonts w:ascii="Century Gothic" w:hAnsi="Century Gothic" w:cs="Arial"/>
          <w:i/>
          <w:iCs/>
        </w:rPr>
        <w:t xml:space="preserve"> </w:t>
      </w:r>
      <w:proofErr w:type="spellStart"/>
      <w:r w:rsidRPr="00141D68">
        <w:rPr>
          <w:rFonts w:ascii="Century Gothic" w:hAnsi="Century Gothic" w:cs="Arial"/>
          <w:i/>
          <w:iCs/>
        </w:rPr>
        <w:t>made</w:t>
      </w:r>
      <w:proofErr w:type="spellEnd"/>
      <w:r w:rsidRPr="00141D68">
        <w:rPr>
          <w:rFonts w:ascii="Century Gothic" w:hAnsi="Century Gothic" w:cs="Arial"/>
        </w:rPr>
        <w:t xml:space="preserve">, con un período de retroactividad desde el </w:t>
      </w:r>
      <w:r w:rsidRPr="00141D68">
        <w:rPr>
          <w:rFonts w:ascii="Century Gothic" w:hAnsi="Century Gothic" w:cs="Arial"/>
          <w:b/>
          <w:bCs/>
        </w:rPr>
        <w:t>19 de julio de 2018</w:t>
      </w:r>
      <w:r w:rsidRPr="00141D68">
        <w:rPr>
          <w:rFonts w:ascii="Century Gothic" w:hAnsi="Century Gothic" w:cs="Arial"/>
        </w:rPr>
        <w:t>.</w:t>
      </w:r>
    </w:p>
    <w:p w14:paraId="59F3B30E" w14:textId="77777777" w:rsidR="00410976" w:rsidRPr="00141D68" w:rsidRDefault="00410976" w:rsidP="00410976">
      <w:pPr>
        <w:spacing w:after="0" w:line="360" w:lineRule="auto"/>
        <w:jc w:val="both"/>
        <w:rPr>
          <w:rFonts w:ascii="Century Gothic" w:hAnsi="Century Gothic" w:cs="Arial"/>
        </w:rPr>
      </w:pPr>
    </w:p>
    <w:p w14:paraId="7528F62D" w14:textId="77777777" w:rsidR="00410976" w:rsidRPr="00141D68" w:rsidRDefault="00410976" w:rsidP="0041097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En consecuencia, se tiene que: </w:t>
      </w:r>
      <w:r w:rsidRPr="00141D68">
        <w:rPr>
          <w:rFonts w:ascii="Century Gothic" w:hAnsi="Century Gothic" w:cs="Arial"/>
          <w:b/>
          <w:bCs/>
        </w:rPr>
        <w:t xml:space="preserve">(i) </w:t>
      </w:r>
      <w:r w:rsidRPr="00141D68">
        <w:rPr>
          <w:rFonts w:ascii="Century Gothic" w:hAnsi="Century Gothic" w:cs="Arial"/>
        </w:rPr>
        <w:t xml:space="preserve">los hechos objeto de reclamación ocurrieron dentro del período de retroactividad pactado, y </w:t>
      </w:r>
      <w:r w:rsidRPr="00141D68">
        <w:rPr>
          <w:rFonts w:ascii="Century Gothic" w:hAnsi="Century Gothic" w:cs="Arial"/>
          <w:b/>
          <w:bCs/>
        </w:rPr>
        <w:t>(</w:t>
      </w:r>
      <w:proofErr w:type="spellStart"/>
      <w:r w:rsidRPr="00141D68">
        <w:rPr>
          <w:rFonts w:ascii="Century Gothic" w:hAnsi="Century Gothic" w:cs="Arial"/>
          <w:b/>
          <w:bCs/>
        </w:rPr>
        <w:t>ii</w:t>
      </w:r>
      <w:proofErr w:type="spellEnd"/>
      <w:r w:rsidRPr="00141D68">
        <w:rPr>
          <w:rFonts w:ascii="Century Gothic" w:hAnsi="Century Gothic" w:cs="Arial"/>
          <w:b/>
          <w:bCs/>
        </w:rPr>
        <w:t xml:space="preserve">) </w:t>
      </w:r>
      <w:r w:rsidRPr="007D64D0">
        <w:rPr>
          <w:rFonts w:ascii="Century Gothic" w:hAnsi="Century Gothic" w:cs="Arial"/>
        </w:rPr>
        <w:t>la reclamación efectuada a la Clínica Palmira se f</w:t>
      </w:r>
      <w:r w:rsidRPr="00141D68">
        <w:rPr>
          <w:rFonts w:ascii="Century Gothic" w:hAnsi="Century Gothic" w:cs="Arial"/>
        </w:rPr>
        <w:t xml:space="preserve">ormuló en vigencia de la Póliza identificada. </w:t>
      </w:r>
    </w:p>
    <w:p w14:paraId="3F79113C" w14:textId="77777777" w:rsidR="00410976" w:rsidRPr="00141D68" w:rsidRDefault="00410976" w:rsidP="00410976">
      <w:pPr>
        <w:pStyle w:val="Prrafodelista"/>
        <w:spacing w:line="360" w:lineRule="auto"/>
        <w:ind w:left="0"/>
        <w:rPr>
          <w:rFonts w:ascii="Century Gothic" w:hAnsi="Century Gothic" w:cs="Arial"/>
        </w:rPr>
      </w:pPr>
    </w:p>
    <w:p w14:paraId="2297126D" w14:textId="77777777" w:rsidR="00410976" w:rsidRPr="00141D68" w:rsidRDefault="00410976" w:rsidP="00410976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En virtud de lo anterior, Clínica Palmira S.A. interrumpe el término de la prescripción de la acción derivada de la Póliza de Responsabilidad Civil </w:t>
      </w:r>
      <w:r>
        <w:rPr>
          <w:rFonts w:ascii="Century Gothic" w:hAnsi="Century Gothic" w:cs="Arial"/>
        </w:rPr>
        <w:t>Medica</w:t>
      </w:r>
      <w:r w:rsidRPr="00141D68">
        <w:rPr>
          <w:rFonts w:ascii="Century Gothic" w:hAnsi="Century Gothic" w:cs="Arial"/>
        </w:rPr>
        <w:t xml:space="preserve"> número </w:t>
      </w:r>
      <w:r>
        <w:rPr>
          <w:rFonts w:ascii="Century Gothic" w:hAnsi="Century Gothic" w:cs="Arial"/>
        </w:rPr>
        <w:t>12/0063711</w:t>
      </w:r>
      <w:r w:rsidRPr="00141D68">
        <w:rPr>
          <w:rFonts w:ascii="Century Gothic" w:hAnsi="Century Gothic" w:cs="Arial"/>
        </w:rPr>
        <w:t>, tendiente al pago o reembolso de la eventual indemnización que se constituya como obligación a su cargo, con ocasión a la reclamación aludida en líneas anteriores.</w:t>
      </w:r>
    </w:p>
    <w:p w14:paraId="18AA9B18" w14:textId="77777777" w:rsidR="00410976" w:rsidRPr="00141D68" w:rsidRDefault="00410976" w:rsidP="00410976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640CA3BC" w14:textId="77777777" w:rsidR="00410976" w:rsidRPr="00141D68" w:rsidRDefault="00410976" w:rsidP="00410976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bCs/>
        </w:rPr>
      </w:pPr>
      <w:r w:rsidRPr="00141D68">
        <w:rPr>
          <w:rFonts w:ascii="Century Gothic" w:hAnsi="Century Gothic" w:cs="Arial"/>
          <w:b/>
          <w:bCs/>
        </w:rPr>
        <w:t>ANEXOS</w:t>
      </w:r>
    </w:p>
    <w:p w14:paraId="53F25018" w14:textId="77777777" w:rsidR="00410976" w:rsidRPr="00141D68" w:rsidRDefault="00410976" w:rsidP="00410976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bCs/>
        </w:rPr>
      </w:pPr>
    </w:p>
    <w:p w14:paraId="11F778AC" w14:textId="77777777" w:rsidR="00410976" w:rsidRPr="008627F8" w:rsidRDefault="00410976" w:rsidP="0041097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>Copia de la demanda</w:t>
      </w:r>
    </w:p>
    <w:p w14:paraId="0DCF519C" w14:textId="267BC151" w:rsidR="008627F8" w:rsidRPr="00141D68" w:rsidRDefault="008627F8" w:rsidP="0041097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>Copia de la constancia de no acuerdo de la audiencia de conciliación extrajudicial del día 30 de agosto del 2024.</w:t>
      </w:r>
    </w:p>
    <w:p w14:paraId="2A8625A1" w14:textId="77777777" w:rsidR="00410976" w:rsidRPr="00141D68" w:rsidRDefault="00410976" w:rsidP="00410976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775E61BC" w14:textId="77777777" w:rsidR="00410976" w:rsidRPr="00141D68" w:rsidRDefault="00410976" w:rsidP="00410976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 xml:space="preserve">Cordialmente, </w:t>
      </w:r>
    </w:p>
    <w:p w14:paraId="7AD857BD" w14:textId="77777777" w:rsidR="00410976" w:rsidRPr="00141D68" w:rsidRDefault="00410976" w:rsidP="00410976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2EF89A1B" w14:textId="77777777" w:rsidR="00410976" w:rsidRPr="00141D68" w:rsidRDefault="00410976" w:rsidP="00410976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123CBEB3" w14:textId="77777777" w:rsidR="00410976" w:rsidRPr="00141D68" w:rsidRDefault="00410976" w:rsidP="003C118A">
      <w:pPr>
        <w:spacing w:after="0" w:line="276" w:lineRule="auto"/>
        <w:jc w:val="both"/>
        <w:rPr>
          <w:rFonts w:ascii="Century Gothic" w:hAnsi="Century Gothic" w:cs="Arial"/>
          <w:b/>
          <w:bCs/>
        </w:rPr>
      </w:pPr>
      <w:r w:rsidRPr="00141D68">
        <w:rPr>
          <w:rFonts w:ascii="Century Gothic" w:hAnsi="Century Gothic" w:cs="Arial"/>
          <w:b/>
          <w:bCs/>
        </w:rPr>
        <w:t>FERNANDO HUMBERTO BEDOYA HERRERA</w:t>
      </w:r>
    </w:p>
    <w:p w14:paraId="3F6C980B" w14:textId="77777777" w:rsidR="00410976" w:rsidRPr="00141D68" w:rsidRDefault="00410976" w:rsidP="003C118A">
      <w:pPr>
        <w:spacing w:after="0" w:line="276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C.C. 16.258.259</w:t>
      </w:r>
    </w:p>
    <w:p w14:paraId="4411AE9E" w14:textId="77777777" w:rsidR="00410976" w:rsidRPr="00141D68" w:rsidRDefault="00410976" w:rsidP="003C118A">
      <w:pPr>
        <w:spacing w:after="0" w:line="276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Representante Legal</w:t>
      </w:r>
    </w:p>
    <w:p w14:paraId="7564CE51" w14:textId="77777777" w:rsidR="00410976" w:rsidRPr="00141D68" w:rsidRDefault="00410976" w:rsidP="003C118A">
      <w:pPr>
        <w:spacing w:after="0" w:line="276" w:lineRule="auto"/>
        <w:jc w:val="both"/>
        <w:rPr>
          <w:rFonts w:ascii="Century Gothic" w:hAnsi="Century Gothic" w:cs="Arial"/>
        </w:rPr>
      </w:pPr>
      <w:r w:rsidRPr="00141D68">
        <w:rPr>
          <w:rFonts w:ascii="Century Gothic" w:hAnsi="Century Gothic" w:cs="Arial"/>
        </w:rPr>
        <w:t>Clínica Palmira S.A.</w:t>
      </w:r>
    </w:p>
    <w:p w14:paraId="374C0159" w14:textId="77777777" w:rsidR="00410976" w:rsidRPr="00141D68" w:rsidRDefault="00410976" w:rsidP="00410976">
      <w:pPr>
        <w:spacing w:line="360" w:lineRule="auto"/>
        <w:rPr>
          <w:rFonts w:ascii="Century Gothic" w:hAnsi="Century Gothic"/>
        </w:rPr>
      </w:pPr>
    </w:p>
    <w:p w14:paraId="1F8A92C9" w14:textId="47DE0E83" w:rsidR="002A1FEE" w:rsidRPr="00410976" w:rsidRDefault="002A1FEE">
      <w:pPr>
        <w:rPr>
          <w:lang w:val="es-MX"/>
        </w:rPr>
      </w:pPr>
    </w:p>
    <w:sectPr w:rsidR="002A1FEE" w:rsidRPr="00410976" w:rsidSect="00410976">
      <w:footerReference w:type="default" r:id="rId8"/>
      <w:pgSz w:w="12240" w:h="15840"/>
      <w:pgMar w:top="1417" w:right="1701" w:bottom="1417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D15C2" w14:textId="77777777" w:rsidR="00654E99" w:rsidRDefault="00654E99" w:rsidP="00410976">
      <w:pPr>
        <w:spacing w:after="0" w:line="240" w:lineRule="auto"/>
      </w:pPr>
      <w:r>
        <w:separator/>
      </w:r>
    </w:p>
  </w:endnote>
  <w:endnote w:type="continuationSeparator" w:id="0">
    <w:p w14:paraId="7371E7A1" w14:textId="77777777" w:rsidR="00654E99" w:rsidRDefault="00654E99" w:rsidP="0041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47313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4AF18" w14:textId="794977A0" w:rsidR="00642F38" w:rsidRDefault="00610516">
            <w:pPr>
              <w:pStyle w:val="Piedepgina"/>
              <w:jc w:val="right"/>
            </w:pPr>
            <w:r w:rsidRPr="00C06134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034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06134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034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6E18BE" w14:textId="77777777" w:rsidR="00642F38" w:rsidRDefault="00642F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A512C" w14:textId="77777777" w:rsidR="00654E99" w:rsidRDefault="00654E99" w:rsidP="00410976">
      <w:pPr>
        <w:spacing w:after="0" w:line="240" w:lineRule="auto"/>
      </w:pPr>
      <w:r>
        <w:separator/>
      </w:r>
    </w:p>
  </w:footnote>
  <w:footnote w:type="continuationSeparator" w:id="0">
    <w:p w14:paraId="56555280" w14:textId="77777777" w:rsidR="00654E99" w:rsidRDefault="00654E99" w:rsidP="00410976">
      <w:pPr>
        <w:spacing w:after="0" w:line="240" w:lineRule="auto"/>
      </w:pPr>
      <w:r>
        <w:continuationSeparator/>
      </w:r>
    </w:p>
  </w:footnote>
  <w:footnote w:id="1">
    <w:p w14:paraId="79DC79FC" w14:textId="77777777" w:rsidR="00410976" w:rsidRPr="002E3ABC" w:rsidRDefault="00410976" w:rsidP="004109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Style w:val="Refdenotaalpie"/>
          <w:rFonts w:ascii="Palatino" w:hAnsi="Palatino" w:cs="Arial"/>
          <w:sz w:val="15"/>
          <w:szCs w:val="15"/>
        </w:rPr>
        <w:footnoteRef/>
      </w:r>
      <w:r w:rsidRPr="002E3ABC">
        <w:rPr>
          <w:rFonts w:ascii="Palatino" w:hAnsi="Palatino" w:cs="Arial"/>
          <w:sz w:val="15"/>
          <w:szCs w:val="15"/>
        </w:rPr>
        <w:t xml:space="preserve"> Artículo 94. </w:t>
      </w:r>
      <w:r w:rsidRPr="002E3ABC">
        <w:rPr>
          <w:rFonts w:ascii="Palatino" w:hAnsi="Palatino" w:cs="Arial"/>
          <w:i/>
          <w:iCs/>
          <w:sz w:val="15"/>
          <w:szCs w:val="15"/>
        </w:rPr>
        <w:t>Interrupción de la prescripción, inoperancia de la caducidad y constitución en mora</w:t>
      </w:r>
      <w:r w:rsidRPr="002E3ABC">
        <w:rPr>
          <w:rFonts w:ascii="Palatino" w:hAnsi="Palatino" w:cs="Arial"/>
          <w:b/>
          <w:bCs/>
          <w:sz w:val="15"/>
          <w:szCs w:val="15"/>
        </w:rPr>
        <w:t>. </w:t>
      </w:r>
      <w:r w:rsidRPr="002E3ABC">
        <w:rPr>
          <w:rFonts w:ascii="Palatino" w:hAnsi="Palatino" w:cs="Arial"/>
          <w:sz w:val="15"/>
          <w:szCs w:val="15"/>
        </w:rPr>
        <w:t>La presentación de la demanda interrumpe el término para la prescripción e impide que se produzca la caducidad siempre que el auto admisorio de aquella o el mandamiento ejecutivo se notifique al demandado dentro del término de un (1) año contado a partir del día siguiente a la notificación de tales providencias al demandante. Pasado este término, los mencionados efectos solo se producirán con la notificación al demandado.</w:t>
      </w:r>
    </w:p>
    <w:p w14:paraId="1A40C3C4" w14:textId="77777777" w:rsidR="00410976" w:rsidRPr="002E3ABC" w:rsidRDefault="00410976" w:rsidP="004109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La notificación del auto admisorio de la demanda o del mandamiento ejecutivo produce el efecto del requerimiento judicial para constituir en mora al deudor, cuando la ley lo exija para tal fin, y la notificación de la cesión del crédito, si no se hubiere efectuado antes. Los efectos de la mora solo se producirán a partir de la notificación.</w:t>
      </w:r>
    </w:p>
    <w:p w14:paraId="41A2FC90" w14:textId="77777777" w:rsidR="00410976" w:rsidRPr="002E3ABC" w:rsidRDefault="00410976" w:rsidP="004109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La notificación del auto que declara abierto el proceso de sucesión a los asignatarios, también constituye requerimiento judicial para constituir en mora de declarar si aceptan o repudian la asignación que se les hubiere deferido.</w:t>
      </w:r>
    </w:p>
    <w:p w14:paraId="24BFE94B" w14:textId="77777777" w:rsidR="00410976" w:rsidRPr="002E3ABC" w:rsidRDefault="00410976" w:rsidP="004109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Si fueren varios los demandados y existiere entre ellos litisconsorcio facultativo, los efectos de la notificación a los que se refiere este artículo se surtirán para cada uno separadamente, salvo norma sustancial o procesal en contrario. Si el litisconsorcio fuere necesario será indispensable la notificación a todos ellos para que se surtan dichos efectos.</w:t>
      </w:r>
    </w:p>
    <w:p w14:paraId="7165B8EF" w14:textId="77777777" w:rsidR="00410976" w:rsidRPr="006067D8" w:rsidRDefault="00410976" w:rsidP="004109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2E3ABC">
        <w:rPr>
          <w:rFonts w:ascii="Palatino" w:hAnsi="Palatino" w:cs="Arial"/>
          <w:sz w:val="15"/>
          <w:szCs w:val="15"/>
        </w:rPr>
        <w:t>El término de prescripción también se interrumpe por el requerimiento escrito realizado al deudor directamente por el acreedor. Este requerimiento solo podrá hacerse por una vez.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0405"/>
    <w:multiLevelType w:val="hybridMultilevel"/>
    <w:tmpl w:val="23CCB42C"/>
    <w:lvl w:ilvl="0" w:tplc="76BA4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231DC"/>
    <w:multiLevelType w:val="hybridMultilevel"/>
    <w:tmpl w:val="EDCC70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872630">
    <w:abstractNumId w:val="0"/>
  </w:num>
  <w:num w:numId="2" w16cid:durableId="146604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76"/>
    <w:rsid w:val="002A1FEE"/>
    <w:rsid w:val="002D1FE7"/>
    <w:rsid w:val="003C118A"/>
    <w:rsid w:val="00410976"/>
    <w:rsid w:val="005034D4"/>
    <w:rsid w:val="005B6F3D"/>
    <w:rsid w:val="00610516"/>
    <w:rsid w:val="00642F38"/>
    <w:rsid w:val="00654E99"/>
    <w:rsid w:val="006C0068"/>
    <w:rsid w:val="008627F8"/>
    <w:rsid w:val="008D4C4F"/>
    <w:rsid w:val="009F424E"/>
    <w:rsid w:val="00B24956"/>
    <w:rsid w:val="00C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F67A"/>
  <w15:chartTrackingRefBased/>
  <w15:docId w15:val="{C0F6E511-95A9-4327-9032-892F6FA5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7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976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41097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10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976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1097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4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2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24E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42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424E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24E"/>
    <w:rPr>
      <w:rFonts w:ascii="Segoe UI" w:hAnsi="Segoe UI" w:cs="Segoe UI"/>
      <w:kern w:val="0"/>
      <w:sz w:val="18"/>
      <w:szCs w:val="18"/>
      <w14:ligatures w14:val="none"/>
    </w:rPr>
  </w:style>
  <w:style w:type="paragraph" w:styleId="Revisin">
    <w:name w:val="Revision"/>
    <w:hidden/>
    <w:uiPriority w:val="99"/>
    <w:semiHidden/>
    <w:rsid w:val="003C118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tificacioneslegales.co@chubb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Jimenez Piarpusan</dc:creator>
  <cp:keywords/>
  <dc:description/>
  <cp:lastModifiedBy>Maria Fernanda Jimenez Piarpusan</cp:lastModifiedBy>
  <cp:revision>2</cp:revision>
  <dcterms:created xsi:type="dcterms:W3CDTF">2024-09-19T15:24:00Z</dcterms:created>
  <dcterms:modified xsi:type="dcterms:W3CDTF">2024-09-19T15:24:00Z</dcterms:modified>
</cp:coreProperties>
</file>