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22BB" w14:textId="77777777" w:rsidR="0057097F" w:rsidRDefault="000B7A27">
      <w:pPr>
        <w:jc w:val="center"/>
        <w:rPr>
          <w:b/>
        </w:rPr>
      </w:pPr>
      <w:r>
        <w:rPr>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14:paraId="500322BE" w14:textId="77777777" w:rsidTr="357EB3F4">
        <w:tc>
          <w:tcPr>
            <w:tcW w:w="6000" w:type="dxa"/>
            <w:shd w:val="clear" w:color="auto" w:fill="D9D9D9" w:themeFill="background1" w:themeFillShade="D9"/>
          </w:tcPr>
          <w:p w14:paraId="500322BC" w14:textId="77777777" w:rsidR="0057097F" w:rsidRDefault="000B7A27">
            <w:pPr>
              <w:rPr>
                <w:b/>
                <w:sz w:val="20"/>
                <w:szCs w:val="20"/>
              </w:rPr>
            </w:pPr>
            <w:r>
              <w:rPr>
                <w:b/>
                <w:sz w:val="20"/>
                <w:szCs w:val="20"/>
              </w:rPr>
              <w:t>Apoderado:</w:t>
            </w:r>
          </w:p>
        </w:tc>
        <w:tc>
          <w:tcPr>
            <w:tcW w:w="4410" w:type="dxa"/>
          </w:tcPr>
          <w:p w14:paraId="500322BD" w14:textId="77777777" w:rsidR="0057097F" w:rsidRDefault="000B7A27">
            <w:pPr>
              <w:jc w:val="both"/>
            </w:pPr>
            <w:r>
              <w:t>GUSTAVO ALBERTO HERRERA ÁVILA</w:t>
            </w:r>
          </w:p>
        </w:tc>
      </w:tr>
      <w:tr w:rsidR="0057097F" w14:paraId="500322C1" w14:textId="77777777" w:rsidTr="357EB3F4">
        <w:tc>
          <w:tcPr>
            <w:tcW w:w="6000" w:type="dxa"/>
            <w:shd w:val="clear" w:color="auto" w:fill="D9D9D9" w:themeFill="background1" w:themeFillShade="D9"/>
          </w:tcPr>
          <w:p w14:paraId="500322BF" w14:textId="77777777" w:rsidR="0057097F" w:rsidRDefault="000B7A27">
            <w:pPr>
              <w:rPr>
                <w:b/>
                <w:sz w:val="20"/>
                <w:szCs w:val="20"/>
              </w:rPr>
            </w:pPr>
            <w:r>
              <w:rPr>
                <w:b/>
                <w:sz w:val="20"/>
                <w:szCs w:val="20"/>
              </w:rPr>
              <w:t>Tipo y # de Póliza:</w:t>
            </w:r>
          </w:p>
        </w:tc>
        <w:tc>
          <w:tcPr>
            <w:tcW w:w="4410" w:type="dxa"/>
          </w:tcPr>
          <w:p w14:paraId="500322C0" w14:textId="5414B8CC" w:rsidR="0057097F" w:rsidRDefault="007176EB">
            <w:pPr>
              <w:jc w:val="both"/>
            </w:pPr>
            <w:r>
              <w:t>PÓLIZA SEGURO DE AUTOMÓVILES - 497218</w:t>
            </w:r>
          </w:p>
        </w:tc>
      </w:tr>
      <w:tr w:rsidR="0057097F" w14:paraId="500322C4" w14:textId="77777777" w:rsidTr="357EB3F4">
        <w:tc>
          <w:tcPr>
            <w:tcW w:w="6000" w:type="dxa"/>
            <w:shd w:val="clear" w:color="auto" w:fill="D9D9D9" w:themeFill="background1" w:themeFillShade="D9"/>
          </w:tcPr>
          <w:p w14:paraId="500322C2" w14:textId="77777777" w:rsidR="0057097F" w:rsidRDefault="000B7A27">
            <w:pPr>
              <w:rPr>
                <w:b/>
                <w:sz w:val="20"/>
                <w:szCs w:val="20"/>
              </w:rPr>
            </w:pPr>
            <w:r>
              <w:rPr>
                <w:b/>
                <w:sz w:val="20"/>
                <w:szCs w:val="20"/>
              </w:rPr>
              <w:t>Amparos afectados:</w:t>
            </w:r>
          </w:p>
        </w:tc>
        <w:tc>
          <w:tcPr>
            <w:tcW w:w="4410" w:type="dxa"/>
          </w:tcPr>
          <w:p w14:paraId="500322C3" w14:textId="47FAF4EC" w:rsidR="0057097F" w:rsidRDefault="00EE5ADD">
            <w:pPr>
              <w:jc w:val="both"/>
            </w:pPr>
            <w:r>
              <w:t>Responsabilidad Civil Extracontractual</w:t>
            </w:r>
          </w:p>
        </w:tc>
      </w:tr>
      <w:tr w:rsidR="0057097F" w14:paraId="500322C7" w14:textId="77777777" w:rsidTr="357EB3F4">
        <w:tc>
          <w:tcPr>
            <w:tcW w:w="6000" w:type="dxa"/>
            <w:shd w:val="clear" w:color="auto" w:fill="D9D9D9" w:themeFill="background1" w:themeFillShade="D9"/>
          </w:tcPr>
          <w:p w14:paraId="500322C5" w14:textId="77777777" w:rsidR="0057097F" w:rsidRDefault="000B7A27">
            <w:pPr>
              <w:rPr>
                <w:b/>
                <w:sz w:val="20"/>
                <w:szCs w:val="20"/>
              </w:rPr>
            </w:pPr>
            <w:r>
              <w:rPr>
                <w:b/>
                <w:sz w:val="20"/>
                <w:szCs w:val="20"/>
              </w:rPr>
              <w:t>Tomador:</w:t>
            </w:r>
          </w:p>
        </w:tc>
        <w:tc>
          <w:tcPr>
            <w:tcW w:w="4410" w:type="dxa"/>
          </w:tcPr>
          <w:p w14:paraId="500322C6" w14:textId="44D187B7" w:rsidR="0057097F" w:rsidRDefault="00EE5ADD">
            <w:pPr>
              <w:jc w:val="both"/>
            </w:pPr>
            <w:r>
              <w:t>BANCO DE OCCIDENTE S.A.</w:t>
            </w:r>
          </w:p>
        </w:tc>
      </w:tr>
      <w:tr w:rsidR="0057097F" w14:paraId="500322CA" w14:textId="77777777" w:rsidTr="357EB3F4">
        <w:tc>
          <w:tcPr>
            <w:tcW w:w="6000" w:type="dxa"/>
            <w:shd w:val="clear" w:color="auto" w:fill="D9D9D9" w:themeFill="background1" w:themeFillShade="D9"/>
          </w:tcPr>
          <w:p w14:paraId="500322C8" w14:textId="77777777" w:rsidR="0057097F" w:rsidRDefault="000B7A27">
            <w:pPr>
              <w:rPr>
                <w:b/>
                <w:sz w:val="20"/>
                <w:szCs w:val="20"/>
              </w:rPr>
            </w:pPr>
            <w:r>
              <w:rPr>
                <w:b/>
                <w:sz w:val="20"/>
                <w:szCs w:val="20"/>
              </w:rPr>
              <w:t>Asegurado:</w:t>
            </w:r>
          </w:p>
        </w:tc>
        <w:tc>
          <w:tcPr>
            <w:tcW w:w="4410" w:type="dxa"/>
          </w:tcPr>
          <w:p w14:paraId="500322C9" w14:textId="5B54BCB8" w:rsidR="0057097F" w:rsidRDefault="00EE5ADD">
            <w:pPr>
              <w:jc w:val="both"/>
            </w:pPr>
            <w:r>
              <w:t>JHON ALFONSO CALLE PALACIO</w:t>
            </w:r>
          </w:p>
        </w:tc>
      </w:tr>
      <w:tr w:rsidR="0057097F" w14:paraId="500322CD" w14:textId="77777777" w:rsidTr="357EB3F4">
        <w:tc>
          <w:tcPr>
            <w:tcW w:w="6000" w:type="dxa"/>
            <w:shd w:val="clear" w:color="auto" w:fill="D9D9D9" w:themeFill="background1" w:themeFillShade="D9"/>
          </w:tcPr>
          <w:p w14:paraId="500322CB" w14:textId="77777777" w:rsidR="0057097F" w:rsidRDefault="000B7A27">
            <w:pPr>
              <w:rPr>
                <w:b/>
                <w:sz w:val="20"/>
                <w:szCs w:val="20"/>
              </w:rPr>
            </w:pPr>
            <w:r>
              <w:rPr>
                <w:b/>
                <w:sz w:val="20"/>
                <w:szCs w:val="20"/>
              </w:rPr>
              <w:t>Tipo de Proceso:</w:t>
            </w:r>
          </w:p>
        </w:tc>
        <w:tc>
          <w:tcPr>
            <w:tcW w:w="4410" w:type="dxa"/>
          </w:tcPr>
          <w:p w14:paraId="500322CC" w14:textId="25BE5107" w:rsidR="0057097F" w:rsidRDefault="00303634">
            <w:pPr>
              <w:jc w:val="both"/>
            </w:pPr>
            <w:r>
              <w:t>VERBA</w:t>
            </w:r>
            <w:r w:rsidR="00987F76">
              <w:t>L</w:t>
            </w:r>
            <w:r>
              <w:t xml:space="preserve"> DE RCE</w:t>
            </w:r>
          </w:p>
        </w:tc>
      </w:tr>
      <w:tr w:rsidR="0057097F" w14:paraId="500322D0" w14:textId="77777777" w:rsidTr="357EB3F4">
        <w:tc>
          <w:tcPr>
            <w:tcW w:w="6000" w:type="dxa"/>
            <w:shd w:val="clear" w:color="auto" w:fill="D9D9D9" w:themeFill="background1" w:themeFillShade="D9"/>
          </w:tcPr>
          <w:p w14:paraId="500322CE" w14:textId="77777777" w:rsidR="0057097F" w:rsidRDefault="000B7A27">
            <w:pPr>
              <w:rPr>
                <w:b/>
                <w:sz w:val="20"/>
                <w:szCs w:val="20"/>
              </w:rPr>
            </w:pPr>
            <w:r>
              <w:rPr>
                <w:b/>
                <w:sz w:val="20"/>
                <w:szCs w:val="20"/>
              </w:rPr>
              <w:t>Jurisdicción:</w:t>
            </w:r>
          </w:p>
        </w:tc>
        <w:tc>
          <w:tcPr>
            <w:tcW w:w="4410" w:type="dxa"/>
          </w:tcPr>
          <w:p w14:paraId="500322CF" w14:textId="04386336" w:rsidR="0057097F" w:rsidRDefault="00303634">
            <w:pPr>
              <w:jc w:val="both"/>
            </w:pPr>
            <w:r>
              <w:t>CIVIL</w:t>
            </w:r>
          </w:p>
        </w:tc>
      </w:tr>
      <w:tr w:rsidR="0057097F" w14:paraId="500322D3" w14:textId="77777777" w:rsidTr="357EB3F4">
        <w:tc>
          <w:tcPr>
            <w:tcW w:w="6000" w:type="dxa"/>
            <w:shd w:val="clear" w:color="auto" w:fill="D9D9D9" w:themeFill="background1" w:themeFillShade="D9"/>
          </w:tcPr>
          <w:p w14:paraId="500322D1" w14:textId="77777777" w:rsidR="0057097F" w:rsidRDefault="000B7A27">
            <w:pPr>
              <w:rPr>
                <w:b/>
                <w:sz w:val="20"/>
                <w:szCs w:val="20"/>
              </w:rPr>
            </w:pPr>
            <w:r>
              <w:rPr>
                <w:b/>
                <w:sz w:val="20"/>
                <w:szCs w:val="20"/>
              </w:rPr>
              <w:t>Despacho:</w:t>
            </w:r>
          </w:p>
        </w:tc>
        <w:tc>
          <w:tcPr>
            <w:tcW w:w="4410" w:type="dxa"/>
          </w:tcPr>
          <w:p w14:paraId="500322D2" w14:textId="6EA7368F" w:rsidR="0057097F" w:rsidRDefault="004D16BA">
            <w:pPr>
              <w:jc w:val="both"/>
            </w:pPr>
            <w:r>
              <w:t>JUZGADO 07 CIVIL DEL CIRCUITO DE CALI</w:t>
            </w:r>
          </w:p>
        </w:tc>
      </w:tr>
      <w:tr w:rsidR="0057097F" w14:paraId="500322D6" w14:textId="77777777" w:rsidTr="357EB3F4">
        <w:tc>
          <w:tcPr>
            <w:tcW w:w="6000" w:type="dxa"/>
            <w:shd w:val="clear" w:color="auto" w:fill="D9D9D9" w:themeFill="background1" w:themeFillShade="D9"/>
          </w:tcPr>
          <w:p w14:paraId="500322D4" w14:textId="77777777" w:rsidR="0057097F" w:rsidRDefault="000B7A27">
            <w:pPr>
              <w:rPr>
                <w:b/>
                <w:sz w:val="20"/>
                <w:szCs w:val="20"/>
              </w:rPr>
            </w:pPr>
            <w:r>
              <w:rPr>
                <w:b/>
                <w:sz w:val="20"/>
                <w:szCs w:val="20"/>
              </w:rPr>
              <w:t>Ciudad:</w:t>
            </w:r>
          </w:p>
        </w:tc>
        <w:tc>
          <w:tcPr>
            <w:tcW w:w="4410" w:type="dxa"/>
          </w:tcPr>
          <w:p w14:paraId="500322D5" w14:textId="3080159E" w:rsidR="0057097F" w:rsidRDefault="004D16BA">
            <w:pPr>
              <w:jc w:val="both"/>
            </w:pPr>
            <w:r>
              <w:t>CALI (VALLE DEL CAUCA)</w:t>
            </w:r>
          </w:p>
        </w:tc>
      </w:tr>
      <w:tr w:rsidR="0057097F" w14:paraId="500322D9" w14:textId="77777777" w:rsidTr="357EB3F4">
        <w:tc>
          <w:tcPr>
            <w:tcW w:w="6000" w:type="dxa"/>
            <w:shd w:val="clear" w:color="auto" w:fill="D9D9D9" w:themeFill="background1" w:themeFillShade="D9"/>
          </w:tcPr>
          <w:p w14:paraId="500322D7" w14:textId="77777777" w:rsidR="0057097F" w:rsidRDefault="000B7A27">
            <w:pPr>
              <w:rPr>
                <w:b/>
                <w:sz w:val="20"/>
                <w:szCs w:val="20"/>
              </w:rPr>
            </w:pPr>
            <w:r>
              <w:rPr>
                <w:b/>
                <w:sz w:val="20"/>
                <w:szCs w:val="20"/>
              </w:rPr>
              <w:t>Radicado (23 dígitos):</w:t>
            </w:r>
          </w:p>
        </w:tc>
        <w:tc>
          <w:tcPr>
            <w:tcW w:w="4410" w:type="dxa"/>
          </w:tcPr>
          <w:p w14:paraId="500322D8" w14:textId="3C16C2F8" w:rsidR="0057097F" w:rsidRDefault="004D16BA">
            <w:r>
              <w:t>76001 3103 007 2024 00042 00</w:t>
            </w:r>
          </w:p>
        </w:tc>
      </w:tr>
      <w:tr w:rsidR="0057097F" w14:paraId="500322DC" w14:textId="77777777" w:rsidTr="357EB3F4">
        <w:tc>
          <w:tcPr>
            <w:tcW w:w="6000" w:type="dxa"/>
            <w:shd w:val="clear" w:color="auto" w:fill="D9D9D9" w:themeFill="background1" w:themeFillShade="D9"/>
          </w:tcPr>
          <w:p w14:paraId="500322DA" w14:textId="77777777" w:rsidR="0057097F" w:rsidRDefault="000B7A27">
            <w:pPr>
              <w:rPr>
                <w:b/>
                <w:sz w:val="20"/>
                <w:szCs w:val="20"/>
              </w:rPr>
            </w:pPr>
            <w:r>
              <w:rPr>
                <w:b/>
                <w:sz w:val="20"/>
                <w:szCs w:val="20"/>
              </w:rPr>
              <w:t>Demandantes:</w:t>
            </w:r>
          </w:p>
        </w:tc>
        <w:tc>
          <w:tcPr>
            <w:tcW w:w="4410" w:type="dxa"/>
          </w:tcPr>
          <w:p w14:paraId="1125182F" w14:textId="7941B3F8" w:rsidR="005009BA" w:rsidRDefault="005009BA">
            <w:pPr>
              <w:jc w:val="both"/>
              <w:rPr>
                <w:lang w:val="es-419"/>
              </w:rPr>
            </w:pPr>
            <w:r>
              <w:rPr>
                <w:lang w:val="es-419"/>
              </w:rPr>
              <w:t>GLORIA SIABATO GIL</w:t>
            </w:r>
          </w:p>
          <w:p w14:paraId="3846906D" w14:textId="11374A2B" w:rsidR="0057097F" w:rsidRDefault="004D16BA">
            <w:pPr>
              <w:jc w:val="both"/>
              <w:rPr>
                <w:lang w:val="es-419"/>
              </w:rPr>
            </w:pPr>
            <w:r>
              <w:rPr>
                <w:lang w:val="es-419"/>
              </w:rPr>
              <w:t>ANYI JOHANNA GAMBOA SIABATO</w:t>
            </w:r>
          </w:p>
          <w:p w14:paraId="304FED89" w14:textId="0FE212F1" w:rsidR="005009BA" w:rsidRDefault="005009BA">
            <w:pPr>
              <w:jc w:val="both"/>
              <w:rPr>
                <w:lang w:val="es-419"/>
              </w:rPr>
            </w:pPr>
            <w:r>
              <w:rPr>
                <w:lang w:val="es-419"/>
              </w:rPr>
              <w:t>EDIS GAMBOA SIABATO</w:t>
            </w:r>
          </w:p>
          <w:p w14:paraId="0A0CBC89" w14:textId="62C759E7" w:rsidR="005009BA" w:rsidRDefault="005009BA">
            <w:pPr>
              <w:jc w:val="both"/>
              <w:rPr>
                <w:lang w:val="es-419"/>
              </w:rPr>
            </w:pPr>
            <w:r>
              <w:rPr>
                <w:lang w:val="es-419"/>
              </w:rPr>
              <w:t>MIGUEL ANGEL GAMBOA SIABATO</w:t>
            </w:r>
          </w:p>
          <w:p w14:paraId="4DE9DE77" w14:textId="77777777" w:rsidR="004D16BA" w:rsidRDefault="00074C20">
            <w:pPr>
              <w:jc w:val="both"/>
              <w:rPr>
                <w:lang w:val="es-419"/>
              </w:rPr>
            </w:pPr>
            <w:r>
              <w:rPr>
                <w:lang w:val="es-419"/>
              </w:rPr>
              <w:t>MARCELA RINCÓN SIABATO</w:t>
            </w:r>
          </w:p>
          <w:p w14:paraId="2B1DAB33" w14:textId="77777777" w:rsidR="00074C20" w:rsidRDefault="00074C20">
            <w:pPr>
              <w:jc w:val="both"/>
              <w:rPr>
                <w:lang w:val="es-419"/>
              </w:rPr>
            </w:pPr>
            <w:r>
              <w:rPr>
                <w:lang w:val="es-419"/>
              </w:rPr>
              <w:t>ENRIQUE RINCÓN MARÍN</w:t>
            </w:r>
          </w:p>
          <w:p w14:paraId="02CCCBBD" w14:textId="77777777" w:rsidR="005009BA" w:rsidRDefault="005009BA">
            <w:pPr>
              <w:jc w:val="both"/>
              <w:rPr>
                <w:lang w:val="es-419"/>
              </w:rPr>
            </w:pPr>
            <w:r>
              <w:rPr>
                <w:lang w:val="es-419"/>
              </w:rPr>
              <w:t>LUIS ALFONSO QUINTANA LONGA</w:t>
            </w:r>
          </w:p>
          <w:p w14:paraId="500322DB" w14:textId="1051E82B" w:rsidR="005009BA" w:rsidRPr="005A4426" w:rsidRDefault="005009BA">
            <w:pPr>
              <w:jc w:val="both"/>
              <w:rPr>
                <w:lang w:val="es-419"/>
              </w:rPr>
            </w:pPr>
            <w:r>
              <w:rPr>
                <w:lang w:val="es-419"/>
              </w:rPr>
              <w:t>JAMES EDUARDO ANGULO GONZÁLEZ</w:t>
            </w:r>
          </w:p>
        </w:tc>
      </w:tr>
      <w:tr w:rsidR="0057097F" w14:paraId="500322DF" w14:textId="77777777" w:rsidTr="357EB3F4">
        <w:tc>
          <w:tcPr>
            <w:tcW w:w="6000" w:type="dxa"/>
            <w:shd w:val="clear" w:color="auto" w:fill="D9D9D9" w:themeFill="background1" w:themeFillShade="D9"/>
          </w:tcPr>
          <w:p w14:paraId="500322DD" w14:textId="77777777" w:rsidR="0057097F" w:rsidRDefault="000B7A27">
            <w:pPr>
              <w:rPr>
                <w:b/>
                <w:sz w:val="20"/>
                <w:szCs w:val="20"/>
              </w:rPr>
            </w:pPr>
            <w:r>
              <w:rPr>
                <w:b/>
                <w:sz w:val="20"/>
                <w:szCs w:val="20"/>
              </w:rPr>
              <w:t>Demandados:</w:t>
            </w:r>
          </w:p>
        </w:tc>
        <w:tc>
          <w:tcPr>
            <w:tcW w:w="4410" w:type="dxa"/>
          </w:tcPr>
          <w:p w14:paraId="6AC288A2" w14:textId="77777777" w:rsidR="0057097F" w:rsidRDefault="00074C20">
            <w:pPr>
              <w:jc w:val="both"/>
            </w:pPr>
            <w:r>
              <w:t>LIBERTY SEGUROS S.A.</w:t>
            </w:r>
          </w:p>
          <w:p w14:paraId="27AD1A2E" w14:textId="36033B03" w:rsidR="005009BA" w:rsidRDefault="005009BA">
            <w:pPr>
              <w:jc w:val="both"/>
            </w:pPr>
            <w:r>
              <w:t>SEGUROS ALFA S.A.</w:t>
            </w:r>
          </w:p>
          <w:p w14:paraId="64714EDD" w14:textId="31446395" w:rsidR="00074C20" w:rsidRDefault="00074C20">
            <w:pPr>
              <w:jc w:val="both"/>
            </w:pPr>
            <w:r>
              <w:t>PAULA ANDREA SUÁREZ JARAMILLO</w:t>
            </w:r>
          </w:p>
          <w:p w14:paraId="500322DE" w14:textId="0F7B9AA6" w:rsidR="00074C20" w:rsidRDefault="00074C20">
            <w:pPr>
              <w:jc w:val="both"/>
            </w:pPr>
            <w:r>
              <w:t>JOHN ALFONSO CALLE PALACIO</w:t>
            </w:r>
          </w:p>
        </w:tc>
      </w:tr>
      <w:tr w:rsidR="0057097F" w14:paraId="500322E2" w14:textId="77777777" w:rsidTr="357EB3F4">
        <w:tc>
          <w:tcPr>
            <w:tcW w:w="6000" w:type="dxa"/>
            <w:shd w:val="clear" w:color="auto" w:fill="D9D9D9" w:themeFill="background1" w:themeFillShade="D9"/>
          </w:tcPr>
          <w:p w14:paraId="500322E0" w14:textId="77777777" w:rsidR="0057097F" w:rsidRDefault="000B7A27">
            <w:pPr>
              <w:rPr>
                <w:b/>
                <w:sz w:val="20"/>
                <w:szCs w:val="20"/>
              </w:rPr>
            </w:pPr>
            <w:r>
              <w:rPr>
                <w:b/>
                <w:sz w:val="20"/>
                <w:szCs w:val="20"/>
              </w:rPr>
              <w:t>Tipo de vinculación de Liberty (directa, llamamiento en garantía, litisconsorte):</w:t>
            </w:r>
          </w:p>
        </w:tc>
        <w:tc>
          <w:tcPr>
            <w:tcW w:w="4410" w:type="dxa"/>
          </w:tcPr>
          <w:p w14:paraId="500322E1" w14:textId="6F784938" w:rsidR="0057097F" w:rsidRDefault="00987F76">
            <w:pPr>
              <w:jc w:val="both"/>
            </w:pPr>
            <w:r>
              <w:t xml:space="preserve">Directa y </w:t>
            </w:r>
            <w:r w:rsidR="00A81295">
              <w:t>Llamamiento en garantía</w:t>
            </w:r>
          </w:p>
        </w:tc>
      </w:tr>
      <w:tr w:rsidR="0057097F" w14:paraId="500322E5" w14:textId="77777777" w:rsidTr="357EB3F4">
        <w:tc>
          <w:tcPr>
            <w:tcW w:w="6000" w:type="dxa"/>
            <w:shd w:val="clear" w:color="auto" w:fill="D9D9D9" w:themeFill="background1" w:themeFillShade="D9"/>
          </w:tcPr>
          <w:p w14:paraId="500322E3" w14:textId="77777777" w:rsidR="0057097F" w:rsidRDefault="000B7A27">
            <w:pPr>
              <w:rPr>
                <w:b/>
                <w:sz w:val="20"/>
                <w:szCs w:val="20"/>
              </w:rPr>
            </w:pPr>
            <w:r>
              <w:rPr>
                <w:b/>
                <w:sz w:val="20"/>
                <w:szCs w:val="20"/>
              </w:rPr>
              <w:t>Resumen de los hechos:</w:t>
            </w:r>
          </w:p>
        </w:tc>
        <w:tc>
          <w:tcPr>
            <w:tcW w:w="4410" w:type="dxa"/>
          </w:tcPr>
          <w:p w14:paraId="4469B306" w14:textId="77777777" w:rsidR="0057097F" w:rsidRDefault="00B61985">
            <w:pPr>
              <w:jc w:val="both"/>
            </w:pPr>
            <w:r>
              <w:t xml:space="preserve">El 19 de enero de 2024 alrededor de las </w:t>
            </w:r>
            <w:r w:rsidR="00635EF1">
              <w:t xml:space="preserve">16:40 horas se presentó un accidente de tránsito sobre la vía Buenaventura – Buga Kilómetro 41+424, donde estuvo involucrado el vehículo de placas LES 925 conducido por la señora Paula Andrea Suárez Jaramillo, y la señora Gloria </w:t>
            </w:r>
            <w:proofErr w:type="spellStart"/>
            <w:r w:rsidR="00635EF1">
              <w:t>Siabato</w:t>
            </w:r>
            <w:proofErr w:type="spellEnd"/>
            <w:r w:rsidR="00635EF1">
              <w:t xml:space="preserve"> Gil como peatona. </w:t>
            </w:r>
          </w:p>
          <w:p w14:paraId="43E51CB1" w14:textId="77777777" w:rsidR="008838F7" w:rsidRDefault="008838F7">
            <w:pPr>
              <w:jc w:val="both"/>
            </w:pPr>
          </w:p>
          <w:p w14:paraId="1B9BFCF6" w14:textId="77777777" w:rsidR="008838F7" w:rsidRDefault="008838F7">
            <w:pPr>
              <w:jc w:val="both"/>
            </w:pPr>
            <w:r>
              <w:t xml:space="preserve">Según el Informe Policial de Accidente de Tránsito, el vehículo de placas LES 925 fue codificado </w:t>
            </w:r>
            <w:r w:rsidR="002277CA">
              <w:t xml:space="preserve">con el código 157 </w:t>
            </w:r>
            <w:r w:rsidR="00445F37">
              <w:t xml:space="preserve">“Transitar parcialmente por la berma”. </w:t>
            </w:r>
          </w:p>
          <w:p w14:paraId="7F419CE7" w14:textId="77777777" w:rsidR="007B74BF" w:rsidRDefault="007B74BF">
            <w:pPr>
              <w:jc w:val="both"/>
            </w:pPr>
          </w:p>
          <w:p w14:paraId="4B9B37C5" w14:textId="0AE50648" w:rsidR="007B74BF" w:rsidRDefault="00C87FDB">
            <w:pPr>
              <w:jc w:val="both"/>
            </w:pPr>
            <w:r>
              <w:t xml:space="preserve">La señora Gloria </w:t>
            </w:r>
            <w:proofErr w:type="spellStart"/>
            <w:r>
              <w:t>Siabato</w:t>
            </w:r>
            <w:proofErr w:type="spellEnd"/>
            <w:r>
              <w:t xml:space="preserve"> Gil resultó lesionada, y fue trasladada en ambulancia al hospital “José Rufino Vivan” del municipio de Dagua (Valle), pero por la gravedad de sus lesiones tuvo que ser remitida al Hospital Universitario del Valle “Evaristo García” E.S.E. de la ciudad de Cali, donde fue internada en la Unidad de Cuidados Intensivos. </w:t>
            </w:r>
          </w:p>
          <w:p w14:paraId="7B60F5BE" w14:textId="77777777" w:rsidR="00401EDB" w:rsidRDefault="00401EDB">
            <w:pPr>
              <w:jc w:val="both"/>
            </w:pPr>
          </w:p>
          <w:p w14:paraId="606E5132" w14:textId="552C2F9F" w:rsidR="00401EDB" w:rsidRDefault="00401EDB">
            <w:pPr>
              <w:jc w:val="both"/>
            </w:pPr>
            <w:r>
              <w:lastRenderedPageBreak/>
              <w:t xml:space="preserve">Según lo narrado en la demanda, la señora </w:t>
            </w:r>
            <w:proofErr w:type="spellStart"/>
            <w:r>
              <w:t>Siabato</w:t>
            </w:r>
            <w:proofErr w:type="spellEnd"/>
            <w:r>
              <w:t xml:space="preserve"> Gil estuvo hospitalizada en la UCI CRÍTICOS QUIRÚRGICO, del Hospital Universitario del Valle, desde el día del accidente de tránsito</w:t>
            </w:r>
            <w:r w:rsidR="001142F7">
              <w:t xml:space="preserve">. </w:t>
            </w:r>
            <w:r w:rsidR="00D62FF9">
              <w:t>Actualmente se informa que la víctima ha tenido que recibir distintos tratamientos por neurocirugía, psicología y oftalmología.</w:t>
            </w:r>
          </w:p>
          <w:p w14:paraId="500322E4" w14:textId="2DFF0628" w:rsidR="00445F37" w:rsidRDefault="00445F37">
            <w:pPr>
              <w:jc w:val="both"/>
            </w:pPr>
          </w:p>
        </w:tc>
      </w:tr>
      <w:tr w:rsidR="0057097F" w14:paraId="500322E8" w14:textId="77777777" w:rsidTr="357EB3F4">
        <w:tc>
          <w:tcPr>
            <w:tcW w:w="6000" w:type="dxa"/>
            <w:shd w:val="clear" w:color="auto" w:fill="D9D9D9" w:themeFill="background1" w:themeFillShade="D9"/>
          </w:tcPr>
          <w:p w14:paraId="500322E6" w14:textId="77777777" w:rsidR="0057097F" w:rsidRDefault="000B7A27">
            <w:pPr>
              <w:rPr>
                <w:b/>
                <w:sz w:val="20"/>
                <w:szCs w:val="20"/>
              </w:rPr>
            </w:pPr>
            <w:r>
              <w:rPr>
                <w:b/>
                <w:sz w:val="20"/>
                <w:szCs w:val="20"/>
              </w:rPr>
              <w:lastRenderedPageBreak/>
              <w:t>Descripción de las pretensiones:</w:t>
            </w:r>
          </w:p>
        </w:tc>
        <w:tc>
          <w:tcPr>
            <w:tcW w:w="4410" w:type="dxa"/>
          </w:tcPr>
          <w:p w14:paraId="1F9351B5" w14:textId="77777777" w:rsidR="0057097F" w:rsidRDefault="0018697E">
            <w:pPr>
              <w:jc w:val="both"/>
            </w:pPr>
            <w:r>
              <w:t xml:space="preserve">Hay pretensiones de orden declarativo, es decir, solicitando que se declare civil y extracontractualmente responsables a los demandados por los graves perjuicios materiales e inmateriales causados a los demandantes. </w:t>
            </w:r>
          </w:p>
          <w:p w14:paraId="62397C5B" w14:textId="77777777" w:rsidR="0018697E" w:rsidRDefault="0018697E">
            <w:pPr>
              <w:jc w:val="both"/>
            </w:pPr>
          </w:p>
          <w:p w14:paraId="483ACD8A" w14:textId="163E9BC4" w:rsidR="0018697E" w:rsidRDefault="00920A7D">
            <w:pPr>
              <w:jc w:val="both"/>
            </w:pPr>
            <w:r>
              <w:t>Además,</w:t>
            </w:r>
            <w:r w:rsidR="0018697E">
              <w:t xml:space="preserve"> se solicita que se condene de manera directa a la compañía aseguradora con sustento en el contrato de seguro.</w:t>
            </w:r>
          </w:p>
          <w:p w14:paraId="04C58CEC" w14:textId="77777777" w:rsidR="0018697E" w:rsidRDefault="0018697E">
            <w:pPr>
              <w:jc w:val="both"/>
            </w:pPr>
          </w:p>
          <w:p w14:paraId="2735F843" w14:textId="77777777" w:rsidR="0018697E" w:rsidRDefault="0018697E">
            <w:pPr>
              <w:jc w:val="both"/>
            </w:pPr>
            <w:r>
              <w:t>En cuanto a los rubros solicitados se solicitaron:</w:t>
            </w:r>
          </w:p>
          <w:p w14:paraId="7E89A6D9" w14:textId="77777777" w:rsidR="0018697E" w:rsidRDefault="0018697E">
            <w:pPr>
              <w:jc w:val="both"/>
            </w:pPr>
          </w:p>
          <w:p w14:paraId="30EA8212" w14:textId="77777777" w:rsidR="0018697E" w:rsidRDefault="0018697E" w:rsidP="0018697E">
            <w:pPr>
              <w:pStyle w:val="Prrafodelista"/>
              <w:numPr>
                <w:ilvl w:val="0"/>
                <w:numId w:val="4"/>
              </w:numPr>
              <w:jc w:val="both"/>
            </w:pPr>
            <w:r>
              <w:t>Perjuicio moral</w:t>
            </w:r>
          </w:p>
          <w:p w14:paraId="6A68184E" w14:textId="77777777" w:rsidR="0018697E" w:rsidRDefault="0018697E" w:rsidP="0018697E">
            <w:pPr>
              <w:pStyle w:val="Prrafodelista"/>
              <w:numPr>
                <w:ilvl w:val="0"/>
                <w:numId w:val="4"/>
              </w:numPr>
              <w:jc w:val="both"/>
            </w:pPr>
            <w:r>
              <w:t xml:space="preserve">Perjuicio a la vida de relación </w:t>
            </w:r>
          </w:p>
          <w:p w14:paraId="346C4365" w14:textId="77777777" w:rsidR="0018697E" w:rsidRDefault="0018697E" w:rsidP="0018697E">
            <w:pPr>
              <w:pStyle w:val="Prrafodelista"/>
              <w:numPr>
                <w:ilvl w:val="0"/>
                <w:numId w:val="4"/>
              </w:numPr>
              <w:jc w:val="both"/>
            </w:pPr>
            <w:r>
              <w:t xml:space="preserve">Daño a la pérdida de oportunidad </w:t>
            </w:r>
          </w:p>
          <w:p w14:paraId="1E740597" w14:textId="4FBCF6A6" w:rsidR="00FD1527" w:rsidRDefault="00FD1527" w:rsidP="0018697E">
            <w:pPr>
              <w:pStyle w:val="Prrafodelista"/>
              <w:numPr>
                <w:ilvl w:val="0"/>
                <w:numId w:val="4"/>
              </w:numPr>
              <w:jc w:val="both"/>
            </w:pPr>
            <w:r>
              <w:t>Daño a la salud</w:t>
            </w:r>
          </w:p>
          <w:p w14:paraId="2F9D17DF" w14:textId="0E555FCD" w:rsidR="00FD1527" w:rsidRDefault="00FD1527" w:rsidP="0018697E">
            <w:pPr>
              <w:pStyle w:val="Prrafodelista"/>
              <w:numPr>
                <w:ilvl w:val="0"/>
                <w:numId w:val="4"/>
              </w:numPr>
              <w:jc w:val="both"/>
            </w:pPr>
            <w:r>
              <w:t>Daño emergente</w:t>
            </w:r>
          </w:p>
          <w:p w14:paraId="139C621E" w14:textId="39234D29" w:rsidR="00FD1527" w:rsidRDefault="00FD1527" w:rsidP="0018697E">
            <w:pPr>
              <w:pStyle w:val="Prrafodelista"/>
              <w:numPr>
                <w:ilvl w:val="0"/>
                <w:numId w:val="4"/>
              </w:numPr>
              <w:jc w:val="both"/>
            </w:pPr>
            <w:r>
              <w:t>Lucro cesante</w:t>
            </w:r>
          </w:p>
          <w:p w14:paraId="11544A04" w14:textId="77777777" w:rsidR="0018697E" w:rsidRDefault="0018697E" w:rsidP="0018697E">
            <w:pPr>
              <w:jc w:val="both"/>
            </w:pPr>
          </w:p>
          <w:p w14:paraId="66250664" w14:textId="777D1520" w:rsidR="0018697E" w:rsidRDefault="0018697E" w:rsidP="0018697E">
            <w:pPr>
              <w:jc w:val="both"/>
            </w:pPr>
            <w:r>
              <w:t>Además, la parte demandante solicita condena a la compañía aseguradora por intereses de mora, de acuerdo con lo previsto en el artículo 1080 del Código de Comercio, alegando que, los mismos se causaron a partir del mes siguiente a la fecha de presentación de la reclamación extrajudicial, la radicación de la demanda o la notificación del auto admisorio.</w:t>
            </w:r>
          </w:p>
          <w:p w14:paraId="1B9B72F4" w14:textId="77777777" w:rsidR="0018697E" w:rsidRDefault="0018697E" w:rsidP="0018697E">
            <w:pPr>
              <w:jc w:val="both"/>
            </w:pPr>
          </w:p>
          <w:p w14:paraId="500322E7" w14:textId="65C852DE" w:rsidR="0018697E" w:rsidRDefault="0018697E" w:rsidP="0018697E">
            <w:pPr>
              <w:jc w:val="both"/>
            </w:pPr>
            <w:r>
              <w:t xml:space="preserve">Finalmente se solicita la condena de intereses moratorios a todos los demandados, y la condena en costas y agencias en derecho.  </w:t>
            </w:r>
          </w:p>
        </w:tc>
      </w:tr>
      <w:tr w:rsidR="0057097F" w14:paraId="500322EB" w14:textId="77777777" w:rsidTr="357EB3F4">
        <w:tc>
          <w:tcPr>
            <w:tcW w:w="6000" w:type="dxa"/>
            <w:shd w:val="clear" w:color="auto" w:fill="D9D9D9" w:themeFill="background1" w:themeFillShade="D9"/>
          </w:tcPr>
          <w:p w14:paraId="500322E9" w14:textId="77777777" w:rsidR="0057097F" w:rsidRDefault="000B7A27">
            <w:pPr>
              <w:rPr>
                <w:b/>
                <w:sz w:val="20"/>
                <w:szCs w:val="20"/>
              </w:rPr>
            </w:pPr>
            <w:r>
              <w:rPr>
                <w:b/>
                <w:sz w:val="20"/>
                <w:szCs w:val="20"/>
              </w:rPr>
              <w:t>Pretensiones cuantificadas ($):</w:t>
            </w:r>
          </w:p>
        </w:tc>
        <w:tc>
          <w:tcPr>
            <w:tcW w:w="4410" w:type="dxa"/>
          </w:tcPr>
          <w:p w14:paraId="596CE742" w14:textId="3E1264B4" w:rsidR="0057097F" w:rsidRDefault="00D96D92">
            <w:pPr>
              <w:jc w:val="both"/>
            </w:pPr>
            <w:r>
              <w:rPr>
                <w:b/>
                <w:bCs/>
              </w:rPr>
              <w:t xml:space="preserve">Daño moral: </w:t>
            </w:r>
            <w:r>
              <w:t>$</w:t>
            </w:r>
            <w:r w:rsidR="00C31BC4">
              <w:t>1.040.000.000</w:t>
            </w:r>
          </w:p>
          <w:p w14:paraId="747E0D9D" w14:textId="68640C91" w:rsidR="00D96D92" w:rsidRDefault="00D96D92">
            <w:pPr>
              <w:jc w:val="both"/>
            </w:pPr>
            <w:r>
              <w:rPr>
                <w:b/>
                <w:bCs/>
              </w:rPr>
              <w:t xml:space="preserve">Daño a la vida de relación: </w:t>
            </w:r>
            <w:r w:rsidRPr="00D96D92">
              <w:t>$</w:t>
            </w:r>
            <w:r w:rsidR="00C31BC4">
              <w:t>1.040.000.000</w:t>
            </w:r>
            <w:r w:rsidR="00C31BC4">
              <w:t>.</w:t>
            </w:r>
          </w:p>
          <w:p w14:paraId="4D8EAB66" w14:textId="1662CC55" w:rsidR="004D6F5F" w:rsidRDefault="004D6F5F">
            <w:pPr>
              <w:jc w:val="both"/>
            </w:pPr>
            <w:r>
              <w:rPr>
                <w:b/>
                <w:bCs/>
              </w:rPr>
              <w:t xml:space="preserve">Perdida de oportunidad: </w:t>
            </w:r>
            <w:r>
              <w:t>$</w:t>
            </w:r>
            <w:r w:rsidR="00C31BC4">
              <w:t>1.040.000.000</w:t>
            </w:r>
            <w:r w:rsidR="00C31BC4">
              <w:t>.</w:t>
            </w:r>
          </w:p>
          <w:p w14:paraId="3B943020" w14:textId="64C4080E" w:rsidR="00FD1527" w:rsidRDefault="00FD1527">
            <w:pPr>
              <w:jc w:val="both"/>
            </w:pPr>
            <w:r>
              <w:rPr>
                <w:b/>
                <w:bCs/>
              </w:rPr>
              <w:t xml:space="preserve">Daño a la salud: </w:t>
            </w:r>
            <w:r>
              <w:t>$130.000.000</w:t>
            </w:r>
          </w:p>
          <w:p w14:paraId="64C01873" w14:textId="77E91AEE" w:rsidR="00BC03C2" w:rsidRDefault="00BC03C2">
            <w:pPr>
              <w:jc w:val="both"/>
            </w:pPr>
            <w:r>
              <w:rPr>
                <w:b/>
                <w:bCs/>
              </w:rPr>
              <w:t xml:space="preserve">Daño emergente: </w:t>
            </w:r>
            <w:r>
              <w:t>$10.000.000</w:t>
            </w:r>
          </w:p>
          <w:p w14:paraId="51D3942B" w14:textId="30E3CCF1" w:rsidR="00B56AE1" w:rsidRPr="00B56AE1" w:rsidRDefault="00B56AE1">
            <w:pPr>
              <w:jc w:val="both"/>
            </w:pPr>
            <w:r>
              <w:rPr>
                <w:b/>
                <w:bCs/>
              </w:rPr>
              <w:t xml:space="preserve">Lucro cesante: </w:t>
            </w:r>
            <w:r>
              <w:t>412.216.084</w:t>
            </w:r>
          </w:p>
          <w:p w14:paraId="6EFB5A98" w14:textId="77777777" w:rsidR="00070EA9" w:rsidRDefault="00070EA9">
            <w:pPr>
              <w:jc w:val="both"/>
            </w:pPr>
          </w:p>
          <w:p w14:paraId="500322EA" w14:textId="6EA35B1A" w:rsidR="00070EA9" w:rsidRPr="00BE63E0" w:rsidRDefault="00070EA9">
            <w:pPr>
              <w:jc w:val="both"/>
            </w:pPr>
            <w:r>
              <w:rPr>
                <w:b/>
                <w:bCs/>
              </w:rPr>
              <w:lastRenderedPageBreak/>
              <w:t xml:space="preserve">Total: </w:t>
            </w:r>
            <w:r w:rsidR="00BE63E0">
              <w:t>$</w:t>
            </w:r>
            <w:r w:rsidR="00C31BC4">
              <w:t>3.672.216.084</w:t>
            </w:r>
          </w:p>
        </w:tc>
      </w:tr>
      <w:tr w:rsidR="0057097F" w14:paraId="500322EE" w14:textId="77777777" w:rsidTr="357EB3F4">
        <w:tc>
          <w:tcPr>
            <w:tcW w:w="6000" w:type="dxa"/>
            <w:shd w:val="clear" w:color="auto" w:fill="D9D9D9" w:themeFill="background1" w:themeFillShade="D9"/>
          </w:tcPr>
          <w:p w14:paraId="500322EC" w14:textId="77777777" w:rsidR="0057097F" w:rsidRDefault="000B7A27">
            <w:pPr>
              <w:rPr>
                <w:b/>
                <w:sz w:val="20"/>
                <w:szCs w:val="20"/>
              </w:rPr>
            </w:pPr>
            <w:r>
              <w:rPr>
                <w:b/>
                <w:sz w:val="20"/>
                <w:szCs w:val="20"/>
              </w:rPr>
              <w:lastRenderedPageBreak/>
              <w:t>Valor asegurado amparos afectados:</w:t>
            </w:r>
          </w:p>
        </w:tc>
        <w:tc>
          <w:tcPr>
            <w:tcW w:w="4410" w:type="dxa"/>
          </w:tcPr>
          <w:p w14:paraId="500322ED" w14:textId="635C96EF" w:rsidR="0057097F" w:rsidRPr="004D6F5F" w:rsidRDefault="004D6F5F" w:rsidP="357EB3F4">
            <w:r w:rsidRPr="004D6F5F">
              <w:t>$</w:t>
            </w:r>
            <w:r w:rsidR="00F83A74" w:rsidRPr="004D6F5F">
              <w:t>4.400.000.000</w:t>
            </w:r>
          </w:p>
        </w:tc>
      </w:tr>
      <w:tr w:rsidR="0057097F" w14:paraId="500322F1" w14:textId="77777777" w:rsidTr="357EB3F4">
        <w:tc>
          <w:tcPr>
            <w:tcW w:w="6000" w:type="dxa"/>
            <w:shd w:val="clear" w:color="auto" w:fill="D9D9D9" w:themeFill="background1" w:themeFillShade="D9"/>
          </w:tcPr>
          <w:p w14:paraId="500322EF" w14:textId="77777777" w:rsidR="0057097F" w:rsidRDefault="000B7A27">
            <w:pPr>
              <w:rPr>
                <w:b/>
                <w:sz w:val="20"/>
                <w:szCs w:val="20"/>
              </w:rPr>
            </w:pPr>
            <w:r>
              <w:rPr>
                <w:b/>
                <w:sz w:val="20"/>
                <w:szCs w:val="20"/>
              </w:rPr>
              <w:t>Valoración objetiva de las pretensiones:</w:t>
            </w:r>
          </w:p>
        </w:tc>
        <w:tc>
          <w:tcPr>
            <w:tcW w:w="4410" w:type="dxa"/>
          </w:tcPr>
          <w:p w14:paraId="7A447230" w14:textId="77777777" w:rsidR="0026253A" w:rsidRDefault="0026253A" w:rsidP="0026253A">
            <w:pPr>
              <w:jc w:val="both"/>
            </w:pPr>
          </w:p>
          <w:p w14:paraId="71FB245C" w14:textId="0893AB64" w:rsidR="0026253A" w:rsidRDefault="0026253A" w:rsidP="0026253A">
            <w:pPr>
              <w:jc w:val="both"/>
            </w:pPr>
            <w:r>
              <w:t xml:space="preserve">La liquidación objetiva de las pretensiones se tasa en la suma de </w:t>
            </w:r>
            <w:r w:rsidR="00264651">
              <w:t>$242.112.500</w:t>
            </w:r>
            <w:r>
              <w:t xml:space="preserve">, de acuerdo con los argumentos que a continuación se exponen: </w:t>
            </w:r>
          </w:p>
          <w:p w14:paraId="14E65271" w14:textId="77777777" w:rsidR="0026253A" w:rsidRPr="00E8717D" w:rsidRDefault="0026253A" w:rsidP="0026253A">
            <w:pPr>
              <w:jc w:val="both"/>
            </w:pPr>
          </w:p>
          <w:p w14:paraId="7B73F2AB" w14:textId="5F3B2F0A" w:rsidR="0026253A" w:rsidRDefault="0026253A" w:rsidP="0026253A">
            <w:pPr>
              <w:jc w:val="both"/>
            </w:pPr>
            <w:r w:rsidRPr="632A37F0">
              <w:rPr>
                <w:b/>
                <w:bCs/>
              </w:rPr>
              <w:t>PERJUICIOS MATERIALES</w:t>
            </w:r>
            <w:r>
              <w:rPr>
                <w:b/>
                <w:bCs/>
              </w:rPr>
              <w:t xml:space="preserve">: </w:t>
            </w:r>
          </w:p>
          <w:p w14:paraId="1C5985BB" w14:textId="77777777" w:rsidR="00B56AE1" w:rsidRDefault="00B56AE1" w:rsidP="0026253A">
            <w:pPr>
              <w:jc w:val="both"/>
            </w:pPr>
          </w:p>
          <w:p w14:paraId="19EC2367" w14:textId="5BF22A4A" w:rsidR="00B56AE1" w:rsidRDefault="00B56AE1" w:rsidP="0026253A">
            <w:pPr>
              <w:jc w:val="both"/>
            </w:pPr>
            <w:r>
              <w:rPr>
                <w:b/>
                <w:bCs/>
              </w:rPr>
              <w:t xml:space="preserve">Daño emergente: </w:t>
            </w:r>
          </w:p>
          <w:p w14:paraId="5E0F6C89" w14:textId="77777777" w:rsidR="00BA2F81" w:rsidRDefault="00BA2F81" w:rsidP="0026253A">
            <w:pPr>
              <w:jc w:val="both"/>
            </w:pPr>
          </w:p>
          <w:p w14:paraId="3C0F1502" w14:textId="30C3C861" w:rsidR="00BA2F81" w:rsidRDefault="00BA2F81" w:rsidP="0026253A">
            <w:pPr>
              <w:jc w:val="both"/>
            </w:pPr>
            <w:r>
              <w:t>No se reconoce ninguna suma por este concepto, ya que la parte demandante aporta facturas en las que la información no es totalmente legible, e igualmente, no todas ellas contienen la descripción del producto o servicio prestado. Además, los medicamentos referidos en las facturas aportadas no coinciden con los recetados conforme se describe en la historia clínica, por lo que no se puede establecer una relación entre los gastos asumidos y el daño sufrido por la víctima.</w:t>
            </w:r>
          </w:p>
          <w:p w14:paraId="41C9170A" w14:textId="77777777" w:rsidR="00F53C58" w:rsidRDefault="00F53C58" w:rsidP="0026253A">
            <w:pPr>
              <w:jc w:val="both"/>
            </w:pPr>
          </w:p>
          <w:p w14:paraId="58D07BF4" w14:textId="4F3C3969" w:rsidR="00F53C58" w:rsidRDefault="00F53C58" w:rsidP="0026253A">
            <w:pPr>
              <w:jc w:val="both"/>
              <w:rPr>
                <w:b/>
                <w:bCs/>
              </w:rPr>
            </w:pPr>
            <w:r>
              <w:rPr>
                <w:b/>
                <w:bCs/>
              </w:rPr>
              <w:t>Lucro cesante</w:t>
            </w:r>
            <w:r w:rsidR="00942B22">
              <w:rPr>
                <w:b/>
                <w:bCs/>
              </w:rPr>
              <w:t xml:space="preserve"> consolidado</w:t>
            </w:r>
            <w:r>
              <w:rPr>
                <w:b/>
                <w:bCs/>
              </w:rPr>
              <w:t>:</w:t>
            </w:r>
          </w:p>
          <w:p w14:paraId="05741426" w14:textId="77777777" w:rsidR="00F53C58" w:rsidRDefault="00F53C58" w:rsidP="0026253A">
            <w:pPr>
              <w:jc w:val="both"/>
              <w:rPr>
                <w:b/>
                <w:bCs/>
              </w:rPr>
            </w:pPr>
          </w:p>
          <w:p w14:paraId="657008A5" w14:textId="6E00AEBD" w:rsidR="00CC7DE3" w:rsidRDefault="006D3704" w:rsidP="0026253A">
            <w:pPr>
              <w:jc w:val="both"/>
            </w:pPr>
            <w:r>
              <w:t>Se tasa en $2.112.500 a favor del señor Enrique Rincón. Debe aclararse que, pese a la ambigüedad de la pretensión, el cálculo de este perjuicio</w:t>
            </w:r>
            <w:r w:rsidR="00942B22">
              <w:t xml:space="preserve"> en el escrito de la demanda</w:t>
            </w:r>
            <w:r>
              <w:t xml:space="preserve"> se realiza sobre el supuesto de que el mencionado demandante recibirá dicho resarcimiento debido a la delicada situación de salud de la víctima. </w:t>
            </w:r>
            <w:r w:rsidR="003403F3">
              <w:t xml:space="preserve"> </w:t>
            </w:r>
            <w:r w:rsidR="00CC7DE3">
              <w:t>Ahora bien, existe la posibilidad de que el juzgado interprete la aclaración realizada en el juramento estimatorio y conceda el resarcimiento al accionante</w:t>
            </w:r>
            <w:r w:rsidR="00942B22">
              <w:t>, por lo tanto, este se calcula con base en el salario mínimo actual ante la falta de prueba de un ingreso de diferente valor</w:t>
            </w:r>
            <w:r w:rsidR="008D34C6">
              <w:t xml:space="preserve">, teniendo en cuenta que al momento del accidente la víctima se encontraba en </w:t>
            </w:r>
            <w:r w:rsidR="00FE1716">
              <w:t>edad</w:t>
            </w:r>
            <w:r w:rsidR="008D34C6">
              <w:t xml:space="preserve"> productiva.</w:t>
            </w:r>
            <w:r w:rsidR="00566100">
              <w:t xml:space="preserve"> Lo anterior, con base en la sentencia </w:t>
            </w:r>
            <w:r w:rsidR="00566100" w:rsidRPr="00566100">
              <w:t xml:space="preserve">SC20950-2017 con ponencia del doctor Ariel Salazar Ramírez (12 de diciembre de 2017), donde se determina que, ante la ausencia de acreditación de los ingresos, para la tasación del lucro cesante </w:t>
            </w:r>
            <w:r w:rsidR="00566100" w:rsidRPr="00566100">
              <w:lastRenderedPageBreak/>
              <w:t>debe acogerse el salario mínimo legal mensual vigente. </w:t>
            </w:r>
          </w:p>
          <w:p w14:paraId="4D018CBE" w14:textId="77777777" w:rsidR="00942B22" w:rsidRDefault="00942B22" w:rsidP="0026253A">
            <w:pPr>
              <w:jc w:val="both"/>
            </w:pPr>
          </w:p>
          <w:p w14:paraId="2AB8DCE8" w14:textId="3C02542A" w:rsidR="00942B22" w:rsidRDefault="00942B22" w:rsidP="0026253A">
            <w:pPr>
              <w:jc w:val="both"/>
            </w:pPr>
            <w:r>
              <w:t>Al salario mínimo anteriormente referido se le debe restar el 25% correspondiente al sostenimiento propio de la víctima. Acto seguido, se c</w:t>
            </w:r>
            <w:r w:rsidR="00D648E7">
              <w:t>alcula este perjuicio sobre 65 días, término que corresponde a la incapacidad médico legal temporal otorgada por el Instituto de Medicina Legal.</w:t>
            </w:r>
            <w:r w:rsidR="0078156B">
              <w:t xml:space="preserve"> Por lo tanto, el valor calculado corresponde a 65 días de salario.</w:t>
            </w:r>
          </w:p>
          <w:p w14:paraId="499D3E4A" w14:textId="77777777" w:rsidR="0078156B" w:rsidRDefault="0078156B" w:rsidP="0026253A">
            <w:pPr>
              <w:jc w:val="both"/>
            </w:pPr>
          </w:p>
          <w:p w14:paraId="262963B5" w14:textId="705A345B" w:rsidR="0078156B" w:rsidRDefault="0078156B" w:rsidP="0026253A">
            <w:pPr>
              <w:jc w:val="both"/>
              <w:rPr>
                <w:b/>
                <w:bCs/>
              </w:rPr>
            </w:pPr>
            <w:r>
              <w:rPr>
                <w:b/>
                <w:bCs/>
              </w:rPr>
              <w:t>Lucro cesante futuro:</w:t>
            </w:r>
          </w:p>
          <w:p w14:paraId="006CA6DA" w14:textId="77777777" w:rsidR="0078156B" w:rsidRDefault="0078156B" w:rsidP="0026253A">
            <w:pPr>
              <w:jc w:val="both"/>
              <w:rPr>
                <w:b/>
                <w:bCs/>
              </w:rPr>
            </w:pPr>
          </w:p>
          <w:p w14:paraId="1A8C4A04" w14:textId="3F078EC8" w:rsidR="0078156B" w:rsidRDefault="0078156B" w:rsidP="0026253A">
            <w:pPr>
              <w:jc w:val="both"/>
            </w:pPr>
            <w:r>
              <w:t>Por el momento no se reconoce ningún valor por este tipo de perjuicio ya que aún no consta dentro del proceso el dictamen de invalidez con el porcentaje de PCL.</w:t>
            </w:r>
          </w:p>
          <w:p w14:paraId="55993916" w14:textId="77777777" w:rsidR="0078156B" w:rsidRDefault="0078156B" w:rsidP="0026253A">
            <w:pPr>
              <w:jc w:val="both"/>
            </w:pPr>
          </w:p>
          <w:p w14:paraId="125B8474" w14:textId="55B5F15B" w:rsidR="00F53C58" w:rsidRPr="007616C0" w:rsidRDefault="0078156B" w:rsidP="0026253A">
            <w:pPr>
              <w:jc w:val="both"/>
            </w:pPr>
            <w:r>
              <w:t xml:space="preserve">No </w:t>
            </w:r>
            <w:proofErr w:type="gramStart"/>
            <w:r>
              <w:t>obstante</w:t>
            </w:r>
            <w:proofErr w:type="gramEnd"/>
            <w:r>
              <w:t xml:space="preserve"> lo anterior, el lucro cesante en sus modalidades de consolidado y futuro deberá calcularse nuevamente una vez se cuente con el dictamen </w:t>
            </w:r>
            <w:r w:rsidR="00CE66E0">
              <w:t>de PCL</w:t>
            </w:r>
            <w:r>
              <w:t>.</w:t>
            </w:r>
          </w:p>
          <w:p w14:paraId="4B12B2A0" w14:textId="77777777" w:rsidR="0026253A" w:rsidRDefault="0026253A" w:rsidP="0026253A">
            <w:pPr>
              <w:jc w:val="both"/>
            </w:pPr>
          </w:p>
          <w:p w14:paraId="4AAEE172" w14:textId="2A31944A" w:rsidR="0026253A" w:rsidRDefault="0026253A" w:rsidP="0026253A">
            <w:pPr>
              <w:jc w:val="both"/>
            </w:pPr>
            <w:r>
              <w:t xml:space="preserve">                                                               </w:t>
            </w:r>
          </w:p>
          <w:p w14:paraId="320BAE5A" w14:textId="77777777" w:rsidR="0026253A" w:rsidRDefault="0026253A" w:rsidP="0026253A">
            <w:pPr>
              <w:jc w:val="both"/>
              <w:rPr>
                <w:b/>
                <w:bCs/>
              </w:rPr>
            </w:pPr>
            <w:r w:rsidRPr="632A37F0">
              <w:rPr>
                <w:b/>
                <w:bCs/>
              </w:rPr>
              <w:t>PERJUICIOS INMATERIALES</w:t>
            </w:r>
          </w:p>
          <w:p w14:paraId="21B6C237" w14:textId="77777777" w:rsidR="00480BD0" w:rsidRDefault="00480BD0" w:rsidP="0026253A">
            <w:pPr>
              <w:jc w:val="both"/>
              <w:rPr>
                <w:b/>
                <w:bCs/>
              </w:rPr>
            </w:pPr>
          </w:p>
          <w:p w14:paraId="052C87AB" w14:textId="190BD80E" w:rsidR="0026253A" w:rsidRDefault="0026253A" w:rsidP="0026253A">
            <w:pPr>
              <w:jc w:val="both"/>
            </w:pPr>
            <w:r w:rsidRPr="632A37F0">
              <w:rPr>
                <w:b/>
                <w:bCs/>
              </w:rPr>
              <w:t>Daño moral:</w:t>
            </w:r>
            <w:r>
              <w:t xml:space="preserve"> </w:t>
            </w:r>
            <w:r>
              <w:tab/>
              <w:t xml:space="preserve">Se tasa el daño moral en la suma </w:t>
            </w:r>
            <w:r w:rsidR="009064CE">
              <w:t xml:space="preserve">total </w:t>
            </w:r>
            <w:r>
              <w:t>de $</w:t>
            </w:r>
            <w:r w:rsidR="002C7269">
              <w:t>120.000.000</w:t>
            </w:r>
            <w:r w:rsidR="009064CE">
              <w:t xml:space="preserve"> la cual se distribuye de la siguiente manera:</w:t>
            </w:r>
            <w:r>
              <w:t xml:space="preserve"> para</w:t>
            </w:r>
            <w:r w:rsidR="009064CE">
              <w:t xml:space="preserve"> la señora Gloria </w:t>
            </w:r>
            <w:proofErr w:type="spellStart"/>
            <w:r w:rsidR="009064CE">
              <w:t>Siabato</w:t>
            </w:r>
            <w:proofErr w:type="spellEnd"/>
            <w:r w:rsidR="009064CE">
              <w:t xml:space="preserve"> Gil la suma de $</w:t>
            </w:r>
            <w:r w:rsidR="0023512D">
              <w:t xml:space="preserve"> 30.000.000</w:t>
            </w:r>
            <w:r w:rsidR="002C7269">
              <w:t>;</w:t>
            </w:r>
            <w:r w:rsidR="0023512D">
              <w:t xml:space="preserve"> para cada una de sus hijas, </w:t>
            </w:r>
            <w:r w:rsidR="0023512D" w:rsidRPr="0023512D">
              <w:t xml:space="preserve">Marcela Rincón </w:t>
            </w:r>
            <w:proofErr w:type="spellStart"/>
            <w:r w:rsidR="0023512D" w:rsidRPr="0023512D">
              <w:t>Siabato</w:t>
            </w:r>
            <w:proofErr w:type="spellEnd"/>
            <w:r w:rsidR="0023512D">
              <w:t xml:space="preserve"> y</w:t>
            </w:r>
            <w:r w:rsidR="0023512D" w:rsidRPr="0023512D">
              <w:t xml:space="preserve"> Anyi Johanna Gamboa </w:t>
            </w:r>
            <w:proofErr w:type="spellStart"/>
            <w:r w:rsidR="0023512D" w:rsidRPr="0023512D">
              <w:t>Siabato</w:t>
            </w:r>
            <w:proofErr w:type="spellEnd"/>
            <w:r>
              <w:t xml:space="preserve"> </w:t>
            </w:r>
            <w:r w:rsidR="0023512D">
              <w:t>la suma de $20.000.000</w:t>
            </w:r>
            <w:r w:rsidR="002C7269">
              <w:t xml:space="preserve">; para cada uno de sus nietos, </w:t>
            </w:r>
            <w:r w:rsidR="002C7269" w:rsidRPr="002C7269">
              <w:t xml:space="preserve">Edis Gamboa </w:t>
            </w:r>
            <w:proofErr w:type="spellStart"/>
            <w:r w:rsidR="002C7269" w:rsidRPr="002C7269">
              <w:t>Siabato</w:t>
            </w:r>
            <w:proofErr w:type="spellEnd"/>
            <w:r w:rsidR="002C7269">
              <w:t xml:space="preserve"> y</w:t>
            </w:r>
            <w:r w:rsidR="002C7269" w:rsidRPr="002C7269">
              <w:t xml:space="preserve"> Miguel Ángel Gamboa</w:t>
            </w:r>
            <w:r w:rsidR="002C7269">
              <w:t xml:space="preserve"> se reconoce la suma de $10.000.000; para el señor Enrique Rincón</w:t>
            </w:r>
            <w:r w:rsidR="0016208C">
              <w:t>, en calidad de compañero permanente,</w:t>
            </w:r>
            <w:r w:rsidR="002C7269">
              <w:t xml:space="preserve"> se reconoce la suma de $30.000.000. Finalmente, no se reconoce valor alguno para los señores</w:t>
            </w:r>
            <w:r w:rsidR="002C7269" w:rsidRPr="002C7269">
              <w:t xml:space="preserve"> Luis Alfonso Quintana Longa y James Eduardo Angulo González</w:t>
            </w:r>
            <w:r w:rsidR="002C7269">
              <w:t xml:space="preserve"> teniendo en cuenta que hasta el momento no se encuentra acreditada la filiación o la calidad de yerno y de hijo de crianza que afirman existe.</w:t>
            </w:r>
            <w:r>
              <w:t xml:space="preserve"> </w:t>
            </w:r>
            <w:r w:rsidR="002C7269">
              <w:t>La anterior tasación se efectúa</w:t>
            </w:r>
            <w:r>
              <w:t xml:space="preserve"> conforme al precedente de la Corte Suprema de Justicia </w:t>
            </w:r>
            <w:r w:rsidR="0016208C">
              <w:t xml:space="preserve">en sentencia </w:t>
            </w:r>
            <w:r>
              <w:t xml:space="preserve">SC780-2020 del 10 de marzo de 2020; esto, teniendo en </w:t>
            </w:r>
            <w:r>
              <w:lastRenderedPageBreak/>
              <w:t xml:space="preserve">cuenta que, a partir de las pruebas que obran en el expediente, la víctima directa del hecho, la señora Gloria </w:t>
            </w:r>
            <w:proofErr w:type="spellStart"/>
            <w:r>
              <w:t>Siabato</w:t>
            </w:r>
            <w:proofErr w:type="spellEnd"/>
            <w:r>
              <w:t xml:space="preserve"> Gil sufrió una lesión axonal difusa grado II, con Hemorragia subaracnoidea escasa, y Hematoma subdural laminar interhemisférico.</w:t>
            </w:r>
          </w:p>
          <w:p w14:paraId="207C3B17" w14:textId="77777777" w:rsidR="0026253A" w:rsidRDefault="0026253A" w:rsidP="0026253A">
            <w:pPr>
              <w:jc w:val="both"/>
            </w:pPr>
          </w:p>
          <w:p w14:paraId="185D5DDA" w14:textId="70FF0354" w:rsidR="0026253A" w:rsidRDefault="0026253A" w:rsidP="0026253A">
            <w:pPr>
              <w:jc w:val="both"/>
            </w:pPr>
            <w:r>
              <w:t xml:space="preserve">Según la literatura especializada, la lesión axonal difusa consiste en daños generalizados en los axones, que forman parte de las células nerviosas cerebrales (neuronas) y que pueden tener lugar tras un traumatismo craneoencefálico. Téngase en cuenta que, como se señaló, con la demanda no se hayan más pruebas que permitan determinar o señalar secuelas, pérdida de capacidad laboral, o gravedad de las lesiones. </w:t>
            </w:r>
          </w:p>
          <w:p w14:paraId="6E65465E" w14:textId="77777777" w:rsidR="0026253A" w:rsidRDefault="0026253A" w:rsidP="0026253A">
            <w:pPr>
              <w:jc w:val="both"/>
            </w:pPr>
          </w:p>
          <w:p w14:paraId="50E6268C" w14:textId="0398884F" w:rsidR="0026253A" w:rsidRDefault="0026253A" w:rsidP="0026253A">
            <w:r>
              <w:rPr>
                <w:b/>
                <w:bCs/>
              </w:rPr>
              <w:t xml:space="preserve">Total, Daño moral: </w:t>
            </w:r>
            <w:r>
              <w:t>$</w:t>
            </w:r>
            <w:r w:rsidR="002C7269">
              <w:t>120.000.000</w:t>
            </w:r>
          </w:p>
          <w:p w14:paraId="21415F52" w14:textId="77777777" w:rsidR="0026253A" w:rsidRDefault="0026253A" w:rsidP="0026253A"/>
          <w:p w14:paraId="2861A519" w14:textId="11B6DBE9" w:rsidR="0026253A" w:rsidRDefault="0026253A" w:rsidP="0026253A">
            <w:pPr>
              <w:jc w:val="both"/>
            </w:pPr>
            <w:r>
              <w:rPr>
                <w:b/>
                <w:bCs/>
              </w:rPr>
              <w:t xml:space="preserve">Daño a la vida de relación: </w:t>
            </w:r>
            <w:r>
              <w:t>El daño a la vida de relación y en aplicación del mismo precedente sentado en la Sentencia SC780/2020, se taza también en $</w:t>
            </w:r>
            <w:r w:rsidR="00EC06F5">
              <w:t>3</w:t>
            </w:r>
            <w:r>
              <w:t>0.000.000</w:t>
            </w:r>
            <w:r w:rsidR="00EC06F5">
              <w:t xml:space="preserve"> a favor de la señora Gloria </w:t>
            </w:r>
            <w:proofErr w:type="spellStart"/>
            <w:r w:rsidR="00EC06F5">
              <w:t>Siabato</w:t>
            </w:r>
            <w:proofErr w:type="spellEnd"/>
            <w:r w:rsidR="00EC06F5">
              <w:t xml:space="preserve"> Gil, se reconoce la suma de $20.000.000 a cada una de sus hijas, </w:t>
            </w:r>
            <w:r w:rsidR="00EC06F5" w:rsidRPr="0023512D">
              <w:t xml:space="preserve">Marcela Rincón </w:t>
            </w:r>
            <w:proofErr w:type="spellStart"/>
            <w:r w:rsidR="00EC06F5" w:rsidRPr="0023512D">
              <w:t>Siabato</w:t>
            </w:r>
            <w:proofErr w:type="spellEnd"/>
            <w:r w:rsidR="00EC06F5">
              <w:t xml:space="preserve"> y</w:t>
            </w:r>
            <w:r w:rsidR="00EC06F5" w:rsidRPr="0023512D">
              <w:t xml:space="preserve"> Anyi Johanna Gamboa </w:t>
            </w:r>
            <w:proofErr w:type="spellStart"/>
            <w:r w:rsidR="00EC06F5" w:rsidRPr="0023512D">
              <w:t>Siabato</w:t>
            </w:r>
            <w:proofErr w:type="spellEnd"/>
            <w:r w:rsidR="00EC06F5">
              <w:t xml:space="preserve">, igualmente, se reconoce la suma de $10.000.000 a cada uno de los nietos de la víctima, </w:t>
            </w:r>
            <w:r w:rsidR="00EC06F5" w:rsidRPr="002C7269">
              <w:t xml:space="preserve">Edis Gamboa </w:t>
            </w:r>
            <w:proofErr w:type="spellStart"/>
            <w:r w:rsidR="00EC06F5" w:rsidRPr="002C7269">
              <w:t>Siabato</w:t>
            </w:r>
            <w:proofErr w:type="spellEnd"/>
            <w:r w:rsidR="00EC06F5">
              <w:t xml:space="preserve"> y</w:t>
            </w:r>
            <w:r w:rsidR="00EC06F5" w:rsidRPr="002C7269">
              <w:t xml:space="preserve"> Miguel Ángel</w:t>
            </w:r>
            <w:r w:rsidR="00EC06F5">
              <w:t>, y finalmente, se reconoce la suma de $30.000.000 a favor del señor Enrique Rincón</w:t>
            </w:r>
            <w:r w:rsidR="00A47026">
              <w:t>, en calidad de compañero permanente</w:t>
            </w:r>
            <w:r w:rsidR="00EC06F5">
              <w:t xml:space="preserve">. No se reconoce este perjuicio a favor de los señores </w:t>
            </w:r>
            <w:r w:rsidR="00EC06F5" w:rsidRPr="002C7269">
              <w:t>Luis Alfonso Quintana Longa y James Eduardo Angulo González</w:t>
            </w:r>
            <w:r w:rsidR="00EC06F5">
              <w:t xml:space="preserve">, pues aún no se encuentra acreditada la calidad en la que actúan. </w:t>
            </w:r>
          </w:p>
          <w:p w14:paraId="27A0B04E" w14:textId="77777777" w:rsidR="0026253A" w:rsidRPr="00902FAC" w:rsidRDefault="0026253A" w:rsidP="0026253A">
            <w:pPr>
              <w:jc w:val="both"/>
            </w:pPr>
          </w:p>
          <w:p w14:paraId="45077A90" w14:textId="450FE5AD" w:rsidR="0026253A" w:rsidRDefault="0026253A" w:rsidP="0026253A">
            <w:r>
              <w:rPr>
                <w:b/>
                <w:bCs/>
              </w:rPr>
              <w:t>Total, Daño a la vida en relación:</w:t>
            </w:r>
            <w:r w:rsidR="00EC06F5">
              <w:rPr>
                <w:b/>
                <w:bCs/>
              </w:rPr>
              <w:t xml:space="preserve"> </w:t>
            </w:r>
            <w:r>
              <w:t>$</w:t>
            </w:r>
            <w:r w:rsidR="00EC06F5">
              <w:t>120.000.000.</w:t>
            </w:r>
            <w:r>
              <w:t xml:space="preserve"> </w:t>
            </w:r>
          </w:p>
          <w:p w14:paraId="1144E0A9" w14:textId="77777777" w:rsidR="0026253A" w:rsidRDefault="0026253A" w:rsidP="0026253A"/>
          <w:p w14:paraId="4AF5AEEB" w14:textId="23FBF7EB" w:rsidR="0026253A" w:rsidRDefault="0026253A" w:rsidP="0026253A">
            <w:pPr>
              <w:jc w:val="both"/>
            </w:pPr>
            <w:r>
              <w:rPr>
                <w:b/>
                <w:bCs/>
              </w:rPr>
              <w:t xml:space="preserve">Daño por perdida de oportunidad: </w:t>
            </w:r>
            <w:r>
              <w:t>No se estima porque no existe ningún elemento de conocimiento en el proceso que sirva como factor objetivo para reconocerlo.</w:t>
            </w:r>
          </w:p>
          <w:p w14:paraId="22783F6B" w14:textId="77777777" w:rsidR="0026253A" w:rsidRDefault="0026253A" w:rsidP="0026253A">
            <w:pPr>
              <w:jc w:val="both"/>
            </w:pPr>
          </w:p>
          <w:p w14:paraId="4E444796" w14:textId="2F1F3344" w:rsidR="0026253A" w:rsidRDefault="0026253A" w:rsidP="0026253A">
            <w:pPr>
              <w:jc w:val="both"/>
            </w:pPr>
            <w:r>
              <w:t xml:space="preserve">La pérdida de oportunidad en Colombia se entiende como </w:t>
            </w:r>
            <w:r>
              <w:rPr>
                <w:i/>
                <w:iCs/>
              </w:rPr>
              <w:t xml:space="preserve">“La pérdida de la posibilidad de </w:t>
            </w:r>
            <w:r>
              <w:rPr>
                <w:i/>
                <w:iCs/>
              </w:rPr>
              <w:lastRenderedPageBreak/>
              <w:t xml:space="preserve">obtener una ganancia o beneficio, o en la pérdida de la posibilidad de evitar que se genere un evento desfavorable”.  </w:t>
            </w:r>
            <w:r>
              <w:t xml:space="preserve">En adición a lo anterior, también debe acreditarse la seriedad de la oportunidad, el porcentaje de probabilidad perdida y que la acción u omisión del victimario se presentó cuando la víctima ya había iniciado el curso causal para obtener el resultado anhelado. Para el caso concreto, la parte accionante no ha acreditado ninguno de estos supuestos. Si bien en uno de los hechos se indica que la víctima de los hechos, la señora Gloria </w:t>
            </w:r>
            <w:proofErr w:type="spellStart"/>
            <w:r>
              <w:t>Siabato</w:t>
            </w:r>
            <w:proofErr w:type="spellEnd"/>
            <w:r>
              <w:t xml:space="preserve"> Gil para la fecha de ocurrencia del accidente (19 de enero de 20</w:t>
            </w:r>
            <w:r w:rsidR="00A47026">
              <w:t>2</w:t>
            </w:r>
            <w:r>
              <w:t>4) se encontraba trabajando, no hay prueba de esto</w:t>
            </w:r>
            <w:r w:rsidR="00EC06F5">
              <w:t>,</w:t>
            </w:r>
            <w:r>
              <w:t xml:space="preserve"> además, los salarios dejados de percibir por </w:t>
            </w:r>
            <w:r w:rsidR="00EC06F5">
              <w:t>la ocurrencia del accidente se tasan dentro del lucro cesante</w:t>
            </w:r>
            <w:r>
              <w:t xml:space="preserve"> </w:t>
            </w:r>
            <w:r w:rsidR="00EC06F5">
              <w:t>y</w:t>
            </w:r>
            <w:r>
              <w:t xml:space="preserve"> no en la pérdida de oportunidad. </w:t>
            </w:r>
          </w:p>
          <w:p w14:paraId="023A6EB6" w14:textId="77777777" w:rsidR="00EC06F5" w:rsidRDefault="00EC06F5" w:rsidP="0026253A">
            <w:pPr>
              <w:jc w:val="both"/>
            </w:pPr>
          </w:p>
          <w:p w14:paraId="59DE2C9C" w14:textId="6BC71C35" w:rsidR="00EC06F5" w:rsidRPr="00EC06F5" w:rsidRDefault="00EC06F5" w:rsidP="0026253A">
            <w:pPr>
              <w:jc w:val="both"/>
            </w:pPr>
            <w:r>
              <w:rPr>
                <w:b/>
                <w:bCs/>
              </w:rPr>
              <w:t xml:space="preserve">Daño a la salud: </w:t>
            </w:r>
            <w:r>
              <w:t>No se reconoce ninguna suma por este concepto ya que</w:t>
            </w:r>
            <w:r w:rsidR="00C729BC">
              <w:t>, conforme a la sentencia del 5 de agosto de 2014 de la Corte Suprema de Justicia, el daño a la salud no es reconocido en la especialidad civil como un perjuicio independiente, sino que la alta corporación reconoce únicamente como perjuicios resarcibles el daño moral, daño a la vida de relación y la vulneración a los derechos humanos fundamentales. Por lo tanto, el daño a la salud se subsume al daño a la vida de relación el cual ya fue previamente liquidado.</w:t>
            </w:r>
          </w:p>
          <w:p w14:paraId="3C965BD7" w14:textId="77777777" w:rsidR="0026253A" w:rsidRPr="006F7638" w:rsidRDefault="0026253A" w:rsidP="0026253A">
            <w:pPr>
              <w:jc w:val="both"/>
            </w:pPr>
          </w:p>
          <w:p w14:paraId="521CCD28" w14:textId="77777777" w:rsidR="001B1EF2" w:rsidRDefault="0026253A" w:rsidP="0026253A">
            <w:r>
              <w:rPr>
                <w:b/>
                <w:bCs/>
              </w:rPr>
              <w:t xml:space="preserve">Deducible: </w:t>
            </w:r>
            <w:r>
              <w:t>dentro de la póliza no se encuentra pactado un deducible para el amparo de responsabilidad civil extracontractual</w:t>
            </w:r>
            <w:r w:rsidR="00264651">
              <w:t>.</w:t>
            </w:r>
          </w:p>
          <w:p w14:paraId="6D160E61" w14:textId="77777777" w:rsidR="00264651" w:rsidRDefault="00264651" w:rsidP="0026253A"/>
          <w:p w14:paraId="500322F0" w14:textId="13F8A492" w:rsidR="00264651" w:rsidRPr="00264651" w:rsidRDefault="00264651" w:rsidP="0026253A">
            <w:r>
              <w:rPr>
                <w:b/>
                <w:bCs/>
              </w:rPr>
              <w:t xml:space="preserve">Valor total: </w:t>
            </w:r>
            <w:r>
              <w:t>$242.112.500.</w:t>
            </w:r>
          </w:p>
        </w:tc>
      </w:tr>
      <w:tr w:rsidR="0057097F" w14:paraId="500322F4" w14:textId="77777777" w:rsidTr="357EB3F4">
        <w:tc>
          <w:tcPr>
            <w:tcW w:w="6000" w:type="dxa"/>
            <w:shd w:val="clear" w:color="auto" w:fill="D9D9D9" w:themeFill="background1" w:themeFillShade="D9"/>
          </w:tcPr>
          <w:p w14:paraId="500322F2" w14:textId="77777777" w:rsidR="0057097F" w:rsidRDefault="000B7A27">
            <w:pPr>
              <w:rPr>
                <w:b/>
                <w:sz w:val="20"/>
                <w:szCs w:val="20"/>
              </w:rPr>
            </w:pPr>
            <w:r>
              <w:rPr>
                <w:b/>
                <w:sz w:val="20"/>
                <w:szCs w:val="20"/>
              </w:rPr>
              <w:lastRenderedPageBreak/>
              <w:t>Calificación de la contingencia:</w:t>
            </w:r>
          </w:p>
        </w:tc>
        <w:tc>
          <w:tcPr>
            <w:tcW w:w="4410" w:type="dxa"/>
          </w:tcPr>
          <w:p w14:paraId="500322F3" w14:textId="5A4BB197" w:rsidR="0057097F" w:rsidRDefault="00F83A74">
            <w:pPr>
              <w:jc w:val="both"/>
            </w:pPr>
            <w:r>
              <w:t>PROBABLE</w:t>
            </w:r>
          </w:p>
        </w:tc>
      </w:tr>
      <w:tr w:rsidR="0057097F" w:rsidRPr="000B7A27" w14:paraId="500322F7" w14:textId="77777777" w:rsidTr="357EB3F4">
        <w:tc>
          <w:tcPr>
            <w:tcW w:w="6000" w:type="dxa"/>
            <w:shd w:val="clear" w:color="auto" w:fill="D9D9D9" w:themeFill="background1" w:themeFillShade="D9"/>
          </w:tcPr>
          <w:p w14:paraId="500322F5" w14:textId="77777777" w:rsidR="0057097F" w:rsidRPr="000B7A27" w:rsidRDefault="000B7A27">
            <w:pPr>
              <w:rPr>
                <w:rFonts w:asciiTheme="minorHAnsi" w:hAnsiTheme="minorHAnsi" w:cstheme="minorHAnsi"/>
                <w:b/>
              </w:rPr>
            </w:pPr>
            <w:r w:rsidRPr="000B7A27">
              <w:rPr>
                <w:rFonts w:asciiTheme="minorHAnsi" w:hAnsiTheme="minorHAnsi" w:cstheme="minorHAnsi"/>
                <w:b/>
              </w:rPr>
              <w:t>Motivos de la calificación:</w:t>
            </w:r>
          </w:p>
        </w:tc>
        <w:tc>
          <w:tcPr>
            <w:tcW w:w="4410" w:type="dxa"/>
          </w:tcPr>
          <w:p w14:paraId="55E9CF7E" w14:textId="17FFB9C0" w:rsidR="0057097F" w:rsidRDefault="0054555D" w:rsidP="357EB3F4">
            <w:pPr>
              <w:spacing w:line="276" w:lineRule="auto"/>
              <w:jc w:val="both"/>
              <w:rPr>
                <w:rFonts w:asciiTheme="minorHAnsi" w:eastAsia="Arial" w:hAnsiTheme="minorHAnsi" w:cstheme="minorBidi"/>
              </w:rPr>
            </w:pPr>
            <w:r>
              <w:rPr>
                <w:rFonts w:asciiTheme="minorHAnsi" w:eastAsia="Arial" w:hAnsiTheme="minorHAnsi" w:cstheme="minorBidi"/>
              </w:rPr>
              <w:t>La contingencia se califica como PROBABLE ya que la póliza de automóviles No. 497218 presta cobertura material y temporal</w:t>
            </w:r>
            <w:r w:rsidR="00FC2D1A">
              <w:rPr>
                <w:rFonts w:asciiTheme="minorHAnsi" w:eastAsia="Arial" w:hAnsiTheme="minorHAnsi" w:cstheme="minorBidi"/>
              </w:rPr>
              <w:t>. Aunado a ello</w:t>
            </w:r>
            <w:r>
              <w:rPr>
                <w:rFonts w:asciiTheme="minorHAnsi" w:eastAsia="Arial" w:hAnsiTheme="minorHAnsi" w:cstheme="minorBidi"/>
              </w:rPr>
              <w:t xml:space="preserve"> la responsabilidad civil de</w:t>
            </w:r>
            <w:r w:rsidR="00FC2D1A">
              <w:rPr>
                <w:rFonts w:asciiTheme="minorHAnsi" w:eastAsia="Arial" w:hAnsiTheme="minorHAnsi" w:cstheme="minorBidi"/>
              </w:rPr>
              <w:t xml:space="preserve"> la conductora del vehículo</w:t>
            </w:r>
            <w:r>
              <w:rPr>
                <w:rFonts w:asciiTheme="minorHAnsi" w:eastAsia="Arial" w:hAnsiTheme="minorHAnsi" w:cstheme="minorBidi"/>
              </w:rPr>
              <w:t xml:space="preserve"> asegurado se encuentra acreditada.</w:t>
            </w:r>
          </w:p>
          <w:p w14:paraId="32B941D5" w14:textId="77777777" w:rsidR="009C7FB8" w:rsidRDefault="009C7FB8" w:rsidP="357EB3F4">
            <w:pPr>
              <w:spacing w:line="276" w:lineRule="auto"/>
              <w:jc w:val="both"/>
              <w:rPr>
                <w:rFonts w:asciiTheme="minorHAnsi" w:eastAsia="Arial" w:hAnsiTheme="minorHAnsi" w:cstheme="minorBidi"/>
              </w:rPr>
            </w:pPr>
          </w:p>
          <w:p w14:paraId="173E9217" w14:textId="32BC715F" w:rsidR="009C7FB8" w:rsidRDefault="0066274A" w:rsidP="357EB3F4">
            <w:pPr>
              <w:spacing w:line="276" w:lineRule="auto"/>
              <w:jc w:val="both"/>
              <w:rPr>
                <w:rFonts w:asciiTheme="minorHAnsi" w:eastAsia="Arial" w:hAnsiTheme="minorHAnsi" w:cstheme="minorBidi"/>
              </w:rPr>
            </w:pPr>
            <w:r>
              <w:rPr>
                <w:rFonts w:asciiTheme="minorHAnsi" w:eastAsia="Arial" w:hAnsiTheme="minorHAnsi" w:cstheme="minorBidi"/>
              </w:rPr>
              <w:t xml:space="preserve">En cuanto a la póliza de seguro, </w:t>
            </w:r>
            <w:r w:rsidR="004E5DED">
              <w:rPr>
                <w:rFonts w:asciiTheme="minorHAnsi" w:eastAsia="Arial" w:hAnsiTheme="minorHAnsi" w:cstheme="minorBidi"/>
              </w:rPr>
              <w:t>presta</w:t>
            </w:r>
            <w:r w:rsidR="006E70B2">
              <w:rPr>
                <w:rFonts w:asciiTheme="minorHAnsi" w:eastAsia="Arial" w:hAnsiTheme="minorHAnsi" w:cstheme="minorBidi"/>
              </w:rPr>
              <w:t xml:space="preserve"> </w:t>
            </w:r>
            <w:r w:rsidR="006E70B2">
              <w:rPr>
                <w:rFonts w:asciiTheme="minorHAnsi" w:eastAsia="Arial" w:hAnsiTheme="minorHAnsi" w:cstheme="minorBidi"/>
                <w:b/>
                <w:bCs/>
              </w:rPr>
              <w:t xml:space="preserve">cobertura temporal, </w:t>
            </w:r>
            <w:r w:rsidR="004E5DED" w:rsidRPr="004E5DED">
              <w:rPr>
                <w:rFonts w:asciiTheme="minorHAnsi" w:eastAsia="Arial" w:hAnsiTheme="minorHAnsi" w:cstheme="minorBidi"/>
              </w:rPr>
              <w:t>ya que</w:t>
            </w:r>
            <w:r w:rsidR="004E5DED">
              <w:rPr>
                <w:rFonts w:asciiTheme="minorHAnsi" w:eastAsia="Arial" w:hAnsiTheme="minorHAnsi" w:cstheme="minorBidi"/>
                <w:b/>
                <w:bCs/>
              </w:rPr>
              <w:t xml:space="preserve"> </w:t>
            </w:r>
            <w:r w:rsidR="001D01A1">
              <w:rPr>
                <w:rFonts w:asciiTheme="minorHAnsi" w:eastAsia="Arial" w:hAnsiTheme="minorHAnsi" w:cstheme="minorBidi"/>
              </w:rPr>
              <w:t>tenía</w:t>
            </w:r>
            <w:r w:rsidR="006E70B2">
              <w:rPr>
                <w:rFonts w:asciiTheme="minorHAnsi" w:eastAsia="Arial" w:hAnsiTheme="minorHAnsi" w:cstheme="minorBidi"/>
              </w:rPr>
              <w:t xml:space="preserve"> una vigencia </w:t>
            </w:r>
            <w:r w:rsidR="006E70B2">
              <w:rPr>
                <w:rFonts w:asciiTheme="minorHAnsi" w:eastAsia="Arial" w:hAnsiTheme="minorHAnsi" w:cstheme="minorBidi"/>
              </w:rPr>
              <w:lastRenderedPageBreak/>
              <w:t>entre el 24 de agosto de 2023 y el 24 de agosto de 2024, y los hechos</w:t>
            </w:r>
            <w:r w:rsidR="00EF661A">
              <w:rPr>
                <w:rFonts w:asciiTheme="minorHAnsi" w:eastAsia="Arial" w:hAnsiTheme="minorHAnsi" w:cstheme="minorBidi"/>
              </w:rPr>
              <w:t>, esto es, el accidente de tránsito,</w:t>
            </w:r>
            <w:r w:rsidR="006E70B2">
              <w:rPr>
                <w:rFonts w:asciiTheme="minorHAnsi" w:eastAsia="Arial" w:hAnsiTheme="minorHAnsi" w:cstheme="minorBidi"/>
              </w:rPr>
              <w:t xml:space="preserve"> ocurri</w:t>
            </w:r>
            <w:r w:rsidR="00FC2D1A">
              <w:rPr>
                <w:rFonts w:asciiTheme="minorHAnsi" w:eastAsia="Arial" w:hAnsiTheme="minorHAnsi" w:cstheme="minorBidi"/>
              </w:rPr>
              <w:t>eron</w:t>
            </w:r>
            <w:r w:rsidR="006E70B2">
              <w:rPr>
                <w:rFonts w:asciiTheme="minorHAnsi" w:eastAsia="Arial" w:hAnsiTheme="minorHAnsi" w:cstheme="minorBidi"/>
              </w:rPr>
              <w:t xml:space="preserve"> el 19 de enero de 2024, es decir, dentro de la vigencia de la póliza</w:t>
            </w:r>
            <w:r w:rsidR="00565B6F">
              <w:rPr>
                <w:rFonts w:asciiTheme="minorHAnsi" w:eastAsia="Arial" w:hAnsiTheme="minorHAnsi" w:cstheme="minorBidi"/>
              </w:rPr>
              <w:t>. F</w:t>
            </w:r>
            <w:r w:rsidR="006E70B2">
              <w:rPr>
                <w:rFonts w:asciiTheme="minorHAnsi" w:eastAsia="Arial" w:hAnsiTheme="minorHAnsi" w:cstheme="minorBidi"/>
              </w:rPr>
              <w:t xml:space="preserve">rente a la </w:t>
            </w:r>
            <w:r w:rsidR="006E70B2">
              <w:rPr>
                <w:rFonts w:asciiTheme="minorHAnsi" w:eastAsia="Arial" w:hAnsiTheme="minorHAnsi" w:cstheme="minorBidi"/>
                <w:b/>
                <w:bCs/>
              </w:rPr>
              <w:t>cobertura material</w:t>
            </w:r>
            <w:r w:rsidR="006E70B2">
              <w:rPr>
                <w:rFonts w:asciiTheme="minorHAnsi" w:eastAsia="Arial" w:hAnsiTheme="minorHAnsi" w:cstheme="minorBidi"/>
              </w:rPr>
              <w:t xml:space="preserve">, en la caratula de la póliza se puede observar </w:t>
            </w:r>
            <w:r w:rsidR="005A260F">
              <w:rPr>
                <w:rFonts w:asciiTheme="minorHAnsi" w:eastAsia="Arial" w:hAnsiTheme="minorHAnsi" w:cstheme="minorBidi"/>
              </w:rPr>
              <w:t>el</w:t>
            </w:r>
            <w:r w:rsidR="00A14850">
              <w:rPr>
                <w:rFonts w:asciiTheme="minorHAnsi" w:eastAsia="Arial" w:hAnsiTheme="minorHAnsi" w:cstheme="minorBidi"/>
              </w:rPr>
              <w:t xml:space="preserve"> amparo de responsabilidad civil extracontractual</w:t>
            </w:r>
            <w:r w:rsidR="004401EB">
              <w:rPr>
                <w:rFonts w:asciiTheme="minorHAnsi" w:eastAsia="Arial" w:hAnsiTheme="minorHAnsi" w:cstheme="minorBidi"/>
              </w:rPr>
              <w:t xml:space="preserve">, </w:t>
            </w:r>
            <w:r w:rsidR="00565B6F">
              <w:rPr>
                <w:rFonts w:asciiTheme="minorHAnsi" w:eastAsia="Arial" w:hAnsiTheme="minorHAnsi" w:cstheme="minorBidi"/>
              </w:rPr>
              <w:t xml:space="preserve">la cual se le endilga al asegurado en el caso concreto, </w:t>
            </w:r>
            <w:r w:rsidR="004401EB">
              <w:rPr>
                <w:rFonts w:asciiTheme="minorHAnsi" w:eastAsia="Arial" w:hAnsiTheme="minorHAnsi" w:cstheme="minorBidi"/>
              </w:rPr>
              <w:t>y revisada</w:t>
            </w:r>
            <w:r w:rsidR="00565B6F">
              <w:rPr>
                <w:rFonts w:asciiTheme="minorHAnsi" w:eastAsia="Arial" w:hAnsiTheme="minorHAnsi" w:cstheme="minorBidi"/>
              </w:rPr>
              <w:t>s</w:t>
            </w:r>
            <w:r w:rsidR="004401EB">
              <w:rPr>
                <w:rFonts w:asciiTheme="minorHAnsi" w:eastAsia="Arial" w:hAnsiTheme="minorHAnsi" w:cstheme="minorBidi"/>
              </w:rPr>
              <w:t xml:space="preserve"> las condiciones generales de la póliza, no se observa </w:t>
            </w:r>
            <w:r w:rsidR="00EF661A">
              <w:rPr>
                <w:rFonts w:asciiTheme="minorHAnsi" w:eastAsia="Arial" w:hAnsiTheme="minorHAnsi" w:cstheme="minorBidi"/>
              </w:rPr>
              <w:t>ninguna exclusión pactada</w:t>
            </w:r>
            <w:r w:rsidR="004401EB">
              <w:rPr>
                <w:rFonts w:asciiTheme="minorHAnsi" w:eastAsia="Arial" w:hAnsiTheme="minorHAnsi" w:cstheme="minorBidi"/>
              </w:rPr>
              <w:t xml:space="preserve"> que sea aplicable. </w:t>
            </w:r>
          </w:p>
          <w:p w14:paraId="356A3071" w14:textId="77777777" w:rsidR="00AA2481" w:rsidRDefault="00AA2481" w:rsidP="357EB3F4">
            <w:pPr>
              <w:spacing w:line="276" w:lineRule="auto"/>
              <w:jc w:val="both"/>
              <w:rPr>
                <w:rFonts w:asciiTheme="minorHAnsi" w:eastAsia="Arial" w:hAnsiTheme="minorHAnsi" w:cstheme="minorBidi"/>
              </w:rPr>
            </w:pPr>
          </w:p>
          <w:p w14:paraId="286AF8FB" w14:textId="24B3FAF4" w:rsidR="00AA2481" w:rsidRDefault="00AA2481" w:rsidP="357EB3F4">
            <w:pPr>
              <w:spacing w:line="276" w:lineRule="auto"/>
              <w:jc w:val="both"/>
              <w:rPr>
                <w:rFonts w:asciiTheme="minorHAnsi" w:eastAsia="Arial" w:hAnsiTheme="minorHAnsi" w:cstheme="minorBidi"/>
              </w:rPr>
            </w:pPr>
            <w:r>
              <w:rPr>
                <w:rFonts w:asciiTheme="minorHAnsi" w:eastAsia="Arial" w:hAnsiTheme="minorHAnsi" w:cstheme="minorBidi"/>
              </w:rPr>
              <w:t>Frente a la responsabilidad</w:t>
            </w:r>
            <w:r w:rsidR="00565B6F">
              <w:rPr>
                <w:rFonts w:asciiTheme="minorHAnsi" w:eastAsia="Arial" w:hAnsiTheme="minorHAnsi" w:cstheme="minorBidi"/>
              </w:rPr>
              <w:t xml:space="preserve"> civil</w:t>
            </w:r>
            <w:r>
              <w:rPr>
                <w:rFonts w:asciiTheme="minorHAnsi" w:eastAsia="Arial" w:hAnsiTheme="minorHAnsi" w:cstheme="minorBidi"/>
              </w:rPr>
              <w:t xml:space="preserve">, por tratarse de un accidente de tránsito entre un peatón y un vehículo, le es aplicable el régimen de responsabilidad de actividades peligrosas regulado por el artículo 2356 del Código Civil, es decir, un régimen de culpa presunta, y los demandados solo se podrán exonerar de responsabilidad </w:t>
            </w:r>
            <w:r w:rsidR="00155ED6">
              <w:rPr>
                <w:rFonts w:asciiTheme="minorHAnsi" w:eastAsia="Arial" w:hAnsiTheme="minorHAnsi" w:cstheme="minorBidi"/>
              </w:rPr>
              <w:t>probando causa extraña que destruya el nexo de causalidad entre la actividad y el daño (hecho de la víctima, hecho de un tercero, fuerza mayor</w:t>
            </w:r>
            <w:r w:rsidR="00565B6F">
              <w:rPr>
                <w:rFonts w:asciiTheme="minorHAnsi" w:eastAsia="Arial" w:hAnsiTheme="minorHAnsi" w:cstheme="minorBidi"/>
              </w:rPr>
              <w:t xml:space="preserve"> o caso fortuito</w:t>
            </w:r>
            <w:r w:rsidR="00155ED6">
              <w:rPr>
                <w:rFonts w:asciiTheme="minorHAnsi" w:eastAsia="Arial" w:hAnsiTheme="minorHAnsi" w:cstheme="minorBidi"/>
              </w:rPr>
              <w:t xml:space="preserve">). </w:t>
            </w:r>
            <w:r w:rsidR="007E7ADA">
              <w:rPr>
                <w:rFonts w:asciiTheme="minorHAnsi" w:eastAsia="Arial" w:hAnsiTheme="minorHAnsi" w:cstheme="minorBidi"/>
              </w:rPr>
              <w:t xml:space="preserve"> </w:t>
            </w:r>
            <w:r w:rsidR="00FC2D1A">
              <w:rPr>
                <w:rFonts w:asciiTheme="minorHAnsi" w:eastAsia="Arial" w:hAnsiTheme="minorHAnsi" w:cstheme="minorBidi"/>
              </w:rPr>
              <w:t>Se debe precisar que al interior del IPAT se codificó al vehículo asegurado con la causal No. 157 “transitar parcialmente por la berma”. Ahora,</w:t>
            </w:r>
            <w:r w:rsidR="00565B6F">
              <w:rPr>
                <w:rFonts w:asciiTheme="minorHAnsi" w:eastAsia="Arial" w:hAnsiTheme="minorHAnsi" w:cstheme="minorBidi"/>
              </w:rPr>
              <w:t xml:space="preserve"> si bien</w:t>
            </w:r>
            <w:r w:rsidR="007E7ADA">
              <w:rPr>
                <w:rFonts w:asciiTheme="minorHAnsi" w:eastAsia="Arial" w:hAnsiTheme="minorHAnsi" w:cstheme="minorBidi"/>
              </w:rPr>
              <w:t xml:space="preserve"> el IPAT presenta una </w:t>
            </w:r>
            <w:r w:rsidR="00565B6F">
              <w:rPr>
                <w:rFonts w:asciiTheme="minorHAnsi" w:eastAsia="Arial" w:hAnsiTheme="minorHAnsi" w:cstheme="minorBidi"/>
              </w:rPr>
              <w:t>in</w:t>
            </w:r>
            <w:r w:rsidR="007E7ADA">
              <w:rPr>
                <w:rFonts w:asciiTheme="minorHAnsi" w:eastAsia="Arial" w:hAnsiTheme="minorHAnsi" w:cstheme="minorBidi"/>
              </w:rPr>
              <w:t>consistencia en cuanto se menciona que el vehículo de placas LES 925 habría sido movido de su posición final</w:t>
            </w:r>
            <w:r w:rsidR="005A260F">
              <w:rPr>
                <w:rFonts w:asciiTheme="minorHAnsi" w:eastAsia="Arial" w:hAnsiTheme="minorHAnsi" w:cstheme="minorBidi"/>
              </w:rPr>
              <w:t>,</w:t>
            </w:r>
            <w:r w:rsidR="007E7ADA">
              <w:rPr>
                <w:rFonts w:asciiTheme="minorHAnsi" w:eastAsia="Arial" w:hAnsiTheme="minorHAnsi" w:cstheme="minorBidi"/>
              </w:rPr>
              <w:t xml:space="preserve"> esto no sería </w:t>
            </w:r>
            <w:r w:rsidR="00565B6F">
              <w:rPr>
                <w:rFonts w:asciiTheme="minorHAnsi" w:eastAsia="Arial" w:hAnsiTheme="minorHAnsi" w:cstheme="minorBidi"/>
              </w:rPr>
              <w:t xml:space="preserve">sustento </w:t>
            </w:r>
            <w:r w:rsidR="007E7ADA">
              <w:rPr>
                <w:rFonts w:asciiTheme="minorHAnsi" w:eastAsia="Arial" w:hAnsiTheme="minorHAnsi" w:cstheme="minorBidi"/>
              </w:rPr>
              <w:t>suficiente para poner en tela de discusión la responsabilidad civil del asegurado.</w:t>
            </w:r>
            <w:r w:rsidR="005A260F">
              <w:rPr>
                <w:rFonts w:asciiTheme="minorHAnsi" w:eastAsia="Arial" w:hAnsiTheme="minorHAnsi" w:cstheme="minorBidi"/>
              </w:rPr>
              <w:t xml:space="preserve"> T</w:t>
            </w:r>
            <w:r w:rsidR="00565B6F">
              <w:rPr>
                <w:rFonts w:asciiTheme="minorHAnsi" w:eastAsia="Arial" w:hAnsiTheme="minorHAnsi" w:cstheme="minorBidi"/>
              </w:rPr>
              <w:t xml:space="preserve">eniendo en cuenta que el mismo goza de presunción de legalidad y que no se ha demostrado una causa extraña eximente de responsabilidad, no existen elementos de juicio que permitan exacerbar la responsabilidad del asegurado. </w:t>
            </w:r>
          </w:p>
          <w:p w14:paraId="35755E1F" w14:textId="77777777" w:rsidR="00F41389" w:rsidRDefault="00F41389" w:rsidP="357EB3F4">
            <w:pPr>
              <w:spacing w:line="276" w:lineRule="auto"/>
              <w:jc w:val="both"/>
              <w:rPr>
                <w:rFonts w:asciiTheme="minorHAnsi" w:eastAsia="Arial" w:hAnsiTheme="minorHAnsi" w:cstheme="minorBidi"/>
              </w:rPr>
            </w:pPr>
          </w:p>
          <w:p w14:paraId="500322F6" w14:textId="6F0E8292" w:rsidR="00F41389" w:rsidRPr="00F41389" w:rsidRDefault="00EF661A" w:rsidP="357EB3F4">
            <w:pPr>
              <w:spacing w:line="276" w:lineRule="auto"/>
              <w:jc w:val="both"/>
              <w:rPr>
                <w:rFonts w:asciiTheme="minorHAnsi" w:eastAsia="Arial" w:hAnsiTheme="minorHAnsi" w:cstheme="minorBidi"/>
              </w:rPr>
            </w:pPr>
            <w:r>
              <w:rPr>
                <w:rFonts w:asciiTheme="minorHAnsi" w:eastAsia="Arial" w:hAnsiTheme="minorHAnsi" w:cstheme="minorBidi"/>
              </w:rPr>
              <w:t xml:space="preserve">Todo lo anterior sin perjuicio del carácter contingente del proceso. </w:t>
            </w:r>
          </w:p>
        </w:tc>
      </w:tr>
      <w:tr w:rsidR="0057097F" w:rsidRPr="000B7A27" w14:paraId="50032300" w14:textId="77777777" w:rsidTr="357EB3F4">
        <w:tc>
          <w:tcPr>
            <w:tcW w:w="6000" w:type="dxa"/>
            <w:shd w:val="clear" w:color="auto" w:fill="D9D9D9" w:themeFill="background1" w:themeFillShade="D9"/>
          </w:tcPr>
          <w:p w14:paraId="500322F8" w14:textId="77777777" w:rsidR="0057097F" w:rsidRPr="000B7A27" w:rsidRDefault="000B7A27">
            <w:pPr>
              <w:rPr>
                <w:rFonts w:asciiTheme="minorHAnsi" w:hAnsiTheme="minorHAnsi" w:cstheme="minorHAnsi"/>
                <w:b/>
              </w:rPr>
            </w:pPr>
            <w:r w:rsidRPr="000B7A27">
              <w:rPr>
                <w:rFonts w:asciiTheme="minorHAnsi" w:hAnsiTheme="minorHAnsi" w:cstheme="minorHAnsi"/>
                <w:b/>
              </w:rPr>
              <w:lastRenderedPageBreak/>
              <w:t>Excepciones propuestas:</w:t>
            </w:r>
          </w:p>
        </w:tc>
        <w:tc>
          <w:tcPr>
            <w:tcW w:w="4410" w:type="dxa"/>
          </w:tcPr>
          <w:p w14:paraId="32D5DAB4" w14:textId="6F78732E" w:rsidR="000B7A27" w:rsidRDefault="000B7A27" w:rsidP="357EB3F4">
            <w:pPr>
              <w:jc w:val="both"/>
              <w:rPr>
                <w:rFonts w:asciiTheme="minorHAnsi" w:hAnsiTheme="minorHAnsi" w:cstheme="minorBidi"/>
              </w:rPr>
            </w:pPr>
            <w:r w:rsidRPr="357EB3F4">
              <w:rPr>
                <w:rFonts w:asciiTheme="minorHAnsi" w:hAnsiTheme="minorHAnsi" w:cstheme="minorBidi"/>
              </w:rPr>
              <w:t>EXCEPCIONES DE FONDO FRENTE A LA DEMANDA</w:t>
            </w:r>
            <w:r w:rsidR="0BAEC5E2" w:rsidRPr="357EB3F4">
              <w:rPr>
                <w:rFonts w:asciiTheme="minorHAnsi" w:hAnsiTheme="minorHAnsi" w:cstheme="minorBidi"/>
              </w:rPr>
              <w:t>:</w:t>
            </w:r>
          </w:p>
          <w:p w14:paraId="500322FA" w14:textId="77777777" w:rsidR="0057097F" w:rsidRDefault="0057097F">
            <w:pPr>
              <w:jc w:val="both"/>
              <w:rPr>
                <w:rFonts w:asciiTheme="minorHAnsi" w:hAnsiTheme="minorHAnsi" w:cstheme="minorHAnsi"/>
                <w:b/>
              </w:rPr>
            </w:pPr>
          </w:p>
          <w:p w14:paraId="13A0E6CA" w14:textId="30E7096A" w:rsidR="0022674B"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Inexistencia de responsabilidad a cargo de los demandados por la falta de acreditación del nexo causal</w:t>
            </w:r>
          </w:p>
          <w:p w14:paraId="66A8A310" w14:textId="1BB3A1B8"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Reducción de la indemnización como consecuencia de la incidencia de la conducta de la señora GLORIA SIABATO GIL</w:t>
            </w:r>
          </w:p>
          <w:p w14:paraId="71A2DFD6" w14:textId="498969F5"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Improcedencia de reconocimiento y tasación exorbitante del daño moral</w:t>
            </w:r>
          </w:p>
          <w:p w14:paraId="1DC72B1B" w14:textId="471846CC" w:rsidR="00586AF2" w:rsidRPr="00586AF2"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 xml:space="preserve">Improcedencia del reconocimiento del daño a la vida </w:t>
            </w:r>
            <w:proofErr w:type="gramStart"/>
            <w:r>
              <w:rPr>
                <w:rFonts w:asciiTheme="minorHAnsi" w:hAnsiTheme="minorHAnsi" w:cstheme="minorHAnsi"/>
                <w:bCs/>
              </w:rPr>
              <w:t>en relación al</w:t>
            </w:r>
            <w:proofErr w:type="gramEnd"/>
            <w:r>
              <w:rPr>
                <w:rFonts w:asciiTheme="minorHAnsi" w:hAnsiTheme="minorHAnsi" w:cstheme="minorHAnsi"/>
                <w:bCs/>
              </w:rPr>
              <w:t xml:space="preserve"> extremo actor</w:t>
            </w:r>
          </w:p>
          <w:p w14:paraId="3A8CC9DE" w14:textId="77777777" w:rsidR="005A260F" w:rsidRPr="005A260F" w:rsidRDefault="00586AF2" w:rsidP="00586AF2">
            <w:pPr>
              <w:pStyle w:val="Prrafodelista"/>
              <w:numPr>
                <w:ilvl w:val="0"/>
                <w:numId w:val="3"/>
              </w:numPr>
              <w:jc w:val="both"/>
              <w:rPr>
                <w:rFonts w:asciiTheme="minorHAnsi" w:hAnsiTheme="minorHAnsi" w:cstheme="minorHAnsi"/>
                <w:b/>
              </w:rPr>
            </w:pPr>
            <w:r>
              <w:rPr>
                <w:rFonts w:asciiTheme="minorHAnsi" w:hAnsiTheme="minorHAnsi" w:cstheme="minorHAnsi"/>
                <w:bCs/>
              </w:rPr>
              <w:t>Inexistencia de la pérdida de oportunidad, consecuentemente no se puede ordenar su indemnización</w:t>
            </w:r>
            <w:r w:rsidR="005A260F">
              <w:rPr>
                <w:rFonts w:asciiTheme="minorHAnsi" w:hAnsiTheme="minorHAnsi" w:cstheme="minorHAnsi"/>
                <w:bCs/>
              </w:rPr>
              <w:t>.</w:t>
            </w:r>
          </w:p>
          <w:p w14:paraId="7B35D0E1" w14:textId="77777777" w:rsidR="005A260F" w:rsidRPr="005A260F" w:rsidRDefault="005A260F" w:rsidP="00586AF2">
            <w:pPr>
              <w:pStyle w:val="Prrafodelista"/>
              <w:numPr>
                <w:ilvl w:val="0"/>
                <w:numId w:val="3"/>
              </w:numPr>
              <w:jc w:val="both"/>
              <w:rPr>
                <w:rFonts w:asciiTheme="minorHAnsi" w:hAnsiTheme="minorHAnsi" w:cstheme="minorHAnsi"/>
                <w:b/>
              </w:rPr>
            </w:pPr>
            <w:r w:rsidRPr="005A260F">
              <w:rPr>
                <w:rFonts w:asciiTheme="minorHAnsi" w:hAnsiTheme="minorHAnsi" w:cstheme="minorHAnsi"/>
                <w:bCs/>
              </w:rPr>
              <w:t>Imposibilidad de reconocer perjuicios a título de daño a la salud a favor de la parte demandante</w:t>
            </w:r>
            <w:r>
              <w:rPr>
                <w:rFonts w:asciiTheme="minorHAnsi" w:hAnsiTheme="minorHAnsi" w:cstheme="minorHAnsi"/>
                <w:bCs/>
              </w:rPr>
              <w:t>.</w:t>
            </w:r>
          </w:p>
          <w:p w14:paraId="61402BD9" w14:textId="3D36EC8F" w:rsidR="00586AF2" w:rsidRPr="005A260F" w:rsidRDefault="005A260F" w:rsidP="00586AF2">
            <w:pPr>
              <w:pStyle w:val="Prrafodelista"/>
              <w:numPr>
                <w:ilvl w:val="0"/>
                <w:numId w:val="3"/>
              </w:numPr>
              <w:jc w:val="both"/>
              <w:rPr>
                <w:rFonts w:asciiTheme="minorHAnsi" w:hAnsiTheme="minorHAnsi" w:cstheme="minorHAnsi"/>
                <w:b/>
              </w:rPr>
            </w:pPr>
            <w:r w:rsidRPr="005A260F">
              <w:rPr>
                <w:rFonts w:asciiTheme="minorHAnsi" w:hAnsiTheme="minorHAnsi" w:cstheme="minorHAnsi"/>
                <w:bCs/>
              </w:rPr>
              <w:t>Improcedencia del reconocimiento del daño emergente</w:t>
            </w:r>
            <w:r>
              <w:rPr>
                <w:rFonts w:asciiTheme="minorHAnsi" w:hAnsiTheme="minorHAnsi" w:cstheme="minorHAnsi"/>
                <w:bCs/>
              </w:rPr>
              <w:t>.</w:t>
            </w:r>
            <w:r w:rsidRPr="005A260F">
              <w:rPr>
                <w:rFonts w:asciiTheme="minorHAnsi" w:hAnsiTheme="minorHAnsi" w:cstheme="minorHAnsi"/>
                <w:bCs/>
              </w:rPr>
              <w:t xml:space="preserve"> </w:t>
            </w:r>
            <w:r>
              <w:rPr>
                <w:rFonts w:asciiTheme="minorHAnsi" w:hAnsiTheme="minorHAnsi" w:cstheme="minorHAnsi"/>
                <w:bCs/>
              </w:rPr>
              <w:t xml:space="preserve"> </w:t>
            </w:r>
          </w:p>
          <w:p w14:paraId="3A0BF604" w14:textId="59F6B4FA" w:rsidR="005A260F" w:rsidRDefault="005A260F" w:rsidP="00586AF2">
            <w:pPr>
              <w:pStyle w:val="Prrafodelista"/>
              <w:numPr>
                <w:ilvl w:val="0"/>
                <w:numId w:val="3"/>
              </w:numPr>
              <w:jc w:val="both"/>
              <w:rPr>
                <w:rFonts w:asciiTheme="minorHAnsi" w:hAnsiTheme="minorHAnsi" w:cstheme="minorHAnsi"/>
                <w:bCs/>
              </w:rPr>
            </w:pPr>
            <w:r w:rsidRPr="005A260F">
              <w:rPr>
                <w:rFonts w:asciiTheme="minorHAnsi" w:hAnsiTheme="minorHAnsi" w:cstheme="minorHAnsi"/>
                <w:bCs/>
              </w:rPr>
              <w:t>Improcedencia, falta de medio de prueba e indebida cuantificación del supuesto lucro cesante que pretende el demandante.</w:t>
            </w:r>
          </w:p>
          <w:p w14:paraId="05439050" w14:textId="7CC0AD2D" w:rsidR="005A260F" w:rsidRPr="005A260F" w:rsidRDefault="005A260F" w:rsidP="00586AF2">
            <w:pPr>
              <w:pStyle w:val="Prrafodelista"/>
              <w:numPr>
                <w:ilvl w:val="0"/>
                <w:numId w:val="3"/>
              </w:numPr>
              <w:jc w:val="both"/>
              <w:rPr>
                <w:rFonts w:asciiTheme="minorHAnsi" w:hAnsiTheme="minorHAnsi" w:cstheme="minorHAnsi"/>
                <w:bCs/>
              </w:rPr>
            </w:pPr>
            <w:r w:rsidRPr="005A260F">
              <w:rPr>
                <w:rFonts w:asciiTheme="minorHAnsi" w:hAnsiTheme="minorHAnsi" w:cstheme="minorHAnsi"/>
                <w:bCs/>
              </w:rPr>
              <w:t xml:space="preserve">Falta de legitimación en la causa por activa de los señores </w:t>
            </w:r>
            <w:r>
              <w:rPr>
                <w:rFonts w:asciiTheme="minorHAnsi" w:hAnsiTheme="minorHAnsi" w:cstheme="minorHAnsi"/>
                <w:bCs/>
              </w:rPr>
              <w:t>E</w:t>
            </w:r>
            <w:r w:rsidRPr="005A260F">
              <w:rPr>
                <w:rFonts w:asciiTheme="minorHAnsi" w:hAnsiTheme="minorHAnsi" w:cstheme="minorHAnsi"/>
                <w:bCs/>
              </w:rPr>
              <w:t xml:space="preserve">nrique </w:t>
            </w:r>
            <w:r>
              <w:rPr>
                <w:rFonts w:asciiTheme="minorHAnsi" w:hAnsiTheme="minorHAnsi" w:cstheme="minorHAnsi"/>
                <w:bCs/>
              </w:rPr>
              <w:t>R</w:t>
            </w:r>
            <w:r w:rsidRPr="005A260F">
              <w:rPr>
                <w:rFonts w:asciiTheme="minorHAnsi" w:hAnsiTheme="minorHAnsi" w:cstheme="minorHAnsi"/>
                <w:bCs/>
              </w:rPr>
              <w:t xml:space="preserve">incón </w:t>
            </w:r>
            <w:r>
              <w:rPr>
                <w:rFonts w:asciiTheme="minorHAnsi" w:hAnsiTheme="minorHAnsi" w:cstheme="minorHAnsi"/>
                <w:bCs/>
              </w:rPr>
              <w:t>M</w:t>
            </w:r>
            <w:r w:rsidRPr="005A260F">
              <w:rPr>
                <w:rFonts w:asciiTheme="minorHAnsi" w:hAnsiTheme="minorHAnsi" w:cstheme="minorHAnsi"/>
                <w:bCs/>
              </w:rPr>
              <w:t xml:space="preserve">arín, </w:t>
            </w:r>
            <w:r>
              <w:rPr>
                <w:rFonts w:asciiTheme="minorHAnsi" w:hAnsiTheme="minorHAnsi" w:cstheme="minorHAnsi"/>
                <w:bCs/>
              </w:rPr>
              <w:t>L</w:t>
            </w:r>
            <w:r w:rsidRPr="005A260F">
              <w:rPr>
                <w:rFonts w:asciiTheme="minorHAnsi" w:hAnsiTheme="minorHAnsi" w:cstheme="minorHAnsi"/>
                <w:bCs/>
              </w:rPr>
              <w:t xml:space="preserve">uis </w:t>
            </w:r>
            <w:r>
              <w:rPr>
                <w:rFonts w:asciiTheme="minorHAnsi" w:hAnsiTheme="minorHAnsi" w:cstheme="minorHAnsi"/>
                <w:bCs/>
              </w:rPr>
              <w:t>A</w:t>
            </w:r>
            <w:r w:rsidRPr="005A260F">
              <w:rPr>
                <w:rFonts w:asciiTheme="minorHAnsi" w:hAnsiTheme="minorHAnsi" w:cstheme="minorHAnsi"/>
                <w:bCs/>
              </w:rPr>
              <w:t xml:space="preserve">lfonso </w:t>
            </w:r>
            <w:r>
              <w:rPr>
                <w:rFonts w:asciiTheme="minorHAnsi" w:hAnsiTheme="minorHAnsi" w:cstheme="minorHAnsi"/>
                <w:bCs/>
              </w:rPr>
              <w:t>Q</w:t>
            </w:r>
            <w:r w:rsidRPr="005A260F">
              <w:rPr>
                <w:rFonts w:asciiTheme="minorHAnsi" w:hAnsiTheme="minorHAnsi" w:cstheme="minorHAnsi"/>
                <w:bCs/>
              </w:rPr>
              <w:t xml:space="preserve">uintana </w:t>
            </w:r>
            <w:r>
              <w:rPr>
                <w:rFonts w:asciiTheme="minorHAnsi" w:hAnsiTheme="minorHAnsi" w:cstheme="minorHAnsi"/>
                <w:bCs/>
              </w:rPr>
              <w:t>L</w:t>
            </w:r>
            <w:r w:rsidRPr="005A260F">
              <w:rPr>
                <w:rFonts w:asciiTheme="minorHAnsi" w:hAnsiTheme="minorHAnsi" w:cstheme="minorHAnsi"/>
                <w:bCs/>
              </w:rPr>
              <w:t xml:space="preserve">onga y </w:t>
            </w:r>
            <w:r>
              <w:rPr>
                <w:rFonts w:asciiTheme="minorHAnsi" w:hAnsiTheme="minorHAnsi" w:cstheme="minorHAnsi"/>
                <w:bCs/>
              </w:rPr>
              <w:t>J</w:t>
            </w:r>
            <w:r w:rsidRPr="005A260F">
              <w:rPr>
                <w:rFonts w:asciiTheme="minorHAnsi" w:hAnsiTheme="minorHAnsi" w:cstheme="minorHAnsi"/>
                <w:bCs/>
              </w:rPr>
              <w:t xml:space="preserve">ames </w:t>
            </w:r>
            <w:r>
              <w:rPr>
                <w:rFonts w:asciiTheme="minorHAnsi" w:hAnsiTheme="minorHAnsi" w:cstheme="minorHAnsi"/>
                <w:bCs/>
              </w:rPr>
              <w:t>E</w:t>
            </w:r>
            <w:r w:rsidRPr="005A260F">
              <w:rPr>
                <w:rFonts w:asciiTheme="minorHAnsi" w:hAnsiTheme="minorHAnsi" w:cstheme="minorHAnsi"/>
                <w:bCs/>
              </w:rPr>
              <w:t xml:space="preserve">duardo </w:t>
            </w:r>
            <w:r>
              <w:rPr>
                <w:rFonts w:asciiTheme="minorHAnsi" w:hAnsiTheme="minorHAnsi" w:cstheme="minorHAnsi"/>
                <w:bCs/>
              </w:rPr>
              <w:t>A</w:t>
            </w:r>
            <w:r w:rsidRPr="005A260F">
              <w:rPr>
                <w:rFonts w:asciiTheme="minorHAnsi" w:hAnsiTheme="minorHAnsi" w:cstheme="minorHAnsi"/>
                <w:bCs/>
              </w:rPr>
              <w:t xml:space="preserve">ngulo </w:t>
            </w:r>
            <w:r>
              <w:rPr>
                <w:rFonts w:asciiTheme="minorHAnsi" w:hAnsiTheme="minorHAnsi" w:cstheme="minorHAnsi"/>
                <w:bCs/>
              </w:rPr>
              <w:t>G</w:t>
            </w:r>
            <w:r w:rsidRPr="005A260F">
              <w:rPr>
                <w:rFonts w:asciiTheme="minorHAnsi" w:hAnsiTheme="minorHAnsi" w:cstheme="minorHAnsi"/>
                <w:bCs/>
              </w:rPr>
              <w:t>onzález</w:t>
            </w:r>
            <w:r>
              <w:rPr>
                <w:rFonts w:asciiTheme="minorHAnsi" w:hAnsiTheme="minorHAnsi" w:cstheme="minorHAnsi"/>
                <w:bCs/>
              </w:rPr>
              <w:t>.</w:t>
            </w:r>
          </w:p>
          <w:p w14:paraId="500322FB" w14:textId="77777777" w:rsidR="0057097F" w:rsidRPr="000B7A27" w:rsidRDefault="0057097F">
            <w:pPr>
              <w:jc w:val="both"/>
              <w:rPr>
                <w:rFonts w:asciiTheme="minorHAnsi" w:hAnsiTheme="minorHAnsi" w:cstheme="minorHAnsi"/>
                <w:b/>
              </w:rPr>
            </w:pPr>
          </w:p>
          <w:p w14:paraId="500322FC" w14:textId="77777777" w:rsidR="0057097F" w:rsidRPr="000B7A27" w:rsidRDefault="0057097F">
            <w:pPr>
              <w:jc w:val="both"/>
              <w:rPr>
                <w:rFonts w:asciiTheme="minorHAnsi" w:hAnsiTheme="minorHAnsi" w:cstheme="minorHAnsi"/>
                <w:b/>
              </w:rPr>
            </w:pPr>
          </w:p>
          <w:p w14:paraId="500322FD" w14:textId="453C29C4" w:rsidR="0057097F" w:rsidRDefault="000B7A27">
            <w:pPr>
              <w:jc w:val="both"/>
              <w:rPr>
                <w:rFonts w:asciiTheme="minorHAnsi" w:hAnsiTheme="minorHAnsi" w:cstheme="minorBidi"/>
              </w:rPr>
            </w:pPr>
            <w:r w:rsidRPr="357EB3F4">
              <w:rPr>
                <w:rFonts w:asciiTheme="minorHAnsi" w:hAnsiTheme="minorHAnsi" w:cstheme="minorBidi"/>
              </w:rPr>
              <w:t xml:space="preserve">EXCEPCIONES </w:t>
            </w:r>
            <w:r w:rsidR="00B51959">
              <w:rPr>
                <w:rFonts w:asciiTheme="minorHAnsi" w:hAnsiTheme="minorHAnsi" w:cstheme="minorBidi"/>
              </w:rPr>
              <w:t>DE FONDO FRENTE AL CONTRATO DE SEGURO:</w:t>
            </w:r>
          </w:p>
          <w:p w14:paraId="1B1480E7" w14:textId="77777777" w:rsidR="00B51959" w:rsidRDefault="00B51959">
            <w:pPr>
              <w:jc w:val="both"/>
              <w:rPr>
                <w:rFonts w:asciiTheme="minorHAnsi" w:hAnsiTheme="minorHAnsi" w:cstheme="minorBidi"/>
              </w:rPr>
            </w:pPr>
          </w:p>
          <w:p w14:paraId="6ACA94BE" w14:textId="674FB678" w:rsidR="00B51959" w:rsidRDefault="00B51959" w:rsidP="00B51959">
            <w:pPr>
              <w:pStyle w:val="Prrafodelista"/>
              <w:numPr>
                <w:ilvl w:val="0"/>
                <w:numId w:val="3"/>
              </w:numPr>
              <w:jc w:val="both"/>
              <w:rPr>
                <w:rFonts w:asciiTheme="minorHAnsi" w:hAnsiTheme="minorHAnsi" w:cstheme="minorHAnsi"/>
              </w:rPr>
            </w:pPr>
            <w:r>
              <w:rPr>
                <w:rFonts w:asciiTheme="minorHAnsi" w:hAnsiTheme="minorHAnsi" w:cstheme="minorHAnsi"/>
              </w:rPr>
              <w:t>Inexistencia de obligación de indemnizar por incumplimiento de las cargas del artículo 1077 del Código de Comercio</w:t>
            </w:r>
            <w:r w:rsidR="006E1122">
              <w:rPr>
                <w:rFonts w:asciiTheme="minorHAnsi" w:hAnsiTheme="minorHAnsi" w:cstheme="minorHAnsi"/>
              </w:rPr>
              <w:t>.</w:t>
            </w:r>
          </w:p>
          <w:p w14:paraId="4E916511" w14:textId="0A1EA3A9" w:rsidR="006E1122" w:rsidRDefault="006E1122" w:rsidP="00B51959">
            <w:pPr>
              <w:pStyle w:val="Prrafodelista"/>
              <w:numPr>
                <w:ilvl w:val="0"/>
                <w:numId w:val="3"/>
              </w:numPr>
              <w:jc w:val="both"/>
              <w:rPr>
                <w:rFonts w:asciiTheme="minorHAnsi" w:hAnsiTheme="minorHAnsi" w:cstheme="minorHAnsi"/>
              </w:rPr>
            </w:pPr>
            <w:r w:rsidRPr="006E1122">
              <w:rPr>
                <w:rFonts w:asciiTheme="minorHAnsi" w:hAnsiTheme="minorHAnsi" w:cstheme="minorHAnsi"/>
              </w:rPr>
              <w:t xml:space="preserve">Riesgos expresamente excluidos en la póliza de seguro de automóviles </w:t>
            </w:r>
            <w:r>
              <w:rPr>
                <w:rFonts w:asciiTheme="minorHAnsi" w:hAnsiTheme="minorHAnsi" w:cstheme="minorHAnsi"/>
              </w:rPr>
              <w:t>N</w:t>
            </w:r>
            <w:r w:rsidRPr="006E1122">
              <w:rPr>
                <w:rFonts w:asciiTheme="minorHAnsi" w:hAnsiTheme="minorHAnsi" w:cstheme="minorHAnsi"/>
              </w:rPr>
              <w:t>o. 497218.</w:t>
            </w:r>
          </w:p>
          <w:p w14:paraId="412EFD27" w14:textId="650DE763" w:rsidR="00B51959" w:rsidRDefault="00B51959" w:rsidP="00B51959">
            <w:pPr>
              <w:pStyle w:val="Prrafodelista"/>
              <w:numPr>
                <w:ilvl w:val="0"/>
                <w:numId w:val="3"/>
              </w:numPr>
              <w:jc w:val="both"/>
              <w:rPr>
                <w:rFonts w:asciiTheme="minorHAnsi" w:hAnsiTheme="minorHAnsi" w:cstheme="minorHAnsi"/>
              </w:rPr>
            </w:pPr>
            <w:r>
              <w:rPr>
                <w:rFonts w:asciiTheme="minorHAnsi" w:hAnsiTheme="minorHAnsi" w:cstheme="minorHAnsi"/>
              </w:rPr>
              <w:t>Carácter meramente indemnizatorio que revisten los contratos de seguros</w:t>
            </w:r>
            <w:r w:rsidR="006E1122">
              <w:rPr>
                <w:rFonts w:asciiTheme="minorHAnsi" w:hAnsiTheme="minorHAnsi" w:cstheme="minorHAnsi"/>
              </w:rPr>
              <w:t>.</w:t>
            </w:r>
          </w:p>
          <w:p w14:paraId="7F3A5F65" w14:textId="5479357A" w:rsidR="00B51959" w:rsidRDefault="00B51959" w:rsidP="00B51959">
            <w:pPr>
              <w:pStyle w:val="Prrafodelista"/>
              <w:numPr>
                <w:ilvl w:val="0"/>
                <w:numId w:val="3"/>
              </w:numPr>
              <w:jc w:val="both"/>
              <w:rPr>
                <w:rFonts w:asciiTheme="minorHAnsi" w:hAnsiTheme="minorHAnsi" w:cstheme="minorHAnsi"/>
              </w:rPr>
            </w:pPr>
            <w:r>
              <w:rPr>
                <w:rFonts w:asciiTheme="minorHAnsi" w:hAnsiTheme="minorHAnsi" w:cstheme="minorHAnsi"/>
              </w:rPr>
              <w:t>En cualquier caso, de ninguna forma se podrá exceder el límite del valor asegurado en la póliza No. 497218</w:t>
            </w:r>
            <w:r w:rsidR="006E1122">
              <w:rPr>
                <w:rFonts w:asciiTheme="minorHAnsi" w:hAnsiTheme="minorHAnsi" w:cstheme="minorHAnsi"/>
              </w:rPr>
              <w:t>.</w:t>
            </w:r>
          </w:p>
          <w:p w14:paraId="64F8760B" w14:textId="0C36516F" w:rsidR="000665D7" w:rsidRDefault="000665D7" w:rsidP="00B51959">
            <w:pPr>
              <w:pStyle w:val="Prrafodelista"/>
              <w:numPr>
                <w:ilvl w:val="0"/>
                <w:numId w:val="3"/>
              </w:numPr>
              <w:jc w:val="both"/>
              <w:rPr>
                <w:rFonts w:asciiTheme="minorHAnsi" w:hAnsiTheme="minorHAnsi" w:cstheme="minorHAnsi"/>
              </w:rPr>
            </w:pPr>
            <w:r>
              <w:rPr>
                <w:rFonts w:asciiTheme="minorHAnsi" w:hAnsiTheme="minorHAnsi" w:cstheme="minorHAnsi"/>
              </w:rPr>
              <w:t xml:space="preserve">La eventual obligación de HDI SEGUROS COLOMBIA S.A. (ANTES </w:t>
            </w:r>
            <w:r>
              <w:rPr>
                <w:rFonts w:asciiTheme="minorHAnsi" w:hAnsiTheme="minorHAnsi" w:cstheme="minorHAnsi"/>
              </w:rPr>
              <w:lastRenderedPageBreak/>
              <w:t>LIBERTY SEGUROS S.A.), se circunscribe en proporción a la cuantía</w:t>
            </w:r>
            <w:r w:rsidR="00245726">
              <w:rPr>
                <w:rFonts w:asciiTheme="minorHAnsi" w:hAnsiTheme="minorHAnsi" w:cstheme="minorHAnsi"/>
              </w:rPr>
              <w:t xml:space="preserve"> de su participación porcentual, de acuerdo con el coaseguro concertado en la póliza de automóviles número 497218 con </w:t>
            </w:r>
            <w:r w:rsidR="006E1122">
              <w:rPr>
                <w:rFonts w:asciiTheme="minorHAnsi" w:hAnsiTheme="minorHAnsi" w:cstheme="minorHAnsi"/>
              </w:rPr>
              <w:t>S</w:t>
            </w:r>
            <w:r w:rsidR="00245726">
              <w:rPr>
                <w:rFonts w:asciiTheme="minorHAnsi" w:hAnsiTheme="minorHAnsi" w:cstheme="minorHAnsi"/>
              </w:rPr>
              <w:t xml:space="preserve">eguros </w:t>
            </w:r>
            <w:r w:rsidR="006E1122">
              <w:rPr>
                <w:rFonts w:asciiTheme="minorHAnsi" w:hAnsiTheme="minorHAnsi" w:cstheme="minorHAnsi"/>
              </w:rPr>
              <w:t>A</w:t>
            </w:r>
            <w:r w:rsidR="00245726">
              <w:rPr>
                <w:rFonts w:asciiTheme="minorHAnsi" w:hAnsiTheme="minorHAnsi" w:cstheme="minorHAnsi"/>
              </w:rPr>
              <w:t xml:space="preserve">lfa. </w:t>
            </w:r>
          </w:p>
          <w:p w14:paraId="3E1BF715" w14:textId="6FDF97EC" w:rsidR="0062144B" w:rsidRDefault="0062144B" w:rsidP="00B51959">
            <w:pPr>
              <w:pStyle w:val="Prrafodelista"/>
              <w:numPr>
                <w:ilvl w:val="0"/>
                <w:numId w:val="3"/>
              </w:numPr>
              <w:jc w:val="both"/>
              <w:rPr>
                <w:rFonts w:asciiTheme="minorHAnsi" w:hAnsiTheme="minorHAnsi" w:cstheme="minorHAnsi"/>
              </w:rPr>
            </w:pPr>
            <w:r w:rsidRPr="0062144B">
              <w:rPr>
                <w:rFonts w:asciiTheme="minorHAnsi" w:hAnsiTheme="minorHAnsi" w:cstheme="minorHAnsi"/>
              </w:rPr>
              <w:t xml:space="preserve">Inexistencia de obligación a cargo de </w:t>
            </w:r>
            <w:r>
              <w:rPr>
                <w:rFonts w:asciiTheme="minorHAnsi" w:hAnsiTheme="minorHAnsi" w:cstheme="minorHAnsi"/>
              </w:rPr>
              <w:t>HDI</w:t>
            </w:r>
            <w:r w:rsidRPr="0062144B">
              <w:rPr>
                <w:rFonts w:asciiTheme="minorHAnsi" w:hAnsiTheme="minorHAnsi" w:cstheme="minorHAnsi"/>
              </w:rPr>
              <w:t xml:space="preserve"> </w:t>
            </w:r>
            <w:r>
              <w:rPr>
                <w:rFonts w:asciiTheme="minorHAnsi" w:hAnsiTheme="minorHAnsi" w:cstheme="minorHAnsi"/>
              </w:rPr>
              <w:t>S</w:t>
            </w:r>
            <w:r w:rsidRPr="0062144B">
              <w:rPr>
                <w:rFonts w:asciiTheme="minorHAnsi" w:hAnsiTheme="minorHAnsi" w:cstheme="minorHAnsi"/>
              </w:rPr>
              <w:t xml:space="preserve">eguros </w:t>
            </w:r>
            <w:r>
              <w:rPr>
                <w:rFonts w:asciiTheme="minorHAnsi" w:hAnsiTheme="minorHAnsi" w:cstheme="minorHAnsi"/>
              </w:rPr>
              <w:t>C</w:t>
            </w:r>
            <w:r w:rsidRPr="0062144B">
              <w:rPr>
                <w:rFonts w:asciiTheme="minorHAnsi" w:hAnsiTheme="minorHAnsi" w:cstheme="minorHAnsi"/>
              </w:rPr>
              <w:t xml:space="preserve">olombia </w:t>
            </w:r>
            <w:r>
              <w:rPr>
                <w:rFonts w:asciiTheme="minorHAnsi" w:hAnsiTheme="minorHAnsi" w:cstheme="minorHAnsi"/>
              </w:rPr>
              <w:t>S.A.</w:t>
            </w:r>
            <w:r w:rsidRPr="0062144B">
              <w:rPr>
                <w:rFonts w:asciiTheme="minorHAnsi" w:hAnsiTheme="minorHAnsi" w:cstheme="minorHAnsi"/>
              </w:rPr>
              <w:t xml:space="preserve"> (antes </w:t>
            </w:r>
            <w:proofErr w:type="spellStart"/>
            <w:r w:rsidRPr="0062144B">
              <w:rPr>
                <w:rFonts w:asciiTheme="minorHAnsi" w:hAnsiTheme="minorHAnsi" w:cstheme="minorHAnsi"/>
              </w:rPr>
              <w:t>liberty</w:t>
            </w:r>
            <w:proofErr w:type="spellEnd"/>
            <w:r w:rsidRPr="0062144B">
              <w:rPr>
                <w:rFonts w:asciiTheme="minorHAnsi" w:hAnsiTheme="minorHAnsi" w:cstheme="minorHAnsi"/>
              </w:rPr>
              <w:t xml:space="preserve"> seguros s.a.) de pagar intereses de mora en virtud del artículo 1080 del código de comercio.</w:t>
            </w:r>
          </w:p>
          <w:p w14:paraId="378B6FB2" w14:textId="7D6858DC" w:rsidR="0062144B" w:rsidRDefault="0062144B" w:rsidP="00B51959">
            <w:pPr>
              <w:pStyle w:val="Prrafodelista"/>
              <w:numPr>
                <w:ilvl w:val="0"/>
                <w:numId w:val="3"/>
              </w:numPr>
              <w:jc w:val="both"/>
              <w:rPr>
                <w:rFonts w:asciiTheme="minorHAnsi" w:hAnsiTheme="minorHAnsi" w:cstheme="minorHAnsi"/>
              </w:rPr>
            </w:pPr>
            <w:r w:rsidRPr="0062144B">
              <w:rPr>
                <w:rFonts w:asciiTheme="minorHAnsi" w:hAnsiTheme="minorHAnsi" w:cstheme="minorHAnsi"/>
              </w:rPr>
              <w:t xml:space="preserve">Imposibilidad de atribuir responsabilidad civil de manera solidaria en cabeza de </w:t>
            </w:r>
            <w:r>
              <w:rPr>
                <w:rFonts w:asciiTheme="minorHAnsi" w:hAnsiTheme="minorHAnsi" w:cstheme="minorHAnsi"/>
              </w:rPr>
              <w:t>HDI</w:t>
            </w:r>
            <w:r w:rsidRPr="0062144B">
              <w:rPr>
                <w:rFonts w:asciiTheme="minorHAnsi" w:hAnsiTheme="minorHAnsi" w:cstheme="minorHAnsi"/>
              </w:rPr>
              <w:t xml:space="preserve"> </w:t>
            </w:r>
            <w:r>
              <w:rPr>
                <w:rFonts w:asciiTheme="minorHAnsi" w:hAnsiTheme="minorHAnsi" w:cstheme="minorHAnsi"/>
              </w:rPr>
              <w:t>S</w:t>
            </w:r>
            <w:r w:rsidRPr="0062144B">
              <w:rPr>
                <w:rFonts w:asciiTheme="minorHAnsi" w:hAnsiTheme="minorHAnsi" w:cstheme="minorHAnsi"/>
              </w:rPr>
              <w:t xml:space="preserve">eguros </w:t>
            </w:r>
            <w:r>
              <w:rPr>
                <w:rFonts w:asciiTheme="minorHAnsi" w:hAnsiTheme="minorHAnsi" w:cstheme="minorHAnsi"/>
              </w:rPr>
              <w:t>C</w:t>
            </w:r>
            <w:r w:rsidRPr="0062144B">
              <w:rPr>
                <w:rFonts w:asciiTheme="minorHAnsi" w:hAnsiTheme="minorHAnsi" w:cstheme="minorHAnsi"/>
              </w:rPr>
              <w:t xml:space="preserve">olombia </w:t>
            </w:r>
            <w:r>
              <w:rPr>
                <w:rFonts w:asciiTheme="minorHAnsi" w:hAnsiTheme="minorHAnsi" w:cstheme="minorHAnsi"/>
              </w:rPr>
              <w:t>S</w:t>
            </w:r>
            <w:r w:rsidRPr="0062144B">
              <w:rPr>
                <w:rFonts w:asciiTheme="minorHAnsi" w:hAnsiTheme="minorHAnsi" w:cstheme="minorHAnsi"/>
              </w:rPr>
              <w:t>.</w:t>
            </w:r>
            <w:r>
              <w:rPr>
                <w:rFonts w:asciiTheme="minorHAnsi" w:hAnsiTheme="minorHAnsi" w:cstheme="minorHAnsi"/>
              </w:rPr>
              <w:t>A.</w:t>
            </w:r>
          </w:p>
          <w:p w14:paraId="0D5F1E08" w14:textId="4CA2AD86" w:rsidR="00806434" w:rsidRDefault="00806434" w:rsidP="00B51959">
            <w:pPr>
              <w:pStyle w:val="Prrafodelista"/>
              <w:numPr>
                <w:ilvl w:val="0"/>
                <w:numId w:val="3"/>
              </w:numPr>
              <w:jc w:val="both"/>
              <w:rPr>
                <w:rFonts w:asciiTheme="minorHAnsi" w:hAnsiTheme="minorHAnsi" w:cstheme="minorHAnsi"/>
              </w:rPr>
            </w:pPr>
            <w:r>
              <w:rPr>
                <w:rFonts w:asciiTheme="minorHAnsi" w:hAnsiTheme="minorHAnsi" w:cstheme="minorHAnsi"/>
              </w:rPr>
              <w:t>Disponibilidad de la suma asegurada</w:t>
            </w:r>
            <w:r w:rsidR="001A1E58">
              <w:rPr>
                <w:rFonts w:asciiTheme="minorHAnsi" w:hAnsiTheme="minorHAnsi" w:cstheme="minorHAnsi"/>
              </w:rPr>
              <w:t>.</w:t>
            </w:r>
          </w:p>
          <w:p w14:paraId="5E071FA4" w14:textId="6CC0AE34" w:rsidR="00806434" w:rsidRDefault="00806434" w:rsidP="00B51959">
            <w:pPr>
              <w:pStyle w:val="Prrafodelista"/>
              <w:numPr>
                <w:ilvl w:val="0"/>
                <w:numId w:val="3"/>
              </w:numPr>
              <w:jc w:val="both"/>
              <w:rPr>
                <w:rFonts w:asciiTheme="minorHAnsi" w:hAnsiTheme="minorHAnsi" w:cstheme="minorHAnsi"/>
              </w:rPr>
            </w:pPr>
            <w:r>
              <w:rPr>
                <w:rFonts w:asciiTheme="minorHAnsi" w:hAnsiTheme="minorHAnsi" w:cstheme="minorHAnsi"/>
              </w:rPr>
              <w:t xml:space="preserve">Genérica o innominada. </w:t>
            </w:r>
          </w:p>
          <w:p w14:paraId="500322FF" w14:textId="77777777" w:rsidR="0057097F" w:rsidRPr="00B100DD" w:rsidRDefault="0057097F" w:rsidP="00B100DD">
            <w:pPr>
              <w:jc w:val="both"/>
              <w:rPr>
                <w:rFonts w:asciiTheme="minorHAnsi" w:hAnsiTheme="minorHAnsi" w:cstheme="minorHAnsi"/>
              </w:rPr>
            </w:pPr>
          </w:p>
        </w:tc>
      </w:tr>
      <w:tr w:rsidR="0057097F" w:rsidRPr="000B7A27" w14:paraId="50032303" w14:textId="77777777" w:rsidTr="357EB3F4">
        <w:tc>
          <w:tcPr>
            <w:tcW w:w="6000" w:type="dxa"/>
            <w:shd w:val="clear" w:color="auto" w:fill="D9D9D9" w:themeFill="background1" w:themeFillShade="D9"/>
          </w:tcPr>
          <w:p w14:paraId="50032301" w14:textId="77777777" w:rsidR="0057097F" w:rsidRPr="000B7A27" w:rsidRDefault="000B7A27">
            <w:pPr>
              <w:rPr>
                <w:rFonts w:asciiTheme="minorHAnsi" w:hAnsiTheme="minorHAnsi" w:cstheme="minorHAnsi"/>
                <w:b/>
              </w:rPr>
            </w:pPr>
            <w:r w:rsidRPr="000B7A27">
              <w:rPr>
                <w:rFonts w:asciiTheme="minorHAnsi" w:hAnsiTheme="minorHAnsi" w:cstheme="minorHAnsi"/>
                <w:b/>
              </w:rPr>
              <w:lastRenderedPageBreak/>
              <w:t>Concepto del abogado sobre la posibilidad de conciliar el caso y valor de una propuesta conciliatoria:</w:t>
            </w:r>
          </w:p>
        </w:tc>
        <w:tc>
          <w:tcPr>
            <w:tcW w:w="4410" w:type="dxa"/>
          </w:tcPr>
          <w:p w14:paraId="50032302" w14:textId="1B5F7239" w:rsidR="0057097F" w:rsidRPr="00B100DD" w:rsidRDefault="00B100DD">
            <w:pPr>
              <w:jc w:val="both"/>
              <w:rPr>
                <w:rFonts w:asciiTheme="minorHAnsi" w:hAnsiTheme="minorHAnsi" w:cstheme="minorHAnsi"/>
                <w:bCs/>
              </w:rPr>
            </w:pPr>
            <w:r>
              <w:rPr>
                <w:rFonts w:asciiTheme="minorHAnsi" w:hAnsiTheme="minorHAnsi" w:cstheme="minorHAnsi"/>
                <w:bCs/>
              </w:rPr>
              <w:t xml:space="preserve">Teniendo en cuenta la calificación de la contingencia se considera pertinente auscultar la posibilidad de ofrecer una suma de dinero para alcanzar un acuerdo conciliatorio. Ahora bien, por el momento se considera que la suma a considerar no puede ser mayor al valor de $240.000.000 correspondiente a la liquidación objetiva. No </w:t>
            </w:r>
            <w:proofErr w:type="gramStart"/>
            <w:r>
              <w:rPr>
                <w:rFonts w:asciiTheme="minorHAnsi" w:hAnsiTheme="minorHAnsi" w:cstheme="minorHAnsi"/>
                <w:bCs/>
              </w:rPr>
              <w:t>obstante</w:t>
            </w:r>
            <w:proofErr w:type="gramEnd"/>
            <w:r>
              <w:rPr>
                <w:rFonts w:asciiTheme="minorHAnsi" w:hAnsiTheme="minorHAnsi" w:cstheme="minorHAnsi"/>
                <w:bCs/>
              </w:rPr>
              <w:t xml:space="preserve"> lo anterior, debe tenerse en cuenta que en la liquidación no se consideró un porcentaje de PCL ya que hasta el momento no se encuentra acreditado, igualmente, no se reconoció suma alguna a favor de dos de los demandantes al no haber acreditado hasta el momento su filiación con la víctima, situación que podría variar en el desarrollo de la audiencia inicial siendo necesario modificar la liquidación objetiva.</w:t>
            </w:r>
          </w:p>
        </w:tc>
      </w:tr>
    </w:tbl>
    <w:p w14:paraId="50032304" w14:textId="77777777" w:rsidR="0057097F" w:rsidRPr="000B7A27" w:rsidRDefault="0057097F">
      <w:pPr>
        <w:rPr>
          <w:rFonts w:asciiTheme="minorHAnsi" w:hAnsiTheme="minorHAnsi" w:cstheme="minorHAnsi"/>
          <w:b/>
        </w:rPr>
      </w:pPr>
    </w:p>
    <w:p w14:paraId="50032305" w14:textId="77777777" w:rsidR="0057097F" w:rsidRPr="000B7A27" w:rsidRDefault="0057097F">
      <w:pPr>
        <w:rPr>
          <w:rFonts w:asciiTheme="minorHAnsi" w:hAnsiTheme="minorHAnsi" w:cstheme="minorHAnsi"/>
          <w:b/>
        </w:rPr>
      </w:pPr>
    </w:p>
    <w:p w14:paraId="50032306" w14:textId="77777777" w:rsidR="0057097F" w:rsidRPr="000B7A27" w:rsidRDefault="000B7A27">
      <w:pPr>
        <w:rPr>
          <w:rFonts w:asciiTheme="minorHAnsi" w:hAnsiTheme="minorHAnsi" w:cstheme="minorHAnsi"/>
          <w:b/>
        </w:rPr>
      </w:pPr>
      <w:r w:rsidRPr="000B7A27">
        <w:rPr>
          <w:rFonts w:asciiTheme="minorHAnsi" w:hAnsiTheme="minorHAnsi" w:cstheme="min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0B7A27" w14:paraId="50032309" w14:textId="77777777">
        <w:trPr>
          <w:trHeight w:val="238"/>
        </w:trPr>
        <w:tc>
          <w:tcPr>
            <w:tcW w:w="4414" w:type="dxa"/>
            <w:shd w:val="clear" w:color="auto" w:fill="D9D9D9"/>
          </w:tcPr>
          <w:p w14:paraId="50032307" w14:textId="77777777" w:rsidR="0057097F" w:rsidRPr="000B7A27" w:rsidRDefault="000B7A27">
            <w:pPr>
              <w:rPr>
                <w:rFonts w:asciiTheme="minorHAnsi" w:hAnsiTheme="minorHAnsi" w:cstheme="minorHAnsi"/>
                <w:b/>
              </w:rPr>
            </w:pPr>
            <w:r w:rsidRPr="000B7A27">
              <w:rPr>
                <w:rFonts w:asciiTheme="minorHAnsi" w:hAnsiTheme="minorHAnsi" w:cstheme="minorHAnsi"/>
                <w:b/>
              </w:rPr>
              <w:t>Fecha y hora de la diligencia:</w:t>
            </w:r>
          </w:p>
        </w:tc>
        <w:tc>
          <w:tcPr>
            <w:tcW w:w="4414" w:type="dxa"/>
          </w:tcPr>
          <w:p w14:paraId="50032308" w14:textId="4DE052B6" w:rsidR="0057097F" w:rsidRPr="000B7A27" w:rsidRDefault="0022674B">
            <w:pPr>
              <w:rPr>
                <w:rFonts w:asciiTheme="minorHAnsi" w:hAnsiTheme="minorHAnsi" w:cstheme="minorHAnsi"/>
                <w:b/>
              </w:rPr>
            </w:pPr>
            <w:r>
              <w:rPr>
                <w:rFonts w:asciiTheme="minorHAnsi" w:hAnsiTheme="minorHAnsi" w:cstheme="minorHAnsi"/>
                <w:b/>
              </w:rPr>
              <w:t>N/A</w:t>
            </w:r>
          </w:p>
        </w:tc>
      </w:tr>
      <w:tr w:rsidR="0057097F" w:rsidRPr="000B7A27" w14:paraId="5003230C" w14:textId="77777777">
        <w:tc>
          <w:tcPr>
            <w:tcW w:w="4414" w:type="dxa"/>
            <w:shd w:val="clear" w:color="auto" w:fill="D9D9D9"/>
          </w:tcPr>
          <w:p w14:paraId="5003230A" w14:textId="77777777" w:rsidR="0057097F" w:rsidRPr="000B7A27" w:rsidRDefault="000B7A27">
            <w:pPr>
              <w:rPr>
                <w:rFonts w:asciiTheme="minorHAnsi" w:hAnsiTheme="minorHAnsi" w:cstheme="minorHAnsi"/>
                <w:b/>
              </w:rPr>
            </w:pPr>
            <w:r w:rsidRPr="000B7A27">
              <w:rPr>
                <w:rFonts w:asciiTheme="minorHAnsi" w:hAnsiTheme="minorHAnsi" w:cstheme="minorHAnsi"/>
                <w:b/>
              </w:rPr>
              <w:t>Síntesis de los argumentos de la Compañía:</w:t>
            </w:r>
          </w:p>
        </w:tc>
        <w:tc>
          <w:tcPr>
            <w:tcW w:w="4414" w:type="dxa"/>
          </w:tcPr>
          <w:p w14:paraId="5003230B" w14:textId="5F135CAF" w:rsidR="0057097F" w:rsidRPr="000B7A27" w:rsidRDefault="0022674B" w:rsidP="0022674B">
            <w:pPr>
              <w:pBdr>
                <w:top w:val="nil"/>
                <w:left w:val="nil"/>
                <w:bottom w:val="nil"/>
                <w:right w:val="nil"/>
                <w:between w:val="nil"/>
              </w:pBdr>
              <w:spacing w:after="160" w:line="259" w:lineRule="auto"/>
              <w:jc w:val="both"/>
              <w:rPr>
                <w:rFonts w:asciiTheme="minorHAnsi" w:hAnsiTheme="minorHAnsi" w:cstheme="minorHAnsi"/>
                <w:color w:val="000000"/>
              </w:rPr>
            </w:pPr>
            <w:r>
              <w:rPr>
                <w:rFonts w:asciiTheme="minorHAnsi" w:hAnsiTheme="minorHAnsi" w:cstheme="minorHAnsi"/>
                <w:color w:val="000000"/>
              </w:rPr>
              <w:t>N/A</w:t>
            </w:r>
          </w:p>
        </w:tc>
      </w:tr>
      <w:tr w:rsidR="0057097F" w:rsidRPr="000B7A27" w14:paraId="5003230F" w14:textId="77777777">
        <w:tc>
          <w:tcPr>
            <w:tcW w:w="4414" w:type="dxa"/>
            <w:shd w:val="clear" w:color="auto" w:fill="D9D9D9"/>
          </w:tcPr>
          <w:p w14:paraId="5003230D" w14:textId="77777777" w:rsidR="0057097F" w:rsidRPr="000B7A27" w:rsidRDefault="000B7A27">
            <w:pPr>
              <w:rPr>
                <w:rFonts w:asciiTheme="minorHAnsi" w:hAnsiTheme="minorHAnsi" w:cstheme="minorHAnsi"/>
                <w:b/>
              </w:rPr>
            </w:pPr>
            <w:r w:rsidRPr="000B7A27">
              <w:rPr>
                <w:rFonts w:asciiTheme="minorHAnsi" w:hAnsiTheme="minorHAnsi" w:cstheme="minorHAnsi"/>
                <w:b/>
              </w:rPr>
              <w:t>Recomendaciones para la diligencia:</w:t>
            </w:r>
          </w:p>
        </w:tc>
        <w:tc>
          <w:tcPr>
            <w:tcW w:w="4414" w:type="dxa"/>
          </w:tcPr>
          <w:p w14:paraId="5003230E" w14:textId="10F842F1" w:rsidR="0057097F" w:rsidRPr="000B7A27" w:rsidRDefault="0022674B">
            <w:pPr>
              <w:jc w:val="both"/>
              <w:rPr>
                <w:rFonts w:asciiTheme="minorHAnsi" w:hAnsiTheme="minorHAnsi" w:cstheme="minorHAnsi"/>
              </w:rPr>
            </w:pPr>
            <w:r>
              <w:rPr>
                <w:rFonts w:asciiTheme="minorHAnsi" w:hAnsiTheme="minorHAnsi" w:cstheme="minorHAnsi"/>
              </w:rPr>
              <w:t>N/A</w:t>
            </w:r>
          </w:p>
        </w:tc>
      </w:tr>
    </w:tbl>
    <w:p w14:paraId="50032310" w14:textId="77777777" w:rsidR="0057097F" w:rsidRPr="000B7A27" w:rsidRDefault="0057097F">
      <w:pPr>
        <w:rPr>
          <w:rFonts w:asciiTheme="minorHAnsi" w:hAnsiTheme="minorHAnsi" w:cstheme="minorHAnsi"/>
          <w:b/>
        </w:rPr>
      </w:pPr>
    </w:p>
    <w:sectPr w:rsidR="0057097F" w:rsidRPr="000B7A2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FC333" w14:textId="77777777" w:rsidR="00777658" w:rsidRDefault="00777658">
      <w:pPr>
        <w:spacing w:after="0" w:line="240" w:lineRule="auto"/>
      </w:pPr>
      <w:r>
        <w:separator/>
      </w:r>
    </w:p>
  </w:endnote>
  <w:endnote w:type="continuationSeparator" w:id="0">
    <w:p w14:paraId="7D0358DA" w14:textId="77777777" w:rsidR="00777658" w:rsidRDefault="0077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CB1AC" w14:textId="77777777" w:rsidR="00777658" w:rsidRDefault="00777658">
      <w:pPr>
        <w:spacing w:after="0" w:line="240" w:lineRule="auto"/>
      </w:pPr>
      <w:r>
        <w:separator/>
      </w:r>
    </w:p>
  </w:footnote>
  <w:footnote w:type="continuationSeparator" w:id="0">
    <w:p w14:paraId="465D528C" w14:textId="77777777" w:rsidR="00777658" w:rsidRDefault="00777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25DEB"/>
    <w:multiLevelType w:val="hybridMultilevel"/>
    <w:tmpl w:val="FB548528"/>
    <w:lvl w:ilvl="0" w:tplc="825ED80C">
      <w:numFmt w:val="bullet"/>
      <w:lvlText w:val="-"/>
      <w:lvlJc w:val="left"/>
      <w:pPr>
        <w:ind w:left="405" w:hanging="360"/>
      </w:pPr>
      <w:rPr>
        <w:rFonts w:ascii="Calibri" w:eastAsia="Calibri" w:hAnsi="Calibri" w:cs="Calibri" w:hint="default"/>
      </w:rPr>
    </w:lvl>
    <w:lvl w:ilvl="1" w:tplc="2C0A0003" w:tentative="1">
      <w:start w:val="1"/>
      <w:numFmt w:val="bullet"/>
      <w:lvlText w:val="o"/>
      <w:lvlJc w:val="left"/>
      <w:pPr>
        <w:ind w:left="1125" w:hanging="360"/>
      </w:pPr>
      <w:rPr>
        <w:rFonts w:ascii="Courier New" w:hAnsi="Courier New" w:cs="Courier New" w:hint="default"/>
      </w:rPr>
    </w:lvl>
    <w:lvl w:ilvl="2" w:tplc="2C0A0005" w:tentative="1">
      <w:start w:val="1"/>
      <w:numFmt w:val="bullet"/>
      <w:lvlText w:val=""/>
      <w:lvlJc w:val="left"/>
      <w:pPr>
        <w:ind w:left="1845" w:hanging="360"/>
      </w:pPr>
      <w:rPr>
        <w:rFonts w:ascii="Wingdings" w:hAnsi="Wingdings" w:hint="default"/>
      </w:rPr>
    </w:lvl>
    <w:lvl w:ilvl="3" w:tplc="2C0A0001" w:tentative="1">
      <w:start w:val="1"/>
      <w:numFmt w:val="bullet"/>
      <w:lvlText w:val=""/>
      <w:lvlJc w:val="left"/>
      <w:pPr>
        <w:ind w:left="2565" w:hanging="360"/>
      </w:pPr>
      <w:rPr>
        <w:rFonts w:ascii="Symbol" w:hAnsi="Symbol" w:hint="default"/>
      </w:rPr>
    </w:lvl>
    <w:lvl w:ilvl="4" w:tplc="2C0A0003" w:tentative="1">
      <w:start w:val="1"/>
      <w:numFmt w:val="bullet"/>
      <w:lvlText w:val="o"/>
      <w:lvlJc w:val="left"/>
      <w:pPr>
        <w:ind w:left="3285" w:hanging="360"/>
      </w:pPr>
      <w:rPr>
        <w:rFonts w:ascii="Courier New" w:hAnsi="Courier New" w:cs="Courier New" w:hint="default"/>
      </w:rPr>
    </w:lvl>
    <w:lvl w:ilvl="5" w:tplc="2C0A0005" w:tentative="1">
      <w:start w:val="1"/>
      <w:numFmt w:val="bullet"/>
      <w:lvlText w:val=""/>
      <w:lvlJc w:val="left"/>
      <w:pPr>
        <w:ind w:left="4005" w:hanging="360"/>
      </w:pPr>
      <w:rPr>
        <w:rFonts w:ascii="Wingdings" w:hAnsi="Wingdings" w:hint="default"/>
      </w:rPr>
    </w:lvl>
    <w:lvl w:ilvl="6" w:tplc="2C0A0001" w:tentative="1">
      <w:start w:val="1"/>
      <w:numFmt w:val="bullet"/>
      <w:lvlText w:val=""/>
      <w:lvlJc w:val="left"/>
      <w:pPr>
        <w:ind w:left="4725" w:hanging="360"/>
      </w:pPr>
      <w:rPr>
        <w:rFonts w:ascii="Symbol" w:hAnsi="Symbol" w:hint="default"/>
      </w:rPr>
    </w:lvl>
    <w:lvl w:ilvl="7" w:tplc="2C0A0003" w:tentative="1">
      <w:start w:val="1"/>
      <w:numFmt w:val="bullet"/>
      <w:lvlText w:val="o"/>
      <w:lvlJc w:val="left"/>
      <w:pPr>
        <w:ind w:left="5445" w:hanging="360"/>
      </w:pPr>
      <w:rPr>
        <w:rFonts w:ascii="Courier New" w:hAnsi="Courier New" w:cs="Courier New" w:hint="default"/>
      </w:rPr>
    </w:lvl>
    <w:lvl w:ilvl="8" w:tplc="2C0A0005" w:tentative="1">
      <w:start w:val="1"/>
      <w:numFmt w:val="bullet"/>
      <w:lvlText w:val=""/>
      <w:lvlJc w:val="left"/>
      <w:pPr>
        <w:ind w:left="6165" w:hanging="360"/>
      </w:pPr>
      <w:rPr>
        <w:rFonts w:ascii="Wingdings" w:hAnsi="Wingdings" w:hint="default"/>
      </w:rPr>
    </w:lvl>
  </w:abstractNum>
  <w:abstractNum w:abstractNumId="3" w15:restartNumberingAfterBreak="0">
    <w:nsid w:val="6A784ACB"/>
    <w:multiLevelType w:val="hybridMultilevel"/>
    <w:tmpl w:val="8256B4AC"/>
    <w:lvl w:ilvl="0" w:tplc="B86EED2E">
      <w:start w:val="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557593865">
    <w:abstractNumId w:val="1"/>
  </w:num>
  <w:num w:numId="2" w16cid:durableId="324867110">
    <w:abstractNumId w:val="0"/>
  </w:num>
  <w:num w:numId="3" w16cid:durableId="200482439">
    <w:abstractNumId w:val="3"/>
  </w:num>
  <w:num w:numId="4" w16cid:durableId="1039664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665D7"/>
    <w:rsid w:val="00070EA9"/>
    <w:rsid w:val="00074C20"/>
    <w:rsid w:val="000B7A27"/>
    <w:rsid w:val="000E3D07"/>
    <w:rsid w:val="001142F7"/>
    <w:rsid w:val="00142C08"/>
    <w:rsid w:val="00155ED6"/>
    <w:rsid w:val="0016208C"/>
    <w:rsid w:val="00180936"/>
    <w:rsid w:val="0018697E"/>
    <w:rsid w:val="001A1E58"/>
    <w:rsid w:val="001B1EF2"/>
    <w:rsid w:val="001C25D1"/>
    <w:rsid w:val="001D01A1"/>
    <w:rsid w:val="001F113A"/>
    <w:rsid w:val="0021366B"/>
    <w:rsid w:val="0022674B"/>
    <w:rsid w:val="002277CA"/>
    <w:rsid w:val="00234645"/>
    <w:rsid w:val="0023512D"/>
    <w:rsid w:val="00245726"/>
    <w:rsid w:val="0026253A"/>
    <w:rsid w:val="00264651"/>
    <w:rsid w:val="002665B4"/>
    <w:rsid w:val="002A65D9"/>
    <w:rsid w:val="002C7269"/>
    <w:rsid w:val="00303634"/>
    <w:rsid w:val="00336637"/>
    <w:rsid w:val="003403F3"/>
    <w:rsid w:val="003773CB"/>
    <w:rsid w:val="003841FA"/>
    <w:rsid w:val="00384BFD"/>
    <w:rsid w:val="00401EDB"/>
    <w:rsid w:val="004401EB"/>
    <w:rsid w:val="00445F37"/>
    <w:rsid w:val="00480BD0"/>
    <w:rsid w:val="004A7CA8"/>
    <w:rsid w:val="004D16BA"/>
    <w:rsid w:val="004D6F5F"/>
    <w:rsid w:val="004E5DED"/>
    <w:rsid w:val="005009BA"/>
    <w:rsid w:val="005141CE"/>
    <w:rsid w:val="0054555D"/>
    <w:rsid w:val="00565B6F"/>
    <w:rsid w:val="00566100"/>
    <w:rsid w:val="0057097F"/>
    <w:rsid w:val="00586AF2"/>
    <w:rsid w:val="005A260F"/>
    <w:rsid w:val="005A4426"/>
    <w:rsid w:val="005C47A6"/>
    <w:rsid w:val="005D5D32"/>
    <w:rsid w:val="00620D79"/>
    <w:rsid w:val="0062144B"/>
    <w:rsid w:val="00634F61"/>
    <w:rsid w:val="00635EF1"/>
    <w:rsid w:val="0066274A"/>
    <w:rsid w:val="00695DB1"/>
    <w:rsid w:val="006D2A84"/>
    <w:rsid w:val="006D3704"/>
    <w:rsid w:val="006D7301"/>
    <w:rsid w:val="006E1122"/>
    <w:rsid w:val="006E70B2"/>
    <w:rsid w:val="0070462D"/>
    <w:rsid w:val="007176EB"/>
    <w:rsid w:val="00732CAB"/>
    <w:rsid w:val="007616C0"/>
    <w:rsid w:val="007660E6"/>
    <w:rsid w:val="00777658"/>
    <w:rsid w:val="0078156B"/>
    <w:rsid w:val="00786BA7"/>
    <w:rsid w:val="00787589"/>
    <w:rsid w:val="007A078F"/>
    <w:rsid w:val="007A7EE5"/>
    <w:rsid w:val="007B74BF"/>
    <w:rsid w:val="007E7ADA"/>
    <w:rsid w:val="00806434"/>
    <w:rsid w:val="0083015C"/>
    <w:rsid w:val="008838F7"/>
    <w:rsid w:val="008857E0"/>
    <w:rsid w:val="008D34C6"/>
    <w:rsid w:val="0090269F"/>
    <w:rsid w:val="009064CE"/>
    <w:rsid w:val="00920A7D"/>
    <w:rsid w:val="00942B22"/>
    <w:rsid w:val="00987F76"/>
    <w:rsid w:val="009C7B39"/>
    <w:rsid w:val="009C7FB8"/>
    <w:rsid w:val="00A13381"/>
    <w:rsid w:val="00A14850"/>
    <w:rsid w:val="00A4696C"/>
    <w:rsid w:val="00A47026"/>
    <w:rsid w:val="00A71C3E"/>
    <w:rsid w:val="00A81295"/>
    <w:rsid w:val="00AA2481"/>
    <w:rsid w:val="00B100DD"/>
    <w:rsid w:val="00B51959"/>
    <w:rsid w:val="00B56AE1"/>
    <w:rsid w:val="00B61985"/>
    <w:rsid w:val="00BA2F81"/>
    <w:rsid w:val="00BB0F7C"/>
    <w:rsid w:val="00BC03C2"/>
    <w:rsid w:val="00BE63E0"/>
    <w:rsid w:val="00BE6ABE"/>
    <w:rsid w:val="00C31BC4"/>
    <w:rsid w:val="00C41676"/>
    <w:rsid w:val="00C729BC"/>
    <w:rsid w:val="00C87FDB"/>
    <w:rsid w:val="00CA7B71"/>
    <w:rsid w:val="00CC7DE3"/>
    <w:rsid w:val="00CE66E0"/>
    <w:rsid w:val="00D13DAC"/>
    <w:rsid w:val="00D610DE"/>
    <w:rsid w:val="00D62FF9"/>
    <w:rsid w:val="00D648E7"/>
    <w:rsid w:val="00D96D92"/>
    <w:rsid w:val="00DD1C93"/>
    <w:rsid w:val="00DF3AA9"/>
    <w:rsid w:val="00DF7634"/>
    <w:rsid w:val="00EC06F5"/>
    <w:rsid w:val="00EE5ADD"/>
    <w:rsid w:val="00EF661A"/>
    <w:rsid w:val="00F04F46"/>
    <w:rsid w:val="00F2673A"/>
    <w:rsid w:val="00F41389"/>
    <w:rsid w:val="00F53C58"/>
    <w:rsid w:val="00F56185"/>
    <w:rsid w:val="00F70C73"/>
    <w:rsid w:val="00F83A74"/>
    <w:rsid w:val="00FA5FFE"/>
    <w:rsid w:val="00FB1596"/>
    <w:rsid w:val="00FC2D1A"/>
    <w:rsid w:val="00FD1527"/>
    <w:rsid w:val="00FE1716"/>
    <w:rsid w:val="00FF0768"/>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193A6-A634-4AEC-AC5B-53D853CD926C}">
  <ds:schemaRefs>
    <ds:schemaRef ds:uri="http://schemas.microsoft.com/sharepoint/v3/contenttype/forms"/>
  </ds:schemaRefs>
</ds:datastoreItem>
</file>

<file path=customXml/itemProps2.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9</Pages>
  <Words>2316</Words>
  <Characters>12743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Daniel Lozano Villota</cp:lastModifiedBy>
  <cp:revision>57</cp:revision>
  <cp:lastPrinted>2023-02-19T22:55:00Z</cp:lastPrinted>
  <dcterms:created xsi:type="dcterms:W3CDTF">2024-10-21T22:15:00Z</dcterms:created>
  <dcterms:modified xsi:type="dcterms:W3CDTF">2024-12-27T19:37:00Z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