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097F" w:rsidRDefault="000B7A27" w14:paraId="500322BB" w14:textId="77777777">
      <w:pPr>
        <w:jc w:val="center"/>
        <w:rPr>
          <w:b/>
        </w:rPr>
      </w:pPr>
      <w:r>
        <w:rPr>
          <w:b/>
        </w:rPr>
        <w:t>INFORME INICIAL DEL PROCESO</w:t>
      </w:r>
    </w:p>
    <w:tbl>
      <w:tblPr>
        <w:tblStyle w:val="a"/>
        <w:tblW w:w="10410" w:type="dxa"/>
        <w:tblInd w:w="-15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000"/>
        <w:gridCol w:w="4410"/>
      </w:tblGrid>
      <w:tr w:rsidR="0057097F" w:rsidTr="75020658" w14:paraId="500322BE" w14:textId="77777777">
        <w:tc>
          <w:tcPr>
            <w:tcW w:w="6000" w:type="dxa"/>
            <w:shd w:val="clear" w:color="auto" w:fill="D9D9D9" w:themeFill="background1" w:themeFillShade="D9"/>
            <w:tcMar/>
          </w:tcPr>
          <w:p w:rsidR="0057097F" w:rsidRDefault="000B7A27" w14:paraId="500322BC" w14:textId="77777777">
            <w:pPr>
              <w:rPr>
                <w:b/>
                <w:sz w:val="20"/>
                <w:szCs w:val="20"/>
              </w:rPr>
            </w:pPr>
            <w:r>
              <w:rPr>
                <w:b/>
                <w:sz w:val="20"/>
                <w:szCs w:val="20"/>
              </w:rPr>
              <w:t>Apoderado:</w:t>
            </w:r>
          </w:p>
        </w:tc>
        <w:tc>
          <w:tcPr>
            <w:tcW w:w="4410" w:type="dxa"/>
            <w:tcMar/>
          </w:tcPr>
          <w:p w:rsidR="0057097F" w:rsidRDefault="000B7A27" w14:paraId="500322BD" w14:textId="77777777">
            <w:pPr>
              <w:jc w:val="both"/>
            </w:pPr>
            <w:r>
              <w:t>GUSTAVO ALBERTO HERRERA ÁVILA</w:t>
            </w:r>
          </w:p>
        </w:tc>
      </w:tr>
      <w:tr w:rsidR="0057097F" w:rsidTr="75020658" w14:paraId="500322C1" w14:textId="77777777">
        <w:tc>
          <w:tcPr>
            <w:tcW w:w="6000" w:type="dxa"/>
            <w:shd w:val="clear" w:color="auto" w:fill="D9D9D9" w:themeFill="background1" w:themeFillShade="D9"/>
            <w:tcMar/>
          </w:tcPr>
          <w:p w:rsidR="0057097F" w:rsidRDefault="000B7A27" w14:paraId="500322BF" w14:textId="77777777">
            <w:pPr>
              <w:rPr>
                <w:b/>
                <w:sz w:val="20"/>
                <w:szCs w:val="20"/>
              </w:rPr>
            </w:pPr>
            <w:r>
              <w:rPr>
                <w:b/>
                <w:sz w:val="20"/>
                <w:szCs w:val="20"/>
              </w:rPr>
              <w:t>Tipo y # de Póliza:</w:t>
            </w:r>
          </w:p>
        </w:tc>
        <w:tc>
          <w:tcPr>
            <w:tcW w:w="4410" w:type="dxa"/>
            <w:tcMar/>
          </w:tcPr>
          <w:p w:rsidR="0057097F" w:rsidP="75020658" w:rsidRDefault="005A4426" w14:paraId="500322C0" w14:textId="1C0947D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s-CO"/>
              </w:rPr>
            </w:pPr>
            <w:r w:rsidRPr="75020658" w:rsidR="588E9854">
              <w:rPr>
                <w:rFonts w:ascii="Calibri" w:hAnsi="Calibri" w:eastAsia="Calibri" w:cs="Calibri"/>
                <w:b w:val="0"/>
                <w:bCs w:val="0"/>
                <w:i w:val="0"/>
                <w:iCs w:val="0"/>
                <w:caps w:val="0"/>
                <w:smallCaps w:val="0"/>
                <w:noProof w:val="0"/>
                <w:color w:val="000000" w:themeColor="text1" w:themeTint="FF" w:themeShade="FF"/>
                <w:sz w:val="22"/>
                <w:szCs w:val="22"/>
                <w:lang w:val="es-CO"/>
              </w:rPr>
              <w:t>Póliza todo rie</w:t>
            </w:r>
            <w:r w:rsidRPr="75020658" w:rsidR="389316E1">
              <w:rPr>
                <w:rFonts w:ascii="Calibri" w:hAnsi="Calibri" w:eastAsia="Calibri" w:cs="Calibri"/>
                <w:b w:val="0"/>
                <w:bCs w:val="0"/>
                <w:i w:val="0"/>
                <w:iCs w:val="0"/>
                <w:caps w:val="0"/>
                <w:smallCaps w:val="0"/>
                <w:noProof w:val="0"/>
                <w:color w:val="000000" w:themeColor="text1" w:themeTint="FF" w:themeShade="FF"/>
                <w:sz w:val="22"/>
                <w:szCs w:val="22"/>
                <w:lang w:val="es-CO"/>
              </w:rPr>
              <w:t>s</w:t>
            </w:r>
            <w:r w:rsidRPr="75020658" w:rsidR="588E9854">
              <w:rPr>
                <w:rFonts w:ascii="Calibri" w:hAnsi="Calibri" w:eastAsia="Calibri" w:cs="Calibri"/>
                <w:b w:val="0"/>
                <w:bCs w:val="0"/>
                <w:i w:val="0"/>
                <w:iCs w:val="0"/>
                <w:caps w:val="0"/>
                <w:smallCaps w:val="0"/>
                <w:noProof w:val="0"/>
                <w:color w:val="000000" w:themeColor="text1" w:themeTint="FF" w:themeShade="FF"/>
                <w:sz w:val="22"/>
                <w:szCs w:val="22"/>
                <w:lang w:val="es-CO"/>
              </w:rPr>
              <w:t>go PO-6-1122 </w:t>
            </w:r>
          </w:p>
        </w:tc>
      </w:tr>
      <w:tr w:rsidR="0057097F" w:rsidTr="75020658" w14:paraId="500322C4" w14:textId="77777777">
        <w:tc>
          <w:tcPr>
            <w:tcW w:w="6000" w:type="dxa"/>
            <w:shd w:val="clear" w:color="auto" w:fill="D9D9D9" w:themeFill="background1" w:themeFillShade="D9"/>
            <w:tcMar/>
          </w:tcPr>
          <w:p w:rsidR="0057097F" w:rsidRDefault="000B7A27" w14:paraId="500322C2" w14:textId="77777777">
            <w:pPr>
              <w:rPr>
                <w:b/>
                <w:sz w:val="20"/>
                <w:szCs w:val="20"/>
              </w:rPr>
            </w:pPr>
            <w:r>
              <w:rPr>
                <w:b/>
                <w:sz w:val="20"/>
                <w:szCs w:val="20"/>
              </w:rPr>
              <w:t>Amparos afectados:</w:t>
            </w:r>
          </w:p>
        </w:tc>
        <w:tc>
          <w:tcPr>
            <w:tcW w:w="4410" w:type="dxa"/>
            <w:tcMar/>
          </w:tcPr>
          <w:p w:rsidR="0057097F" w:rsidRDefault="005A4426" w14:paraId="500322C3" w14:textId="71D9900D">
            <w:pPr>
              <w:jc w:val="both"/>
            </w:pPr>
            <w:r w:rsidR="37910FBB">
              <w:rPr/>
              <w:t xml:space="preserve">RCE lesión/muerte 1 persona </w:t>
            </w:r>
          </w:p>
        </w:tc>
      </w:tr>
      <w:tr w:rsidR="0057097F" w:rsidTr="75020658" w14:paraId="500322C7" w14:textId="77777777">
        <w:tc>
          <w:tcPr>
            <w:tcW w:w="6000" w:type="dxa"/>
            <w:shd w:val="clear" w:color="auto" w:fill="D9D9D9" w:themeFill="background1" w:themeFillShade="D9"/>
            <w:tcMar/>
          </w:tcPr>
          <w:p w:rsidR="0057097F" w:rsidRDefault="000B7A27" w14:paraId="500322C5" w14:textId="77777777">
            <w:pPr>
              <w:rPr>
                <w:b/>
                <w:sz w:val="20"/>
                <w:szCs w:val="20"/>
              </w:rPr>
            </w:pPr>
            <w:r>
              <w:rPr>
                <w:b/>
                <w:sz w:val="20"/>
                <w:szCs w:val="20"/>
              </w:rPr>
              <w:t>Tomador:</w:t>
            </w:r>
          </w:p>
        </w:tc>
        <w:tc>
          <w:tcPr>
            <w:tcW w:w="4410" w:type="dxa"/>
            <w:tcMar/>
          </w:tcPr>
          <w:p w:rsidR="0057097F" w:rsidRDefault="005A4426" w14:paraId="500322C6" w14:textId="24A6C284">
            <w:pPr>
              <w:jc w:val="both"/>
            </w:pPr>
            <w:r w:rsidR="5ECEB7CB">
              <w:rPr/>
              <w:t>Banco de Occidente S.A. NIT 890.300.279-4</w:t>
            </w:r>
          </w:p>
        </w:tc>
      </w:tr>
      <w:tr w:rsidR="0057097F" w:rsidTr="75020658" w14:paraId="500322CA" w14:textId="77777777">
        <w:tc>
          <w:tcPr>
            <w:tcW w:w="6000" w:type="dxa"/>
            <w:shd w:val="clear" w:color="auto" w:fill="D9D9D9" w:themeFill="background1" w:themeFillShade="D9"/>
            <w:tcMar/>
          </w:tcPr>
          <w:p w:rsidR="0057097F" w:rsidRDefault="000B7A27" w14:paraId="500322C8" w14:textId="77777777">
            <w:pPr>
              <w:rPr>
                <w:b/>
                <w:sz w:val="20"/>
                <w:szCs w:val="20"/>
              </w:rPr>
            </w:pPr>
            <w:r>
              <w:rPr>
                <w:b/>
                <w:sz w:val="20"/>
                <w:szCs w:val="20"/>
              </w:rPr>
              <w:t>Asegurado:</w:t>
            </w:r>
          </w:p>
        </w:tc>
        <w:tc>
          <w:tcPr>
            <w:tcW w:w="4410" w:type="dxa"/>
            <w:tcMar/>
          </w:tcPr>
          <w:p w:rsidR="0057097F" w:rsidRDefault="005A4426" w14:paraId="500322C9" w14:textId="4715DFA2">
            <w:pPr>
              <w:jc w:val="both"/>
            </w:pPr>
            <w:r w:rsidR="31BBB66F">
              <w:rPr/>
              <w:t>José</w:t>
            </w:r>
            <w:r w:rsidR="7C6BFB0A">
              <w:rPr/>
              <w:t xml:space="preserve"> Ale</w:t>
            </w:r>
            <w:r w:rsidR="6C78D4FB">
              <w:rPr/>
              <w:t>x</w:t>
            </w:r>
            <w:r w:rsidR="7C6BFB0A">
              <w:rPr/>
              <w:t xml:space="preserve">ander Cruz </w:t>
            </w:r>
            <w:r w:rsidR="7C6BFB0A">
              <w:rPr/>
              <w:t>Arevalo</w:t>
            </w:r>
            <w:r w:rsidR="7C6BFB0A">
              <w:rPr/>
              <w:t xml:space="preserve"> C.C. 98.397.084</w:t>
            </w:r>
          </w:p>
        </w:tc>
      </w:tr>
      <w:tr w:rsidR="0057097F" w:rsidTr="75020658" w14:paraId="500322CD" w14:textId="77777777">
        <w:tc>
          <w:tcPr>
            <w:tcW w:w="6000" w:type="dxa"/>
            <w:shd w:val="clear" w:color="auto" w:fill="D9D9D9" w:themeFill="background1" w:themeFillShade="D9"/>
            <w:tcMar/>
          </w:tcPr>
          <w:p w:rsidR="0057097F" w:rsidRDefault="000B7A27" w14:paraId="500322CB" w14:textId="77777777">
            <w:pPr>
              <w:rPr>
                <w:b/>
                <w:sz w:val="20"/>
                <w:szCs w:val="20"/>
              </w:rPr>
            </w:pPr>
            <w:r>
              <w:rPr>
                <w:b/>
                <w:sz w:val="20"/>
                <w:szCs w:val="20"/>
              </w:rPr>
              <w:t>Tipo de Proceso:</w:t>
            </w:r>
          </w:p>
        </w:tc>
        <w:tc>
          <w:tcPr>
            <w:tcW w:w="4410" w:type="dxa"/>
            <w:tcMar/>
          </w:tcPr>
          <w:p w:rsidR="0057097F" w:rsidRDefault="005A4426" w14:paraId="500322CC" w14:textId="4E640F39">
            <w:pPr>
              <w:jc w:val="both"/>
            </w:pPr>
            <w:r w:rsidR="574312A0">
              <w:rPr/>
              <w:t>Verbal</w:t>
            </w:r>
            <w:r w:rsidR="574312A0">
              <w:rPr/>
              <w:t xml:space="preserve"> Responsabilidad Civil Ex</w:t>
            </w:r>
            <w:r w:rsidR="4B67827A">
              <w:rPr/>
              <w:t>tracontractual</w:t>
            </w:r>
          </w:p>
        </w:tc>
      </w:tr>
      <w:tr w:rsidR="0057097F" w:rsidTr="75020658" w14:paraId="500322D0" w14:textId="77777777">
        <w:tc>
          <w:tcPr>
            <w:tcW w:w="6000" w:type="dxa"/>
            <w:shd w:val="clear" w:color="auto" w:fill="D9D9D9" w:themeFill="background1" w:themeFillShade="D9"/>
            <w:tcMar/>
          </w:tcPr>
          <w:p w:rsidR="0057097F" w:rsidRDefault="000B7A27" w14:paraId="500322CE" w14:textId="77777777">
            <w:pPr>
              <w:rPr>
                <w:b/>
                <w:sz w:val="20"/>
                <w:szCs w:val="20"/>
              </w:rPr>
            </w:pPr>
            <w:r>
              <w:rPr>
                <w:b/>
                <w:sz w:val="20"/>
                <w:szCs w:val="20"/>
              </w:rPr>
              <w:t>Jurisdicción:</w:t>
            </w:r>
          </w:p>
        </w:tc>
        <w:tc>
          <w:tcPr>
            <w:tcW w:w="4410" w:type="dxa"/>
            <w:tcMar/>
          </w:tcPr>
          <w:p w:rsidR="0057097F" w:rsidRDefault="005A4426" w14:paraId="500322CF" w14:textId="10CD5395">
            <w:pPr>
              <w:jc w:val="both"/>
            </w:pPr>
            <w:r w:rsidR="42D0E48C">
              <w:rPr/>
              <w:t>Ordinaria</w:t>
            </w:r>
          </w:p>
        </w:tc>
      </w:tr>
      <w:tr w:rsidR="0057097F" w:rsidTr="75020658" w14:paraId="500322D3" w14:textId="77777777">
        <w:tc>
          <w:tcPr>
            <w:tcW w:w="6000" w:type="dxa"/>
            <w:shd w:val="clear" w:color="auto" w:fill="D9D9D9" w:themeFill="background1" w:themeFillShade="D9"/>
            <w:tcMar/>
          </w:tcPr>
          <w:p w:rsidR="0057097F" w:rsidRDefault="000B7A27" w14:paraId="500322D1" w14:textId="77777777">
            <w:pPr>
              <w:rPr>
                <w:b/>
                <w:sz w:val="20"/>
                <w:szCs w:val="20"/>
              </w:rPr>
            </w:pPr>
            <w:r>
              <w:rPr>
                <w:b/>
                <w:sz w:val="20"/>
                <w:szCs w:val="20"/>
              </w:rPr>
              <w:t>Despacho:</w:t>
            </w:r>
          </w:p>
        </w:tc>
        <w:tc>
          <w:tcPr>
            <w:tcW w:w="4410" w:type="dxa"/>
            <w:tcMar/>
          </w:tcPr>
          <w:p w:rsidR="0057097F" w:rsidRDefault="005A4426" w14:paraId="500322D2" w14:textId="12293CB3">
            <w:pPr>
              <w:jc w:val="both"/>
            </w:pPr>
            <w:r w:rsidR="7E21FB02">
              <w:rPr/>
              <w:t>Juzgado Quinto Civil Municipal de Pasto</w:t>
            </w:r>
          </w:p>
        </w:tc>
      </w:tr>
      <w:tr w:rsidR="0057097F" w:rsidTr="75020658" w14:paraId="500322D6" w14:textId="77777777">
        <w:tc>
          <w:tcPr>
            <w:tcW w:w="6000" w:type="dxa"/>
            <w:shd w:val="clear" w:color="auto" w:fill="D9D9D9" w:themeFill="background1" w:themeFillShade="D9"/>
            <w:tcMar/>
          </w:tcPr>
          <w:p w:rsidR="0057097F" w:rsidRDefault="000B7A27" w14:paraId="500322D4" w14:textId="77777777">
            <w:pPr>
              <w:rPr>
                <w:b/>
                <w:sz w:val="20"/>
                <w:szCs w:val="20"/>
              </w:rPr>
            </w:pPr>
            <w:r>
              <w:rPr>
                <w:b/>
                <w:sz w:val="20"/>
                <w:szCs w:val="20"/>
              </w:rPr>
              <w:t>Ciudad:</w:t>
            </w:r>
          </w:p>
        </w:tc>
        <w:tc>
          <w:tcPr>
            <w:tcW w:w="4410" w:type="dxa"/>
            <w:tcMar/>
          </w:tcPr>
          <w:p w:rsidR="0057097F" w:rsidRDefault="005A4426" w14:paraId="500322D5" w14:textId="600CDEE0">
            <w:pPr>
              <w:jc w:val="both"/>
            </w:pPr>
            <w:r w:rsidR="0BB82559">
              <w:rPr/>
              <w:t>Pasto</w:t>
            </w:r>
          </w:p>
        </w:tc>
      </w:tr>
      <w:tr w:rsidR="0057097F" w:rsidTr="75020658" w14:paraId="500322D9" w14:textId="77777777">
        <w:tc>
          <w:tcPr>
            <w:tcW w:w="6000" w:type="dxa"/>
            <w:shd w:val="clear" w:color="auto" w:fill="D9D9D9" w:themeFill="background1" w:themeFillShade="D9"/>
            <w:tcMar/>
          </w:tcPr>
          <w:p w:rsidR="0057097F" w:rsidRDefault="000B7A27" w14:paraId="500322D7" w14:textId="77777777">
            <w:pPr>
              <w:rPr>
                <w:b/>
                <w:sz w:val="20"/>
                <w:szCs w:val="20"/>
              </w:rPr>
            </w:pPr>
            <w:r>
              <w:rPr>
                <w:b/>
                <w:sz w:val="20"/>
                <w:szCs w:val="20"/>
              </w:rPr>
              <w:t>Radicado (23 dígitos):</w:t>
            </w:r>
          </w:p>
        </w:tc>
        <w:tc>
          <w:tcPr>
            <w:tcW w:w="4410" w:type="dxa"/>
            <w:tcMar/>
          </w:tcPr>
          <w:p w:rsidR="0057097F" w:rsidRDefault="005A4426" w14:paraId="500322D8" w14:textId="4E59D9E1">
            <w:r w:rsidR="3F3CF975">
              <w:rPr/>
              <w:t xml:space="preserve">52001400300520240062200 </w:t>
            </w:r>
          </w:p>
        </w:tc>
      </w:tr>
      <w:tr w:rsidR="0057097F" w:rsidTr="75020658" w14:paraId="500322DC" w14:textId="77777777">
        <w:tc>
          <w:tcPr>
            <w:tcW w:w="6000" w:type="dxa"/>
            <w:shd w:val="clear" w:color="auto" w:fill="D9D9D9" w:themeFill="background1" w:themeFillShade="D9"/>
            <w:tcMar/>
          </w:tcPr>
          <w:p w:rsidR="0057097F" w:rsidRDefault="000B7A27" w14:paraId="500322DA" w14:textId="77777777">
            <w:pPr>
              <w:rPr>
                <w:b/>
                <w:sz w:val="20"/>
                <w:szCs w:val="20"/>
              </w:rPr>
            </w:pPr>
            <w:r>
              <w:rPr>
                <w:b/>
                <w:sz w:val="20"/>
                <w:szCs w:val="20"/>
              </w:rPr>
              <w:t>Demandantes:</w:t>
            </w:r>
          </w:p>
        </w:tc>
        <w:tc>
          <w:tcPr>
            <w:tcW w:w="4410" w:type="dxa"/>
            <w:tcMar/>
          </w:tcPr>
          <w:p w:rsidRPr="005A4426" w:rsidR="0057097F" w:rsidRDefault="005A4426" w14:paraId="500322DB" w14:textId="224938A1">
            <w:pPr>
              <w:jc w:val="both"/>
              <w:rPr>
                <w:lang w:val="es-419"/>
              </w:rPr>
            </w:pPr>
            <w:r w:rsidRPr="28CA36A8" w:rsidR="11FD2CDB">
              <w:rPr>
                <w:lang w:val="es-419"/>
              </w:rPr>
              <w:t>MERCEDES DEL SOCORRO SANTACRUZ PINTA</w:t>
            </w:r>
          </w:p>
        </w:tc>
      </w:tr>
      <w:tr w:rsidR="0057097F" w:rsidTr="75020658" w14:paraId="500322DF" w14:textId="77777777">
        <w:tc>
          <w:tcPr>
            <w:tcW w:w="6000" w:type="dxa"/>
            <w:shd w:val="clear" w:color="auto" w:fill="D9D9D9" w:themeFill="background1" w:themeFillShade="D9"/>
            <w:tcMar/>
          </w:tcPr>
          <w:p w:rsidR="0057097F" w:rsidRDefault="000B7A27" w14:paraId="500322DD" w14:textId="77777777">
            <w:pPr>
              <w:rPr>
                <w:b/>
                <w:sz w:val="20"/>
                <w:szCs w:val="20"/>
              </w:rPr>
            </w:pPr>
            <w:r>
              <w:rPr>
                <w:b/>
                <w:sz w:val="20"/>
                <w:szCs w:val="20"/>
              </w:rPr>
              <w:t>Demandados:</w:t>
            </w:r>
          </w:p>
        </w:tc>
        <w:tc>
          <w:tcPr>
            <w:tcW w:w="4410" w:type="dxa"/>
            <w:tcMar/>
          </w:tcPr>
          <w:p w:rsidR="0057097F" w:rsidRDefault="005A4426" w14:paraId="500322DE" w14:textId="5023D3E9">
            <w:pPr>
              <w:jc w:val="both"/>
            </w:pPr>
            <w:r w:rsidR="368C4C8B">
              <w:rPr/>
              <w:t xml:space="preserve">JOSÉ ALEXANDER CRUZ ARÉVALO, CARLOS ALIRIO INSUASTY GUERRERO Y LIBERTY SEGUROS S.A. (NUEVO HDI SEGUROS COLOMBIA S.A.) </w:t>
            </w:r>
          </w:p>
        </w:tc>
      </w:tr>
      <w:tr w:rsidR="0057097F" w:rsidTr="75020658" w14:paraId="500322E2" w14:textId="77777777">
        <w:tc>
          <w:tcPr>
            <w:tcW w:w="6000" w:type="dxa"/>
            <w:shd w:val="clear" w:color="auto" w:fill="D9D9D9" w:themeFill="background1" w:themeFillShade="D9"/>
            <w:tcMar/>
          </w:tcPr>
          <w:p w:rsidR="0057097F" w:rsidRDefault="000B7A27" w14:paraId="500322E0" w14:textId="77777777">
            <w:pPr>
              <w:rPr>
                <w:b/>
                <w:sz w:val="20"/>
                <w:szCs w:val="20"/>
              </w:rPr>
            </w:pPr>
            <w:r>
              <w:rPr>
                <w:b/>
                <w:sz w:val="20"/>
                <w:szCs w:val="20"/>
              </w:rPr>
              <w:t>Tipo de vinculación de Liberty (directa, llamamiento en garantía, litisconsorte):</w:t>
            </w:r>
          </w:p>
        </w:tc>
        <w:tc>
          <w:tcPr>
            <w:tcW w:w="4410" w:type="dxa"/>
            <w:tcMar/>
          </w:tcPr>
          <w:p w:rsidR="0057097F" w:rsidRDefault="005A4426" w14:paraId="500322E1" w14:textId="49EB810E">
            <w:pPr>
              <w:jc w:val="both"/>
            </w:pPr>
            <w:r w:rsidR="0ABD064A">
              <w:rPr/>
              <w:t>Directa</w:t>
            </w:r>
          </w:p>
        </w:tc>
      </w:tr>
      <w:tr w:rsidR="0057097F" w:rsidTr="75020658" w14:paraId="500322E5" w14:textId="77777777">
        <w:tc>
          <w:tcPr>
            <w:tcW w:w="6000" w:type="dxa"/>
            <w:shd w:val="clear" w:color="auto" w:fill="D9D9D9" w:themeFill="background1" w:themeFillShade="D9"/>
            <w:tcMar/>
          </w:tcPr>
          <w:p w:rsidR="0057097F" w:rsidRDefault="000B7A27" w14:paraId="500322E3" w14:textId="77777777">
            <w:pPr>
              <w:rPr>
                <w:b/>
                <w:sz w:val="20"/>
                <w:szCs w:val="20"/>
              </w:rPr>
            </w:pPr>
            <w:r>
              <w:rPr>
                <w:b/>
                <w:sz w:val="20"/>
                <w:szCs w:val="20"/>
              </w:rPr>
              <w:t>Resumen de los hechos:</w:t>
            </w:r>
          </w:p>
        </w:tc>
        <w:tc>
          <w:tcPr>
            <w:tcW w:w="4410" w:type="dxa"/>
            <w:tcMar/>
          </w:tcPr>
          <w:p w:rsidR="0057097F" w:rsidRDefault="005A4426" w14:paraId="2A18136D" w14:textId="201A2542">
            <w:pPr>
              <w:jc w:val="both"/>
            </w:pPr>
            <w:r w:rsidR="05B170D8">
              <w:rPr/>
              <w:t>De acuerdo con</w:t>
            </w:r>
            <w:r w:rsidR="61324878">
              <w:rPr/>
              <w:t xml:space="preserve"> lo relatado en el escrito de demanda, el 20 de agosto de 2015 en la vía Pasto- Mojarras, sucede accidente de tránsito entre el vehículo tipo tracto camión de placas SNR040 y la motocicleta de placas WZR14C, conducida por el señor JHON JAIRO MARTINEZ (Q.E.P.D) quien falleció en el accidente.  </w:t>
            </w:r>
          </w:p>
          <w:p w:rsidR="0057097F" w:rsidP="28CA36A8" w:rsidRDefault="005A4426" w14:paraId="0D172F4A" w14:textId="5C620291">
            <w:pPr>
              <w:pStyle w:val="Normal"/>
              <w:jc w:val="both"/>
            </w:pPr>
            <w:r w:rsidR="61324878">
              <w:rPr/>
              <w:t xml:space="preserve"> </w:t>
            </w:r>
          </w:p>
          <w:p w:rsidR="0057097F" w:rsidP="28CA36A8" w:rsidRDefault="005A4426" w14:paraId="50E682D9" w14:textId="46294C3B">
            <w:pPr>
              <w:pStyle w:val="Normal"/>
              <w:jc w:val="both"/>
            </w:pPr>
            <w:r w:rsidR="61324878">
              <w:rPr/>
              <w:t xml:space="preserve">Ante reclamación presentada por la señora MERCEDES DEL SOCORRO SANTACRUZ PINTA (compañera permanente del fallecido), el 15 de enero de 2019 se emitió objeción por parte de Liberty Seguros (ahora HDI Seguros Colombia S.A.). </w:t>
            </w:r>
          </w:p>
          <w:p w:rsidR="0057097F" w:rsidP="28CA36A8" w:rsidRDefault="005A4426" w14:paraId="627175C3" w14:textId="0B56EC6D">
            <w:pPr>
              <w:pStyle w:val="Normal"/>
              <w:jc w:val="both"/>
            </w:pPr>
            <w:r w:rsidR="61324878">
              <w:rPr/>
              <w:t xml:space="preserve"> </w:t>
            </w:r>
          </w:p>
          <w:p w:rsidR="0057097F" w:rsidP="28CA36A8" w:rsidRDefault="005A4426" w14:paraId="500322E4" w14:textId="3E947837">
            <w:pPr>
              <w:pStyle w:val="Normal"/>
              <w:jc w:val="both"/>
            </w:pPr>
            <w:r w:rsidR="61324878">
              <w:rPr/>
              <w:t>En el escrito de la demanda se indica que el vehículo de plazas SNR040, contaba para el momento del accidente con póliza todo rie</w:t>
            </w:r>
            <w:r w:rsidR="43A679CB">
              <w:rPr/>
              <w:t>s</w:t>
            </w:r>
            <w:r w:rsidR="61324878">
              <w:rPr/>
              <w:t xml:space="preserve">go PO-6-1122 con Liberty Seguros.  </w:t>
            </w:r>
          </w:p>
        </w:tc>
      </w:tr>
      <w:tr w:rsidR="0057097F" w:rsidTr="75020658" w14:paraId="500322E8" w14:textId="77777777">
        <w:tc>
          <w:tcPr>
            <w:tcW w:w="6000" w:type="dxa"/>
            <w:shd w:val="clear" w:color="auto" w:fill="D9D9D9" w:themeFill="background1" w:themeFillShade="D9"/>
            <w:tcMar/>
          </w:tcPr>
          <w:p w:rsidR="0057097F" w:rsidRDefault="000B7A27" w14:paraId="500322E6" w14:textId="77777777">
            <w:pPr>
              <w:rPr>
                <w:b/>
                <w:sz w:val="20"/>
                <w:szCs w:val="20"/>
              </w:rPr>
            </w:pPr>
            <w:r>
              <w:rPr>
                <w:b/>
                <w:sz w:val="20"/>
                <w:szCs w:val="20"/>
              </w:rPr>
              <w:t>Descripción de las pretensiones:</w:t>
            </w:r>
          </w:p>
        </w:tc>
        <w:tc>
          <w:tcPr>
            <w:tcW w:w="4410" w:type="dxa"/>
            <w:tcMar/>
          </w:tcPr>
          <w:p w:rsidR="0057097F" w:rsidRDefault="000B7A27" w14:paraId="351A84E6" w14:textId="004AA054">
            <w:pPr>
              <w:jc w:val="both"/>
            </w:pPr>
            <w:r w:rsidR="623291B6">
              <w:rPr/>
              <w:t>Declarar civilmente responsable a LIBERTY SEGUROS S.A. (ahora HDI Seguros Colombia S.A.)</w:t>
            </w:r>
          </w:p>
          <w:p w:rsidR="0057097F" w:rsidP="28CA36A8" w:rsidRDefault="000B7A27" w14:paraId="522BC88A" w14:textId="05A20B5D">
            <w:pPr>
              <w:pStyle w:val="Normal"/>
              <w:jc w:val="both"/>
            </w:pPr>
            <w:r w:rsidR="623291B6">
              <w:rPr/>
              <w:t>Solicita intereses moratorios del art 1081 del C.Co desde el momento en que se debió pagar la indemnización por parte de LIBERTY SEGUROS S.A.</w:t>
            </w:r>
          </w:p>
          <w:p w:rsidR="0057097F" w:rsidP="28CA36A8" w:rsidRDefault="000B7A27" w14:paraId="4BA679D4" w14:textId="79A96F3C">
            <w:pPr>
              <w:pStyle w:val="Normal"/>
              <w:jc w:val="both"/>
            </w:pPr>
            <w:r w:rsidR="623291B6">
              <w:rPr/>
              <w:t>Perjuicios patrimoniales por la suma de $99.294.1116</w:t>
            </w:r>
          </w:p>
          <w:p w:rsidR="0057097F" w:rsidP="28CA36A8" w:rsidRDefault="000B7A27" w14:paraId="0EEB4482" w14:textId="6F1FE324">
            <w:pPr>
              <w:pStyle w:val="Normal"/>
              <w:jc w:val="both"/>
            </w:pPr>
            <w:r w:rsidR="623291B6">
              <w:rPr/>
              <w:t>Perjuicios extrapatrimoniales por la suma de $64.435.000</w:t>
            </w:r>
          </w:p>
          <w:p w:rsidR="0057097F" w:rsidP="28CA36A8" w:rsidRDefault="000B7A27" w14:paraId="362BC27A" w14:textId="5C2902E5">
            <w:pPr>
              <w:pStyle w:val="Normal"/>
              <w:jc w:val="both"/>
            </w:pPr>
          </w:p>
          <w:p w:rsidR="0057097F" w:rsidP="28CA36A8" w:rsidRDefault="000B7A27" w14:paraId="500322E7" w14:textId="46D88F6C">
            <w:pPr>
              <w:pStyle w:val="Normal"/>
              <w:jc w:val="both"/>
            </w:pPr>
            <w:r w:rsidR="7E4F22B1">
              <w:rPr/>
              <w:t>TOTAL</w:t>
            </w:r>
            <w:r w:rsidR="7E4F22B1">
              <w:rPr/>
              <w:t xml:space="preserve"> PRETENSIONES: $163.729.116</w:t>
            </w:r>
          </w:p>
        </w:tc>
      </w:tr>
      <w:tr w:rsidR="0057097F" w:rsidTr="75020658" w14:paraId="500322EB" w14:textId="77777777">
        <w:tc>
          <w:tcPr>
            <w:tcW w:w="6000" w:type="dxa"/>
            <w:shd w:val="clear" w:color="auto" w:fill="D9D9D9" w:themeFill="background1" w:themeFillShade="D9"/>
            <w:tcMar/>
          </w:tcPr>
          <w:p w:rsidR="0057097F" w:rsidRDefault="000B7A27" w14:paraId="500322E9" w14:textId="77777777">
            <w:pPr>
              <w:rPr>
                <w:b/>
                <w:sz w:val="20"/>
                <w:szCs w:val="20"/>
              </w:rPr>
            </w:pPr>
            <w:r>
              <w:rPr>
                <w:b/>
                <w:sz w:val="20"/>
                <w:szCs w:val="20"/>
              </w:rPr>
              <w:lastRenderedPageBreak/>
              <w:t>Pretensiones cuantificadas ($):</w:t>
            </w:r>
          </w:p>
        </w:tc>
        <w:tc>
          <w:tcPr>
            <w:tcW w:w="4410" w:type="dxa"/>
            <w:tcMar/>
          </w:tcPr>
          <w:p w:rsidR="0057097F" w:rsidP="28CA36A8" w:rsidRDefault="000B7A27" w14:paraId="500322EA" w14:textId="6310EB2B">
            <w:pPr>
              <w:pStyle w:val="Normal"/>
              <w:jc w:val="both"/>
            </w:pPr>
            <w:r w:rsidR="0C8F4989">
              <w:rPr/>
              <w:t xml:space="preserve">$163.729.116 </w:t>
            </w:r>
          </w:p>
        </w:tc>
      </w:tr>
      <w:tr w:rsidR="0057097F" w:rsidTr="75020658" w14:paraId="500322EE" w14:textId="77777777">
        <w:tc>
          <w:tcPr>
            <w:tcW w:w="6000" w:type="dxa"/>
            <w:shd w:val="clear" w:color="auto" w:fill="D9D9D9" w:themeFill="background1" w:themeFillShade="D9"/>
            <w:tcMar/>
          </w:tcPr>
          <w:p w:rsidR="0057097F" w:rsidRDefault="000B7A27" w14:paraId="500322EC" w14:textId="77777777">
            <w:pPr>
              <w:rPr>
                <w:b/>
                <w:sz w:val="20"/>
                <w:szCs w:val="20"/>
              </w:rPr>
            </w:pPr>
            <w:r>
              <w:rPr>
                <w:b/>
                <w:sz w:val="20"/>
                <w:szCs w:val="20"/>
              </w:rPr>
              <w:t>Valor asegurado amparos afectados:</w:t>
            </w:r>
          </w:p>
        </w:tc>
        <w:tc>
          <w:tcPr>
            <w:tcW w:w="4410" w:type="dxa"/>
            <w:tcMar/>
          </w:tcPr>
          <w:p w:rsidR="0057097F" w:rsidP="357EB3F4" w:rsidRDefault="000B7A27" w14:paraId="500322ED" w14:textId="5E3B75BD">
            <w:pPr>
              <w:rPr>
                <w:b w:val="1"/>
                <w:bCs w:val="1"/>
              </w:rPr>
            </w:pPr>
            <w:r w:rsidRPr="28CA36A8" w:rsidR="7570458E">
              <w:rPr>
                <w:b w:val="1"/>
                <w:bCs w:val="1"/>
              </w:rPr>
              <w:t>$</w:t>
            </w:r>
            <w:r w:rsidRPr="28CA36A8" w:rsidR="2776ACD1">
              <w:rPr>
                <w:b w:val="1"/>
                <w:bCs w:val="1"/>
              </w:rPr>
              <w:t>500.000.000</w:t>
            </w:r>
          </w:p>
        </w:tc>
      </w:tr>
      <w:tr w:rsidR="0057097F" w:rsidTr="75020658" w14:paraId="500322F1" w14:textId="77777777">
        <w:tc>
          <w:tcPr>
            <w:tcW w:w="6000" w:type="dxa"/>
            <w:shd w:val="clear" w:color="auto" w:fill="D9D9D9" w:themeFill="background1" w:themeFillShade="D9"/>
            <w:tcMar/>
          </w:tcPr>
          <w:p w:rsidR="0057097F" w:rsidRDefault="000B7A27" w14:paraId="500322EF" w14:textId="77777777">
            <w:pPr>
              <w:rPr>
                <w:b/>
                <w:sz w:val="20"/>
                <w:szCs w:val="20"/>
              </w:rPr>
            </w:pPr>
            <w:r>
              <w:rPr>
                <w:b/>
                <w:sz w:val="20"/>
                <w:szCs w:val="20"/>
              </w:rPr>
              <w:t>Valoración objetiva de las pretensiones:</w:t>
            </w:r>
          </w:p>
        </w:tc>
        <w:tc>
          <w:tcPr>
            <w:tcW w:w="4410" w:type="dxa"/>
            <w:tcMar/>
          </w:tcPr>
          <w:p w:rsidRPr="000B7A27" w:rsidR="0057097F" w:rsidP="357EB3F4" w:rsidRDefault="000B7A27" w14:paraId="7A91695F" w14:textId="4F32258B">
            <w:pPr/>
            <w:r w:rsidR="72F47928">
              <w:rPr/>
              <w:t xml:space="preserve">Se presenta como pretensiones objetivadas la suma de </w:t>
            </w:r>
            <w:r w:rsidR="2E493F49">
              <w:rPr/>
              <w:t>$</w:t>
            </w:r>
            <w:r w:rsidR="325D51D1">
              <w:rPr/>
              <w:t>152.936.616</w:t>
            </w:r>
            <w:r w:rsidR="2E493F49">
              <w:rPr/>
              <w:t xml:space="preserve">, en relación con </w:t>
            </w:r>
            <w:r w:rsidR="2E493F49">
              <w:rPr/>
              <w:t>lo</w:t>
            </w:r>
            <w:r w:rsidR="2E493F49">
              <w:rPr/>
              <w:t xml:space="preserve"> siguiente:</w:t>
            </w:r>
          </w:p>
          <w:p w:rsidRPr="000B7A27" w:rsidR="0057097F" w:rsidP="357EB3F4" w:rsidRDefault="000B7A27" w14:paraId="78F4BA7D" w14:textId="10E11582">
            <w:pPr/>
          </w:p>
          <w:p w:rsidRPr="000B7A27" w:rsidR="0057097F" w:rsidP="75020658" w:rsidRDefault="000B7A27" w14:paraId="0779A562" w14:textId="257E05FC">
            <w:pPr>
              <w:pStyle w:val="Normal"/>
              <w:rPr>
                <w:b w:val="1"/>
                <w:bCs w:val="1"/>
              </w:rPr>
            </w:pPr>
            <w:r w:rsidRPr="75020658" w:rsidR="75020658">
              <w:rPr>
                <w:b w:val="1"/>
                <w:bCs w:val="1"/>
              </w:rPr>
              <w:t xml:space="preserve">1. </w:t>
            </w:r>
            <w:r w:rsidRPr="75020658" w:rsidR="39AA1017">
              <w:rPr>
                <w:b w:val="1"/>
                <w:bCs w:val="1"/>
              </w:rPr>
              <w:t>LUCRO CESANTE (a favor de la compañera permanente)</w:t>
            </w:r>
            <w:r w:rsidRPr="75020658" w:rsidR="2E0D2785">
              <w:rPr>
                <w:b w:val="1"/>
                <w:bCs w:val="1"/>
              </w:rPr>
              <w:t>:</w:t>
            </w:r>
          </w:p>
          <w:p w:rsidRPr="000B7A27" w:rsidR="0057097F" w:rsidP="75020658" w:rsidRDefault="000B7A27" w14:paraId="60C6ED95" w14:textId="70AB3F6C">
            <w:pPr>
              <w:pStyle w:val="Normal"/>
              <w:rPr>
                <w:b w:val="1"/>
                <w:bCs w:val="1"/>
              </w:rPr>
            </w:pPr>
            <w:r w:rsidR="2AD93E7A">
              <w:rPr/>
              <w:t xml:space="preserve">Ésta suma fue </w:t>
            </w:r>
            <w:r w:rsidR="17AAAA57">
              <w:rPr/>
              <w:t>liquidad</w:t>
            </w:r>
            <w:r w:rsidR="71DB6EE2">
              <w:rPr/>
              <w:t>a</w:t>
            </w:r>
            <w:r w:rsidR="17AAAA57">
              <w:rPr/>
              <w:t xml:space="preserve"> </w:t>
            </w:r>
            <w:r w:rsidR="18DD97CE">
              <w:rPr/>
              <w:t>tomando como referencia un valor de $483.262</w:t>
            </w:r>
            <w:r w:rsidR="18DD97CE">
              <w:rPr/>
              <w:t xml:space="preserve"> </w:t>
            </w:r>
            <w:r w:rsidR="18DD97CE">
              <w:rPr/>
              <w:t>como ingreso mensual percibido por el fallecido ya que se presume devengaba un salario m</w:t>
            </w:r>
            <w:r w:rsidR="4820DBD3">
              <w:rPr/>
              <w:t>ínimo por tener 18 años</w:t>
            </w:r>
            <w:r w:rsidR="7B0778AE">
              <w:rPr/>
              <w:t xml:space="preserve">, </w:t>
            </w:r>
            <w:r w:rsidR="7B0778AE">
              <w:rPr/>
              <w:t>a</w:t>
            </w:r>
            <w:r w:rsidR="7B0778AE">
              <w:rPr/>
              <w:t xml:space="preserve"> dicho valor se le restó</w:t>
            </w:r>
            <w:r w:rsidR="4820DBD3">
              <w:rPr/>
              <w:t xml:space="preserve"> el 25% por ser destinado a sus gastos personales</w:t>
            </w:r>
            <w:r w:rsidR="2E493F49">
              <w:rPr/>
              <w:t>, d</w:t>
            </w:r>
            <w:r w:rsidR="4DA60729">
              <w:rPr/>
              <w:t xml:space="preserve">ando un valor </w:t>
            </w:r>
            <w:r w:rsidR="039F1E3C">
              <w:rPr/>
              <w:t>de</w:t>
            </w:r>
            <w:r w:rsidR="5DE774AC">
              <w:rPr/>
              <w:t xml:space="preserve"> $92.936.616.</w:t>
            </w:r>
            <w:r w:rsidR="43CEF1C6">
              <w:rPr/>
              <w:t xml:space="preserve"> </w:t>
            </w:r>
          </w:p>
          <w:p w:rsidRPr="000B7A27" w:rsidR="0057097F" w:rsidP="357EB3F4" w:rsidRDefault="000B7A27" w14:paraId="578EC2C9" w14:textId="21810673">
            <w:pPr/>
          </w:p>
          <w:p w:rsidRPr="000B7A27" w:rsidR="0057097F" w:rsidP="357EB3F4" w:rsidRDefault="000B7A27" w14:paraId="1F3E03EF" w14:textId="6CFF83A9">
            <w:pPr/>
            <w:r w:rsidR="43CEF1C6">
              <w:rPr/>
              <w:t xml:space="preserve">NO SE LIQUIDA LUCRO CESANTE CONSOLIDADO POR NO SER PRETENDIDO, EL JUEZ NO PODRÍA RECONOCER ESTE VALOR </w:t>
            </w:r>
            <w:r w:rsidR="43CEF1C6">
              <w:rPr/>
              <w:t>DE ACUERDO AL</w:t>
            </w:r>
            <w:r w:rsidR="43CEF1C6">
              <w:rPr/>
              <w:t xml:space="preserve"> ART 281 DEL CGP.</w:t>
            </w:r>
          </w:p>
          <w:p w:rsidRPr="000B7A27" w:rsidR="0057097F" w:rsidP="28CA36A8" w:rsidRDefault="000B7A27" w14:paraId="00DA1A66" w14:textId="37520DFC">
            <w:pPr>
              <w:pStyle w:val="Normal"/>
              <w:suppressLineNumbers w:val="0"/>
              <w:bidi w:val="0"/>
              <w:spacing w:before="0" w:beforeAutospacing="off" w:after="0" w:afterAutospacing="off" w:line="259" w:lineRule="auto"/>
              <w:ind w:left="0" w:right="0"/>
              <w:jc w:val="left"/>
            </w:pPr>
          </w:p>
          <w:p w:rsidR="77DD67C5" w:rsidP="75020658" w:rsidRDefault="77DD67C5" w14:paraId="5348204A" w14:textId="1618E2CA">
            <w:pPr>
              <w:pStyle w:val="Normal"/>
              <w:suppressLineNumbers w:val="0"/>
              <w:bidi w:val="0"/>
              <w:spacing w:before="0" w:beforeAutospacing="off" w:after="0" w:afterAutospacing="off" w:line="259" w:lineRule="auto"/>
              <w:ind w:left="0" w:right="0"/>
              <w:jc w:val="left"/>
              <w:rPr>
                <w:b w:val="1"/>
                <w:bCs w:val="1"/>
              </w:rPr>
            </w:pPr>
            <w:r w:rsidRPr="75020658" w:rsidR="77DD67C5">
              <w:rPr>
                <w:b w:val="1"/>
                <w:bCs w:val="1"/>
              </w:rPr>
              <w:t>2. DAÑO MORAL</w:t>
            </w:r>
            <w:r w:rsidRPr="75020658" w:rsidR="0C995684">
              <w:rPr>
                <w:b w:val="1"/>
                <w:bCs w:val="1"/>
              </w:rPr>
              <w:t xml:space="preserve"> (a favor de la compañera </w:t>
            </w:r>
            <w:r w:rsidRPr="75020658" w:rsidR="0C995684">
              <w:rPr>
                <w:b w:val="1"/>
                <w:bCs w:val="1"/>
              </w:rPr>
              <w:t>permanante</w:t>
            </w:r>
            <w:r w:rsidRPr="75020658" w:rsidR="0C995684">
              <w:rPr>
                <w:b w:val="1"/>
                <w:bCs w:val="1"/>
              </w:rPr>
              <w:t>):</w:t>
            </w:r>
          </w:p>
          <w:p w:rsidRPr="000B7A27" w:rsidR="0057097F" w:rsidP="28CA36A8" w:rsidRDefault="000B7A27" w14:paraId="0902702E" w14:textId="26EFE523">
            <w:pPr>
              <w:pStyle w:val="Normal"/>
              <w:suppressLineNumbers w:val="0"/>
              <w:bidi w:val="0"/>
              <w:spacing w:before="0" w:beforeAutospacing="off" w:after="0" w:afterAutospacing="off" w:line="259" w:lineRule="auto"/>
              <w:ind w:left="0" w:right="0"/>
              <w:jc w:val="left"/>
            </w:pPr>
            <w:r w:rsidR="5DE774AC">
              <w:rPr/>
              <w:t xml:space="preserve">Así mismo, se establece como valor de daño moral la suma de $60.000.000 de </w:t>
            </w:r>
            <w:r w:rsidR="0DE09F18">
              <w:rPr/>
              <w:t>acuerdo</w:t>
            </w:r>
            <w:r w:rsidR="5DE774AC">
              <w:rPr/>
              <w:t xml:space="preserve"> con lo establecido por la jurisprudencia de la Corte Suprema de Justicia frente a la reclamación de este perjuicio frente a la muerte del </w:t>
            </w:r>
            <w:r w:rsidR="1265A6D3">
              <w:rPr/>
              <w:t>cónyuge</w:t>
            </w:r>
            <w:r w:rsidR="5DE774AC">
              <w:rPr/>
              <w:t xml:space="preserve"> o pareja permanente.</w:t>
            </w:r>
          </w:p>
          <w:p w:rsidRPr="000B7A27" w:rsidR="0057097F" w:rsidP="28CA36A8" w:rsidRDefault="000B7A27" w14:paraId="699CFCE3" w14:textId="49F6A846">
            <w:pPr>
              <w:pStyle w:val="Normal"/>
              <w:suppressLineNumbers w:val="0"/>
              <w:bidi w:val="0"/>
              <w:spacing w:before="0" w:beforeAutospacing="off" w:after="0" w:afterAutospacing="off" w:line="259" w:lineRule="auto"/>
              <w:ind w:left="0" w:right="0"/>
              <w:jc w:val="left"/>
            </w:pPr>
          </w:p>
          <w:p w:rsidRPr="000B7A27" w:rsidR="0057097F" w:rsidP="28CA36A8" w:rsidRDefault="000B7A27" w14:paraId="738824E5" w14:textId="5EF51031">
            <w:pPr>
              <w:pStyle w:val="Normal"/>
              <w:suppressLineNumbers w:val="0"/>
              <w:bidi w:val="0"/>
              <w:spacing w:before="0" w:beforeAutospacing="off" w:after="0" w:afterAutospacing="off" w:line="259" w:lineRule="auto"/>
              <w:ind w:left="0" w:right="0"/>
              <w:jc w:val="left"/>
            </w:pPr>
            <w:r w:rsidR="46C6FF85">
              <w:rPr/>
              <w:t xml:space="preserve">Dicho valor se encuentra contenido en la suma asegurable, pues el límite asegurado es de $500.000.000, sin existir </w:t>
            </w:r>
            <w:r w:rsidR="46C6FF85">
              <w:rPr/>
              <w:t>deducible</w:t>
            </w:r>
            <w:r w:rsidR="46C6FF85">
              <w:rPr/>
              <w:t xml:space="preserve"> pactado.</w:t>
            </w:r>
          </w:p>
          <w:p w:rsidRPr="000B7A27" w:rsidR="0057097F" w:rsidP="357EB3F4" w:rsidRDefault="000B7A27" w14:paraId="500322F0" w14:textId="28A5CDA0">
            <w:pPr/>
          </w:p>
        </w:tc>
      </w:tr>
      <w:tr w:rsidR="0057097F" w:rsidTr="75020658" w14:paraId="500322F4" w14:textId="77777777">
        <w:tc>
          <w:tcPr>
            <w:tcW w:w="6000" w:type="dxa"/>
            <w:shd w:val="clear" w:color="auto" w:fill="D9D9D9" w:themeFill="background1" w:themeFillShade="D9"/>
            <w:tcMar/>
          </w:tcPr>
          <w:p w:rsidR="0057097F" w:rsidRDefault="000B7A27" w14:paraId="500322F2" w14:textId="77777777">
            <w:pPr>
              <w:rPr>
                <w:b/>
                <w:sz w:val="20"/>
                <w:szCs w:val="20"/>
              </w:rPr>
            </w:pPr>
            <w:r>
              <w:rPr>
                <w:b/>
                <w:sz w:val="20"/>
                <w:szCs w:val="20"/>
              </w:rPr>
              <w:t>Calificación de la contingencia:</w:t>
            </w:r>
          </w:p>
        </w:tc>
        <w:tc>
          <w:tcPr>
            <w:tcW w:w="4410" w:type="dxa"/>
            <w:tcMar/>
          </w:tcPr>
          <w:p w:rsidR="0057097F" w:rsidP="75020658" w:rsidRDefault="005A4426" w14:paraId="500322F3" w14:textId="36F6C19C">
            <w:pPr>
              <w:pStyle w:val="Normal"/>
              <w:suppressLineNumbers w:val="0"/>
              <w:bidi w:val="0"/>
              <w:spacing w:before="0" w:beforeAutospacing="off" w:after="0" w:afterAutospacing="off" w:line="259" w:lineRule="auto"/>
              <w:ind w:left="0" w:right="0"/>
              <w:jc w:val="both"/>
            </w:pPr>
            <w:r w:rsidR="213AEE2A">
              <w:rPr/>
              <w:t>REMOTO</w:t>
            </w:r>
          </w:p>
        </w:tc>
      </w:tr>
      <w:tr w:rsidRPr="000B7A27" w:rsidR="0057097F" w:rsidTr="75020658" w14:paraId="500322F7" w14:textId="77777777">
        <w:tc>
          <w:tcPr>
            <w:tcW w:w="6000" w:type="dxa"/>
            <w:shd w:val="clear" w:color="auto" w:fill="D9D9D9" w:themeFill="background1" w:themeFillShade="D9"/>
            <w:tcMar/>
          </w:tcPr>
          <w:p w:rsidRPr="000B7A27" w:rsidR="0057097F" w:rsidRDefault="000B7A27" w14:paraId="500322F5" w14:textId="77777777">
            <w:pPr>
              <w:rPr>
                <w:rFonts w:asciiTheme="minorHAnsi" w:hAnsiTheme="minorHAnsi" w:cstheme="minorHAnsi"/>
                <w:b/>
              </w:rPr>
            </w:pPr>
            <w:r w:rsidRPr="000B7A27">
              <w:rPr>
                <w:rFonts w:asciiTheme="minorHAnsi" w:hAnsiTheme="minorHAnsi" w:cstheme="minorHAnsi"/>
                <w:b/>
              </w:rPr>
              <w:t>Motivos de la calificación:</w:t>
            </w:r>
          </w:p>
        </w:tc>
        <w:tc>
          <w:tcPr>
            <w:tcW w:w="4410" w:type="dxa"/>
            <w:tcMar/>
          </w:tcPr>
          <w:p w:rsidRPr="000B7A27" w:rsidR="0057097F" w:rsidP="28CA36A8" w:rsidRDefault="000B7A27" w14:paraId="1D04333B" w14:textId="7BC438DB">
            <w:pPr>
              <w:spacing w:line="276" w:lineRule="auto"/>
              <w:jc w:val="both"/>
              <w:rPr>
                <w:rFonts w:ascii="Calibri" w:hAnsi="Calibri" w:eastAsia="Arial" w:cs="Calibri" w:asciiTheme="minorAscii" w:hAnsiTheme="minorAscii" w:cstheme="minorAscii"/>
              </w:rPr>
            </w:pPr>
            <w:r w:rsidRPr="75020658" w:rsidR="6C988B12">
              <w:rPr>
                <w:rFonts w:ascii="Calibri" w:hAnsi="Calibri" w:eastAsia="Arial" w:cs="Calibri" w:asciiTheme="minorAscii" w:hAnsiTheme="minorAscii" w:cstheme="minorAscii"/>
              </w:rPr>
              <w:t xml:space="preserve">El presente caso se califica como </w:t>
            </w:r>
            <w:r w:rsidRPr="75020658" w:rsidR="54F0113B">
              <w:rPr>
                <w:rFonts w:ascii="Calibri" w:hAnsi="Calibri" w:eastAsia="Arial" w:cs="Calibri" w:asciiTheme="minorAscii" w:hAnsiTheme="minorAscii" w:cstheme="minorAscii"/>
              </w:rPr>
              <w:t>REMOTO</w:t>
            </w:r>
            <w:r w:rsidRPr="75020658" w:rsidR="6C988B12">
              <w:rPr>
                <w:rFonts w:ascii="Calibri" w:hAnsi="Calibri" w:eastAsia="Arial" w:cs="Calibri" w:asciiTheme="minorAscii" w:hAnsiTheme="minorAscii" w:cstheme="minorAscii"/>
              </w:rPr>
              <w:t>, deb</w:t>
            </w:r>
            <w:r w:rsidRPr="75020658" w:rsidR="00B012A5">
              <w:rPr>
                <w:rFonts w:ascii="Calibri" w:hAnsi="Calibri" w:eastAsia="Arial" w:cs="Calibri" w:asciiTheme="minorAscii" w:hAnsiTheme="minorAscii" w:cstheme="minorAscii"/>
              </w:rPr>
              <w:t>ido a lo siguiente:</w:t>
            </w:r>
          </w:p>
          <w:p w:rsidRPr="000B7A27" w:rsidR="0057097F" w:rsidP="28CA36A8" w:rsidRDefault="000B7A27" w14:paraId="3E02AED4" w14:textId="7C595E31">
            <w:pPr>
              <w:spacing w:line="276" w:lineRule="auto"/>
              <w:jc w:val="both"/>
              <w:rPr>
                <w:rFonts w:ascii="Calibri" w:hAnsi="Calibri" w:eastAsia="Arial" w:cs="Calibri" w:asciiTheme="minorAscii" w:hAnsiTheme="minorAscii" w:cstheme="minorAscii"/>
              </w:rPr>
            </w:pPr>
          </w:p>
          <w:p w:rsidRPr="000B7A27" w:rsidR="0057097F" w:rsidP="75020658" w:rsidRDefault="000B7A27" w14:paraId="4A0D63AA" w14:textId="530E9231">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s-CO"/>
              </w:rPr>
            </w:pPr>
            <w:r w:rsidRPr="75020658" w:rsidR="00B012A5">
              <w:rPr>
                <w:rFonts w:ascii="Calibri" w:hAnsi="Calibri" w:eastAsia="Arial" w:cs="Calibri" w:asciiTheme="minorAscii" w:hAnsiTheme="minorAscii" w:cstheme="minorAscii"/>
              </w:rPr>
              <w:t xml:space="preserve">La </w:t>
            </w:r>
            <w:r w:rsidRPr="75020658" w:rsidR="00B012A5">
              <w:rPr>
                <w:rFonts w:ascii="Calibri" w:hAnsi="Calibri" w:eastAsia="Calibri" w:cs="Calibri"/>
                <w:b w:val="0"/>
                <w:bCs w:val="0"/>
                <w:i w:val="0"/>
                <w:iCs w:val="0"/>
                <w:caps w:val="0"/>
                <w:smallCaps w:val="0"/>
                <w:noProof w:val="0"/>
                <w:color w:val="000000" w:themeColor="text1" w:themeTint="FF" w:themeShade="FF"/>
                <w:sz w:val="22"/>
                <w:szCs w:val="22"/>
                <w:lang w:val="es-CO"/>
              </w:rPr>
              <w:t>Póliza todo ri</w:t>
            </w:r>
            <w:r w:rsidRPr="75020658" w:rsidR="00B012A5">
              <w:rPr>
                <w:rFonts w:ascii="Calibri" w:hAnsi="Calibri" w:eastAsia="Calibri" w:cs="Calibri"/>
                <w:b w:val="0"/>
                <w:bCs w:val="0"/>
                <w:i w:val="0"/>
                <w:iCs w:val="0"/>
                <w:caps w:val="0"/>
                <w:smallCaps w:val="0"/>
                <w:noProof w:val="0"/>
                <w:color w:val="000000" w:themeColor="text1" w:themeTint="FF" w:themeShade="FF"/>
                <w:sz w:val="22"/>
                <w:szCs w:val="22"/>
                <w:lang w:val="es-CO"/>
              </w:rPr>
              <w:t>e</w:t>
            </w:r>
            <w:r w:rsidRPr="75020658" w:rsidR="450EEA0D">
              <w:rPr>
                <w:rFonts w:ascii="Calibri" w:hAnsi="Calibri" w:eastAsia="Calibri" w:cs="Calibri"/>
                <w:b w:val="0"/>
                <w:bCs w:val="0"/>
                <w:i w:val="0"/>
                <w:iCs w:val="0"/>
                <w:caps w:val="0"/>
                <w:smallCaps w:val="0"/>
                <w:noProof w:val="0"/>
                <w:color w:val="000000" w:themeColor="text1" w:themeTint="FF" w:themeShade="FF"/>
                <w:sz w:val="22"/>
                <w:szCs w:val="22"/>
                <w:lang w:val="es-CO"/>
              </w:rPr>
              <w:t>s</w:t>
            </w:r>
            <w:r w:rsidRPr="75020658" w:rsidR="00B012A5">
              <w:rPr>
                <w:rFonts w:ascii="Calibri" w:hAnsi="Calibri" w:eastAsia="Calibri" w:cs="Calibri"/>
                <w:b w:val="0"/>
                <w:bCs w:val="0"/>
                <w:i w:val="0"/>
                <w:iCs w:val="0"/>
                <w:caps w:val="0"/>
                <w:smallCaps w:val="0"/>
                <w:noProof w:val="0"/>
                <w:color w:val="000000" w:themeColor="text1" w:themeTint="FF" w:themeShade="FF"/>
                <w:sz w:val="22"/>
                <w:szCs w:val="22"/>
                <w:lang w:val="es-CO"/>
              </w:rPr>
              <w:t>go PO-6-1122 </w:t>
            </w:r>
            <w:r w:rsidRPr="75020658" w:rsidR="72F3D269">
              <w:rPr>
                <w:rFonts w:ascii="Calibri" w:hAnsi="Calibri" w:eastAsia="Calibri" w:cs="Calibri"/>
                <w:b w:val="0"/>
                <w:bCs w:val="0"/>
                <w:i w:val="0"/>
                <w:iCs w:val="0"/>
                <w:caps w:val="0"/>
                <w:smallCaps w:val="0"/>
                <w:noProof w:val="0"/>
                <w:color w:val="000000" w:themeColor="text1" w:themeTint="FF" w:themeShade="FF"/>
                <w:sz w:val="22"/>
                <w:szCs w:val="22"/>
                <w:lang w:val="es-CO"/>
              </w:rPr>
              <w:t>presta cobertura temporal y material respecto de lo pretendido, sin embargo, la responsabilidad del asegurado es objeto de debate y adicionalmente, en el presente caso se alega prescripción</w:t>
            </w:r>
            <w:r w:rsidRPr="75020658" w:rsidR="181ABC7B">
              <w:rPr>
                <w:rFonts w:ascii="Calibri" w:hAnsi="Calibri" w:eastAsia="Calibri" w:cs="Calibri"/>
                <w:b w:val="0"/>
                <w:bCs w:val="0"/>
                <w:i w:val="0"/>
                <w:iCs w:val="0"/>
                <w:caps w:val="0"/>
                <w:smallCaps w:val="0"/>
                <w:noProof w:val="0"/>
                <w:color w:val="000000" w:themeColor="text1" w:themeTint="FF" w:themeShade="FF"/>
                <w:sz w:val="22"/>
                <w:szCs w:val="22"/>
                <w:lang w:val="es-CO"/>
              </w:rPr>
              <w:t>.</w:t>
            </w:r>
          </w:p>
          <w:p w:rsidRPr="000B7A27" w:rsidR="0057097F" w:rsidP="28CA36A8" w:rsidRDefault="000B7A27" w14:paraId="1FD17889" w14:textId="5B57F7F7">
            <w:pPr>
              <w:pStyle w:val="Normal"/>
              <w:spacing w:after="0" w:line="240" w:lineRule="auto"/>
              <w:rPr>
                <w:rFonts w:ascii="Calibri" w:hAnsi="Calibri" w:eastAsia="Arial" w:cs="Calibri" w:asciiTheme="minorAscii" w:hAnsiTheme="minorAscii" w:cstheme="minorAscii"/>
              </w:rPr>
            </w:pPr>
          </w:p>
          <w:p w:rsidRPr="000B7A27" w:rsidR="0057097F" w:rsidP="75020658" w:rsidRDefault="000B7A27" w14:paraId="66CAC15D" w14:textId="56A9F118">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s-CO"/>
              </w:rPr>
            </w:pPr>
            <w:r w:rsidRPr="75020658" w:rsidR="181ABC7B">
              <w:rPr>
                <w:rFonts w:ascii="Calibri" w:hAnsi="Calibri" w:eastAsia="Arial" w:cs="Calibri" w:asciiTheme="minorAscii" w:hAnsiTheme="minorAscii" w:cstheme="minorAscii"/>
              </w:rPr>
              <w:t xml:space="preserve">La </w:t>
            </w:r>
            <w:r w:rsidRPr="75020658" w:rsidR="181ABC7B">
              <w:rPr>
                <w:rFonts w:ascii="Calibri" w:hAnsi="Calibri" w:eastAsia="Calibri" w:cs="Calibri"/>
                <w:b w:val="0"/>
                <w:bCs w:val="0"/>
                <w:i w:val="0"/>
                <w:iCs w:val="0"/>
                <w:caps w:val="0"/>
                <w:smallCaps w:val="0"/>
                <w:noProof w:val="0"/>
                <w:color w:val="000000" w:themeColor="text1" w:themeTint="FF" w:themeShade="FF"/>
                <w:sz w:val="22"/>
                <w:szCs w:val="22"/>
                <w:lang w:val="es-CO"/>
              </w:rPr>
              <w:t>Póliza todo rie</w:t>
            </w:r>
            <w:r w:rsidRPr="75020658" w:rsidR="4B640083">
              <w:rPr>
                <w:rFonts w:ascii="Calibri" w:hAnsi="Calibri" w:eastAsia="Calibri" w:cs="Calibri"/>
                <w:b w:val="0"/>
                <w:bCs w:val="0"/>
                <w:i w:val="0"/>
                <w:iCs w:val="0"/>
                <w:caps w:val="0"/>
                <w:smallCaps w:val="0"/>
                <w:noProof w:val="0"/>
                <w:color w:val="000000" w:themeColor="text1" w:themeTint="FF" w:themeShade="FF"/>
                <w:sz w:val="22"/>
                <w:szCs w:val="22"/>
                <w:lang w:val="es-CO"/>
              </w:rPr>
              <w:t>s</w:t>
            </w:r>
            <w:r w:rsidRPr="75020658" w:rsidR="181ABC7B">
              <w:rPr>
                <w:rFonts w:ascii="Calibri" w:hAnsi="Calibri" w:eastAsia="Calibri" w:cs="Calibri"/>
                <w:b w:val="0"/>
                <w:bCs w:val="0"/>
                <w:i w:val="0"/>
                <w:iCs w:val="0"/>
                <w:caps w:val="0"/>
                <w:smallCaps w:val="0"/>
                <w:noProof w:val="0"/>
                <w:color w:val="000000" w:themeColor="text1" w:themeTint="FF" w:themeShade="FF"/>
                <w:sz w:val="22"/>
                <w:szCs w:val="22"/>
                <w:lang w:val="es-CO"/>
              </w:rPr>
              <w:t>go PO-6-1122 </w:t>
            </w:r>
            <w:r w:rsidRPr="75020658" w:rsidR="16DC629C">
              <w:rPr>
                <w:rFonts w:ascii="Calibri" w:hAnsi="Calibri" w:eastAsia="Calibri" w:cs="Calibri"/>
                <w:b w:val="0"/>
                <w:bCs w:val="0"/>
                <w:i w:val="0"/>
                <w:iCs w:val="0"/>
                <w:caps w:val="0"/>
                <w:smallCaps w:val="0"/>
                <w:noProof w:val="0"/>
                <w:color w:val="000000" w:themeColor="text1" w:themeTint="FF" w:themeShade="FF"/>
                <w:sz w:val="22"/>
                <w:szCs w:val="22"/>
                <w:lang w:val="es-CO"/>
              </w:rPr>
              <w:t>presta cobertura temporal toda vez que la misma fue pactada en modalidad ocurrencia con una vigencia del 16 de julio de 2015 al 16 de jul</w:t>
            </w:r>
            <w:r w:rsidRPr="75020658" w:rsidR="5C1461E0">
              <w:rPr>
                <w:rFonts w:ascii="Calibri" w:hAnsi="Calibri" w:eastAsia="Calibri" w:cs="Calibri"/>
                <w:b w:val="0"/>
                <w:bCs w:val="0"/>
                <w:i w:val="0"/>
                <w:iCs w:val="0"/>
                <w:caps w:val="0"/>
                <w:smallCaps w:val="0"/>
                <w:noProof w:val="0"/>
                <w:color w:val="000000" w:themeColor="text1" w:themeTint="FF" w:themeShade="FF"/>
                <w:sz w:val="22"/>
                <w:szCs w:val="22"/>
                <w:lang w:val="es-CO"/>
              </w:rPr>
              <w:t xml:space="preserve">io de 2016 y el accidente de tránsito </w:t>
            </w:r>
            <w:r w:rsidRPr="75020658" w:rsidR="62481F73">
              <w:rPr>
                <w:rFonts w:ascii="Calibri" w:hAnsi="Calibri" w:eastAsia="Calibri" w:cs="Calibri"/>
                <w:b w:val="0"/>
                <w:bCs w:val="0"/>
                <w:i w:val="0"/>
                <w:iCs w:val="0"/>
                <w:caps w:val="0"/>
                <w:smallCaps w:val="0"/>
                <w:noProof w:val="0"/>
                <w:color w:val="000000" w:themeColor="text1" w:themeTint="FF" w:themeShade="FF"/>
                <w:sz w:val="22"/>
                <w:szCs w:val="22"/>
                <w:lang w:val="es-CO"/>
              </w:rPr>
              <w:t>ocurrió</w:t>
            </w:r>
            <w:r w:rsidRPr="75020658" w:rsidR="5C1461E0">
              <w:rPr>
                <w:rFonts w:ascii="Calibri" w:hAnsi="Calibri" w:eastAsia="Calibri" w:cs="Calibri"/>
                <w:b w:val="0"/>
                <w:bCs w:val="0"/>
                <w:i w:val="0"/>
                <w:iCs w:val="0"/>
                <w:caps w:val="0"/>
                <w:smallCaps w:val="0"/>
                <w:noProof w:val="0"/>
                <w:color w:val="000000" w:themeColor="text1" w:themeTint="FF" w:themeShade="FF"/>
                <w:sz w:val="22"/>
                <w:szCs w:val="22"/>
                <w:lang w:val="es-CO"/>
              </w:rPr>
              <w:t xml:space="preserve"> el 20 de agosto de 2015.</w:t>
            </w:r>
          </w:p>
          <w:p w:rsidRPr="000B7A27" w:rsidR="0057097F" w:rsidP="28CA36A8" w:rsidRDefault="000B7A27" w14:paraId="4BD1E8C5" w14:textId="7BC5FBFA">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s-CO"/>
              </w:rPr>
            </w:pPr>
          </w:p>
          <w:p w:rsidRPr="000B7A27" w:rsidR="0057097F" w:rsidP="75020658" w:rsidRDefault="000B7A27" w14:paraId="7A822FC9" w14:textId="1D1C2237">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s-CO"/>
              </w:rPr>
            </w:pPr>
            <w:r w:rsidRPr="75020658" w:rsidR="5C1461E0">
              <w:rPr>
                <w:rFonts w:ascii="Calibri" w:hAnsi="Calibri" w:eastAsia="Calibri" w:cs="Calibri"/>
                <w:b w:val="0"/>
                <w:bCs w:val="0"/>
                <w:i w:val="0"/>
                <w:iCs w:val="0"/>
                <w:caps w:val="0"/>
                <w:smallCaps w:val="0"/>
                <w:noProof w:val="0"/>
                <w:color w:val="000000" w:themeColor="text1" w:themeTint="FF" w:themeShade="FF"/>
                <w:sz w:val="22"/>
                <w:szCs w:val="22"/>
                <w:lang w:val="es-CO"/>
              </w:rPr>
              <w:t>Por otro lado, la Póliza todo rie</w:t>
            </w:r>
            <w:r w:rsidRPr="75020658" w:rsidR="611415A1">
              <w:rPr>
                <w:rFonts w:ascii="Calibri" w:hAnsi="Calibri" w:eastAsia="Calibri" w:cs="Calibri"/>
                <w:b w:val="0"/>
                <w:bCs w:val="0"/>
                <w:i w:val="0"/>
                <w:iCs w:val="0"/>
                <w:caps w:val="0"/>
                <w:smallCaps w:val="0"/>
                <w:noProof w:val="0"/>
                <w:color w:val="000000" w:themeColor="text1" w:themeTint="FF" w:themeShade="FF"/>
                <w:sz w:val="22"/>
                <w:szCs w:val="22"/>
                <w:lang w:val="es-CO"/>
              </w:rPr>
              <w:t>s</w:t>
            </w:r>
            <w:r w:rsidRPr="75020658" w:rsidR="5C1461E0">
              <w:rPr>
                <w:rFonts w:ascii="Calibri" w:hAnsi="Calibri" w:eastAsia="Calibri" w:cs="Calibri"/>
                <w:b w:val="0"/>
                <w:bCs w:val="0"/>
                <w:i w:val="0"/>
                <w:iCs w:val="0"/>
                <w:caps w:val="0"/>
                <w:smallCaps w:val="0"/>
                <w:noProof w:val="0"/>
                <w:color w:val="000000" w:themeColor="text1" w:themeTint="FF" w:themeShade="FF"/>
                <w:sz w:val="22"/>
                <w:szCs w:val="22"/>
                <w:lang w:val="es-CO"/>
              </w:rPr>
              <w:t>go PO-6-</w:t>
            </w:r>
            <w:r w:rsidRPr="75020658" w:rsidR="1E29F71C">
              <w:rPr>
                <w:rFonts w:ascii="Calibri" w:hAnsi="Calibri" w:eastAsia="Calibri" w:cs="Calibri"/>
                <w:b w:val="0"/>
                <w:bCs w:val="0"/>
                <w:i w:val="0"/>
                <w:iCs w:val="0"/>
                <w:caps w:val="0"/>
                <w:smallCaps w:val="0"/>
                <w:noProof w:val="0"/>
                <w:color w:val="000000" w:themeColor="text1" w:themeTint="FF" w:themeShade="FF"/>
                <w:sz w:val="22"/>
                <w:szCs w:val="22"/>
                <w:lang w:val="es-CO"/>
              </w:rPr>
              <w:t>1122 presta</w:t>
            </w:r>
            <w:r w:rsidRPr="75020658" w:rsidR="5C1461E0">
              <w:rPr>
                <w:rFonts w:ascii="Calibri" w:hAnsi="Calibri" w:eastAsia="Calibri" w:cs="Calibri"/>
                <w:b w:val="0"/>
                <w:bCs w:val="0"/>
                <w:i w:val="0"/>
                <w:iCs w:val="0"/>
                <w:caps w:val="0"/>
                <w:smallCaps w:val="0"/>
                <w:noProof w:val="0"/>
                <w:color w:val="000000" w:themeColor="text1" w:themeTint="FF" w:themeShade="FF"/>
                <w:sz w:val="22"/>
                <w:szCs w:val="22"/>
                <w:lang w:val="es-CO"/>
              </w:rPr>
              <w:t xml:space="preserve"> cobertura material pues tiene el seguro cuenta con el amparo de RCE </w:t>
            </w:r>
            <w:r w:rsidRPr="75020658" w:rsidR="361B7E09">
              <w:rPr>
                <w:rFonts w:ascii="Calibri" w:hAnsi="Calibri" w:eastAsia="Calibri" w:cs="Calibri"/>
                <w:b w:val="0"/>
                <w:bCs w:val="0"/>
                <w:i w:val="0"/>
                <w:iCs w:val="0"/>
                <w:caps w:val="0"/>
                <w:smallCaps w:val="0"/>
                <w:noProof w:val="0"/>
                <w:color w:val="000000" w:themeColor="text1" w:themeTint="FF" w:themeShade="FF"/>
                <w:sz w:val="22"/>
                <w:szCs w:val="22"/>
                <w:lang w:val="es-CO"/>
              </w:rPr>
              <w:t>l</w:t>
            </w:r>
            <w:r w:rsidRPr="75020658" w:rsidR="0CF29679">
              <w:rPr>
                <w:rFonts w:ascii="Calibri" w:hAnsi="Calibri" w:eastAsia="Calibri" w:cs="Calibri"/>
                <w:b w:val="0"/>
                <w:bCs w:val="0"/>
                <w:i w:val="0"/>
                <w:iCs w:val="0"/>
                <w:caps w:val="0"/>
                <w:smallCaps w:val="0"/>
                <w:noProof w:val="0"/>
                <w:color w:val="000000" w:themeColor="text1" w:themeTint="FF" w:themeShade="FF"/>
                <w:sz w:val="22"/>
                <w:szCs w:val="22"/>
                <w:lang w:val="es-CO"/>
              </w:rPr>
              <w:t>e</w:t>
            </w:r>
            <w:r w:rsidRPr="75020658" w:rsidR="361B7E09">
              <w:rPr>
                <w:rFonts w:ascii="Calibri" w:hAnsi="Calibri" w:eastAsia="Calibri" w:cs="Calibri"/>
                <w:b w:val="0"/>
                <w:bCs w:val="0"/>
                <w:i w:val="0"/>
                <w:iCs w:val="0"/>
                <w:caps w:val="0"/>
                <w:smallCaps w:val="0"/>
                <w:noProof w:val="0"/>
                <w:color w:val="000000" w:themeColor="text1" w:themeTint="FF" w:themeShade="FF"/>
                <w:sz w:val="22"/>
                <w:szCs w:val="22"/>
                <w:lang w:val="es-CO"/>
              </w:rPr>
              <w:t>sión/muerte a 1 persona, encajando dentro de los hechos relatados en la demanda</w:t>
            </w:r>
            <w:r w:rsidRPr="75020658" w:rsidR="349DE1E3">
              <w:rPr>
                <w:rFonts w:ascii="Calibri" w:hAnsi="Calibri" w:eastAsia="Calibri" w:cs="Calibri"/>
                <w:b w:val="0"/>
                <w:bCs w:val="0"/>
                <w:i w:val="0"/>
                <w:iCs w:val="0"/>
                <w:caps w:val="0"/>
                <w:smallCaps w:val="0"/>
                <w:noProof w:val="0"/>
                <w:color w:val="000000" w:themeColor="text1" w:themeTint="FF" w:themeShade="FF"/>
                <w:sz w:val="22"/>
                <w:szCs w:val="22"/>
                <w:lang w:val="es-CO"/>
              </w:rPr>
              <w:t>.</w:t>
            </w:r>
          </w:p>
          <w:p w:rsidRPr="000B7A27" w:rsidR="0057097F" w:rsidP="28CA36A8" w:rsidRDefault="000B7A27" w14:paraId="39546CF5" w14:textId="22EE02E8">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s-CO"/>
              </w:rPr>
            </w:pPr>
          </w:p>
          <w:p w:rsidRPr="000B7A27" w:rsidR="0057097F" w:rsidP="28CA36A8" w:rsidRDefault="000B7A27" w14:paraId="73311A24" w14:textId="208486CD">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s-CO"/>
              </w:rPr>
            </w:pPr>
            <w:r w:rsidRPr="28CA36A8" w:rsidR="349DE1E3">
              <w:rPr>
                <w:rFonts w:ascii="Calibri" w:hAnsi="Calibri" w:eastAsia="Calibri" w:cs="Calibri"/>
                <w:b w:val="0"/>
                <w:bCs w:val="0"/>
                <w:i w:val="0"/>
                <w:iCs w:val="0"/>
                <w:caps w:val="0"/>
                <w:smallCaps w:val="0"/>
                <w:noProof w:val="0"/>
                <w:color w:val="000000" w:themeColor="text1" w:themeTint="FF" w:themeShade="FF"/>
                <w:sz w:val="22"/>
                <w:szCs w:val="22"/>
                <w:lang w:val="es-CO"/>
              </w:rPr>
              <w:t xml:space="preserve">Frente a la responsabilidad del asegurado, debe tenerse en cuenta que si bien el IPAT señala como causa del accidente la No.116 </w:t>
            </w:r>
            <w:r w:rsidRPr="28CA36A8" w:rsidR="01FFECEC">
              <w:rPr>
                <w:rFonts w:ascii="Calibri" w:hAnsi="Calibri" w:eastAsia="Calibri" w:cs="Calibri"/>
                <w:b w:val="0"/>
                <w:bCs w:val="0"/>
                <w:i w:val="0"/>
                <w:iCs w:val="0"/>
                <w:caps w:val="0"/>
                <w:smallCaps w:val="0"/>
                <w:noProof w:val="0"/>
                <w:color w:val="000000" w:themeColor="text1" w:themeTint="FF" w:themeShade="FF"/>
                <w:sz w:val="22"/>
                <w:szCs w:val="22"/>
                <w:lang w:val="es-CO"/>
              </w:rPr>
              <w:t xml:space="preserve">“exceso de velocidad” por parte del conductor de la moto WZR14C, y existe dictamen RAT que señala a éste como el responsable del accidente, la parte demandante aporta dictamen de reconstrucción </w:t>
            </w:r>
            <w:r w:rsidRPr="28CA36A8" w:rsidR="4595B284">
              <w:rPr>
                <w:rFonts w:ascii="Calibri" w:hAnsi="Calibri" w:eastAsia="Calibri" w:cs="Calibri"/>
                <w:b w:val="0"/>
                <w:bCs w:val="0"/>
                <w:i w:val="0"/>
                <w:iCs w:val="0"/>
                <w:caps w:val="0"/>
                <w:smallCaps w:val="0"/>
                <w:noProof w:val="0"/>
                <w:color w:val="000000" w:themeColor="text1" w:themeTint="FF" w:themeShade="FF"/>
                <w:sz w:val="22"/>
                <w:szCs w:val="22"/>
                <w:lang w:val="es-CO"/>
              </w:rPr>
              <w:t>oficiado</w:t>
            </w:r>
            <w:r w:rsidRPr="28CA36A8" w:rsidR="01FFECEC">
              <w:rPr>
                <w:rFonts w:ascii="Calibri" w:hAnsi="Calibri" w:eastAsia="Calibri" w:cs="Calibri"/>
                <w:b w:val="0"/>
                <w:bCs w:val="0"/>
                <w:i w:val="0"/>
                <w:iCs w:val="0"/>
                <w:caps w:val="0"/>
                <w:smallCaps w:val="0"/>
                <w:noProof w:val="0"/>
                <w:color w:val="000000" w:themeColor="text1" w:themeTint="FF" w:themeShade="FF"/>
                <w:sz w:val="22"/>
                <w:szCs w:val="22"/>
                <w:lang w:val="es-CO"/>
              </w:rPr>
              <w:t xml:space="preserve"> por la Fis</w:t>
            </w:r>
            <w:r w:rsidRPr="28CA36A8" w:rsidR="4ED97E17">
              <w:rPr>
                <w:rFonts w:ascii="Calibri" w:hAnsi="Calibri" w:eastAsia="Calibri" w:cs="Calibri"/>
                <w:b w:val="0"/>
                <w:bCs w:val="0"/>
                <w:i w:val="0"/>
                <w:iCs w:val="0"/>
                <w:caps w:val="0"/>
                <w:smallCaps w:val="0"/>
                <w:noProof w:val="0"/>
                <w:color w:val="000000" w:themeColor="text1" w:themeTint="FF" w:themeShade="FF"/>
                <w:sz w:val="22"/>
                <w:szCs w:val="22"/>
                <w:lang w:val="es-CO"/>
              </w:rPr>
              <w:t xml:space="preserve">calía </w:t>
            </w:r>
            <w:r w:rsidRPr="28CA36A8" w:rsidR="65AE1942">
              <w:rPr>
                <w:rFonts w:ascii="Calibri" w:hAnsi="Calibri" w:eastAsia="Calibri" w:cs="Calibri"/>
                <w:b w:val="0"/>
                <w:bCs w:val="0"/>
                <w:i w:val="0"/>
                <w:iCs w:val="0"/>
                <w:caps w:val="0"/>
                <w:smallCaps w:val="0"/>
                <w:noProof w:val="0"/>
                <w:color w:val="000000" w:themeColor="text1" w:themeTint="FF" w:themeShade="FF"/>
                <w:sz w:val="22"/>
                <w:szCs w:val="22"/>
                <w:lang w:val="es-CO"/>
              </w:rPr>
              <w:t>en el que se señala como culpable del accidente al asegurado, por lo que existe riesgo en cuanto a la declaración de concurrencia de culpas.</w:t>
            </w:r>
          </w:p>
          <w:p w:rsidRPr="000B7A27" w:rsidR="0057097F" w:rsidP="28CA36A8" w:rsidRDefault="000B7A27" w14:paraId="2BF50837" w14:textId="6A7569CF">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s-CO"/>
              </w:rPr>
            </w:pPr>
          </w:p>
          <w:p w:rsidRPr="000B7A27" w:rsidR="0057097F" w:rsidP="75020658" w:rsidRDefault="000B7A27" w14:paraId="4442A816" w14:textId="58E8336C">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s-CO"/>
              </w:rPr>
            </w:pPr>
            <w:r w:rsidRPr="75020658" w:rsidR="65AE1942">
              <w:rPr>
                <w:rFonts w:ascii="Calibri" w:hAnsi="Calibri" w:eastAsia="Calibri" w:cs="Calibri"/>
                <w:b w:val="0"/>
                <w:bCs w:val="0"/>
                <w:i w:val="0"/>
                <w:iCs w:val="0"/>
                <w:caps w:val="0"/>
                <w:smallCaps w:val="0"/>
                <w:noProof w:val="0"/>
                <w:color w:val="000000" w:themeColor="text1" w:themeTint="FF" w:themeShade="FF"/>
                <w:sz w:val="22"/>
                <w:szCs w:val="22"/>
                <w:lang w:val="es-CO"/>
              </w:rPr>
              <w:t xml:space="preserve">Además, se debe señalar que </w:t>
            </w:r>
            <w:r w:rsidRPr="75020658" w:rsidR="65AE1942">
              <w:rPr>
                <w:rFonts w:ascii="Calibri" w:hAnsi="Calibri" w:eastAsia="Calibri" w:cs="Calibri"/>
                <w:b w:val="0"/>
                <w:bCs w:val="0"/>
                <w:i w:val="0"/>
                <w:iCs w:val="0"/>
                <w:caps w:val="0"/>
                <w:smallCaps w:val="0"/>
                <w:noProof w:val="0"/>
                <w:color w:val="000000" w:themeColor="text1" w:themeTint="FF" w:themeShade="FF"/>
                <w:sz w:val="22"/>
                <w:szCs w:val="22"/>
                <w:lang w:val="es-CO"/>
              </w:rPr>
              <w:t>el demandante no prob</w:t>
            </w:r>
            <w:r w:rsidRPr="75020658" w:rsidR="631847ED">
              <w:rPr>
                <w:rFonts w:ascii="Calibri" w:hAnsi="Calibri" w:eastAsia="Calibri" w:cs="Calibri"/>
                <w:b w:val="0"/>
                <w:bCs w:val="0"/>
                <w:i w:val="0"/>
                <w:iCs w:val="0"/>
                <w:caps w:val="0"/>
                <w:smallCaps w:val="0"/>
                <w:noProof w:val="0"/>
                <w:color w:val="000000" w:themeColor="text1" w:themeTint="FF" w:themeShade="FF"/>
                <w:sz w:val="22"/>
                <w:szCs w:val="22"/>
                <w:lang w:val="es-CO"/>
              </w:rPr>
              <w:t>ó</w:t>
            </w:r>
            <w:r w:rsidRPr="75020658" w:rsidR="65AE1942">
              <w:rPr>
                <w:rFonts w:ascii="Calibri" w:hAnsi="Calibri" w:eastAsia="Calibri" w:cs="Calibri"/>
                <w:b w:val="0"/>
                <w:bCs w:val="0"/>
                <w:i w:val="0"/>
                <w:iCs w:val="0"/>
                <w:caps w:val="0"/>
                <w:smallCaps w:val="0"/>
                <w:noProof w:val="0"/>
                <w:color w:val="000000" w:themeColor="text1" w:themeTint="FF" w:themeShade="FF"/>
                <w:sz w:val="22"/>
                <w:szCs w:val="22"/>
                <w:lang w:val="es-CO"/>
              </w:rPr>
              <w:t xml:space="preserve"> siquiera</w:t>
            </w:r>
            <w:r w:rsidRPr="75020658" w:rsidR="65AE1942">
              <w:rPr>
                <w:rFonts w:ascii="Calibri" w:hAnsi="Calibri" w:eastAsia="Calibri" w:cs="Calibri"/>
                <w:b w:val="0"/>
                <w:bCs w:val="0"/>
                <w:i w:val="0"/>
                <w:iCs w:val="0"/>
                <w:caps w:val="0"/>
                <w:smallCaps w:val="0"/>
                <w:noProof w:val="0"/>
                <w:color w:val="000000" w:themeColor="text1" w:themeTint="FF" w:themeShade="FF"/>
                <w:sz w:val="22"/>
                <w:szCs w:val="22"/>
                <w:lang w:val="es-CO"/>
              </w:rPr>
              <w:t xml:space="preserve"> de manera sumaria ser la única con el derecho a reclamar. </w:t>
            </w:r>
          </w:p>
          <w:p w:rsidR="75020658" w:rsidP="75020658" w:rsidRDefault="75020658" w14:paraId="20E60222" w14:textId="41AD342A">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s-CO"/>
              </w:rPr>
            </w:pPr>
          </w:p>
          <w:p w:rsidR="417C6461" w:rsidP="75020658" w:rsidRDefault="417C6461" w14:paraId="68DADEF2" w14:textId="128F3752">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s-CO"/>
              </w:rPr>
            </w:pPr>
            <w:r w:rsidRPr="75020658" w:rsidR="417C6461">
              <w:rPr>
                <w:rFonts w:ascii="Calibri" w:hAnsi="Calibri" w:eastAsia="Calibri" w:cs="Calibri"/>
                <w:b w:val="0"/>
                <w:bCs w:val="0"/>
                <w:i w:val="0"/>
                <w:iCs w:val="0"/>
                <w:caps w:val="0"/>
                <w:smallCaps w:val="0"/>
                <w:noProof w:val="0"/>
                <w:color w:val="000000" w:themeColor="text1" w:themeTint="FF" w:themeShade="FF"/>
                <w:sz w:val="22"/>
                <w:szCs w:val="22"/>
                <w:lang w:val="es-CO"/>
              </w:rPr>
              <w:t xml:space="preserve">Por otro lado, la prescripción extraordinaria se configura pues desde la fecha de la objeción emitida por la compañía hasta la interposición de la demanda han </w:t>
            </w:r>
            <w:r w:rsidRPr="75020658" w:rsidR="417C6461">
              <w:rPr>
                <w:rFonts w:ascii="Calibri" w:hAnsi="Calibri" w:eastAsia="Calibri" w:cs="Calibri"/>
                <w:b w:val="0"/>
                <w:bCs w:val="0"/>
                <w:i w:val="0"/>
                <w:iCs w:val="0"/>
                <w:caps w:val="0"/>
                <w:smallCaps w:val="0"/>
                <w:noProof w:val="0"/>
                <w:color w:val="000000" w:themeColor="text1" w:themeTint="FF" w:themeShade="FF"/>
                <w:sz w:val="22"/>
                <w:szCs w:val="22"/>
                <w:lang w:val="es-CO"/>
              </w:rPr>
              <w:t>transcurrido</w:t>
            </w:r>
            <w:r w:rsidRPr="75020658" w:rsidR="417C6461">
              <w:rPr>
                <w:rFonts w:ascii="Calibri" w:hAnsi="Calibri" w:eastAsia="Calibri" w:cs="Calibri"/>
                <w:b w:val="0"/>
                <w:bCs w:val="0"/>
                <w:i w:val="0"/>
                <w:iCs w:val="0"/>
                <w:caps w:val="0"/>
                <w:smallCaps w:val="0"/>
                <w:noProof w:val="0"/>
                <w:color w:val="000000" w:themeColor="text1" w:themeTint="FF" w:themeShade="FF"/>
                <w:sz w:val="22"/>
                <w:szCs w:val="22"/>
                <w:lang w:val="es-CO"/>
              </w:rPr>
              <w:t xml:space="preserve"> más de 5 años.</w:t>
            </w:r>
          </w:p>
          <w:p w:rsidRPr="000B7A27" w:rsidR="0057097F" w:rsidP="28CA36A8" w:rsidRDefault="000B7A27" w14:paraId="500322F6" w14:textId="2D450D37">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s-CO"/>
              </w:rPr>
            </w:pPr>
          </w:p>
        </w:tc>
      </w:tr>
      <w:tr w:rsidRPr="000B7A27" w:rsidR="0057097F" w:rsidTr="75020658" w14:paraId="50032300" w14:textId="77777777">
        <w:tc>
          <w:tcPr>
            <w:tcW w:w="6000" w:type="dxa"/>
            <w:shd w:val="clear" w:color="auto" w:fill="D9D9D9" w:themeFill="background1" w:themeFillShade="D9"/>
            <w:tcMar/>
          </w:tcPr>
          <w:p w:rsidRPr="000B7A27" w:rsidR="0057097F" w:rsidRDefault="000B7A27" w14:paraId="500322F8" w14:textId="77777777">
            <w:pPr>
              <w:rPr>
                <w:rFonts w:asciiTheme="minorHAnsi" w:hAnsiTheme="minorHAnsi" w:cstheme="minorHAnsi"/>
                <w:b/>
              </w:rPr>
            </w:pPr>
            <w:r w:rsidRPr="000B7A27">
              <w:rPr>
                <w:rFonts w:asciiTheme="minorHAnsi" w:hAnsiTheme="minorHAnsi" w:cstheme="minorHAnsi"/>
                <w:b/>
              </w:rPr>
              <w:lastRenderedPageBreak/>
              <w:t>Excepciones propuestas:</w:t>
            </w:r>
          </w:p>
        </w:tc>
        <w:tc>
          <w:tcPr>
            <w:tcW w:w="4410" w:type="dxa"/>
            <w:tcMar/>
          </w:tcPr>
          <w:p w:rsidR="000B7A27" w:rsidP="357EB3F4" w:rsidRDefault="000B7A27" w14:paraId="32D5DAB4" w14:textId="6F78732E">
            <w:pPr>
              <w:jc w:val="both"/>
              <w:rPr>
                <w:rFonts w:ascii="Calibri" w:hAnsi="Calibri" w:cs="Calibri" w:asciiTheme="minorAscii" w:hAnsiTheme="minorAscii" w:cstheme="minorAscii"/>
              </w:rPr>
            </w:pPr>
            <w:r w:rsidRPr="357EB3F4" w:rsidR="000B7A27">
              <w:rPr>
                <w:rFonts w:ascii="Calibri" w:hAnsi="Calibri" w:cs="Calibri" w:asciiTheme="minorAscii" w:hAnsiTheme="minorAscii" w:cstheme="minorAscii"/>
              </w:rPr>
              <w:t>EXCEPCIONES DE FONDO FRENTE A LA DEMANDA</w:t>
            </w:r>
            <w:r w:rsidRPr="357EB3F4" w:rsidR="0BAEC5E2">
              <w:rPr>
                <w:rFonts w:ascii="Calibri" w:hAnsi="Calibri" w:cs="Calibri" w:asciiTheme="minorAscii" w:hAnsiTheme="minorAscii" w:cstheme="minorAscii"/>
              </w:rPr>
              <w:t>:</w:t>
            </w:r>
          </w:p>
          <w:p w:rsidR="4989938B" w:rsidP="28CA36A8" w:rsidRDefault="4989938B" w14:paraId="3D42C420" w14:textId="02C60DC0">
            <w:pPr>
              <w:pStyle w:val="Normal"/>
              <w:jc w:val="both"/>
              <w:rPr>
                <w:rFonts w:ascii="Calibri" w:hAnsi="Calibri" w:cs="Calibri" w:asciiTheme="minorAscii" w:hAnsiTheme="minorAscii" w:cstheme="minorAscii"/>
                <w:b w:val="1"/>
                <w:bCs w:val="1"/>
              </w:rPr>
            </w:pPr>
            <w:r w:rsidRPr="28CA36A8" w:rsidR="4989938B">
              <w:rPr>
                <w:rFonts w:ascii="Calibri" w:hAnsi="Calibri" w:cs="Calibri" w:asciiTheme="minorAscii" w:hAnsiTheme="minorAscii" w:cstheme="minorAscii"/>
                <w:b w:val="1"/>
                <w:bCs w:val="1"/>
              </w:rPr>
              <w:t>EXCEPCIONES DE FONDO FRENTE A LA INEXISTENTE RESPONSABILIDAD DERIVADA DEL ACCIDENTE DE TRÁNSITO.</w:t>
            </w:r>
          </w:p>
          <w:p w:rsidR="28CA36A8" w:rsidP="28CA36A8" w:rsidRDefault="28CA36A8" w14:paraId="39865E04" w14:textId="08037BA6">
            <w:pPr>
              <w:pStyle w:val="Normal"/>
              <w:jc w:val="both"/>
              <w:rPr>
                <w:rFonts w:ascii="Calibri" w:hAnsi="Calibri" w:eastAsia="Calibri" w:cs="Calibri" w:asciiTheme="minorAscii" w:hAnsiTheme="minorAscii" w:eastAsiaTheme="minorAscii" w:cstheme="minorAscii"/>
                <w:b w:val="1"/>
                <w:bCs w:val="1"/>
              </w:rPr>
            </w:pPr>
          </w:p>
          <w:p w:rsidR="4989938B" w:rsidP="28CA36A8" w:rsidRDefault="4989938B" w14:paraId="12502668" w14:textId="72823517">
            <w:pPr>
              <w:pStyle w:val="ListParagraph"/>
              <w:numPr>
                <w:ilvl w:val="0"/>
                <w:numId w:val="3"/>
              </w:numPr>
              <w:jc w:val="both"/>
              <w:rPr>
                <w:rFonts w:ascii="Calibri" w:hAnsi="Calibri" w:eastAsia="Calibri" w:cs="Calibri" w:asciiTheme="minorAscii" w:hAnsiTheme="minorAscii" w:eastAsiaTheme="minorAscii" w:cstheme="minorAscii"/>
                <w:b w:val="1"/>
                <w:bCs w:val="1"/>
              </w:rPr>
            </w:pPr>
            <w:r w:rsidRPr="28CA36A8" w:rsidR="4989938B">
              <w:rPr>
                <w:rFonts w:ascii="Calibri" w:hAnsi="Calibri" w:eastAsia="Calibri" w:cs="Calibri" w:asciiTheme="minorAscii" w:hAnsiTheme="minorAscii" w:eastAsiaTheme="minorAscii" w:cstheme="minorAscii"/>
                <w:b w:val="1"/>
                <w:bCs w:val="1"/>
              </w:rPr>
              <w:t>INEXISTENCIA DE RESPONSABILIDAD COMO CONSECUENCIA DEL HECHO DE LA VÍCTIMA.</w:t>
            </w:r>
          </w:p>
          <w:p w:rsidR="4989938B" w:rsidP="28CA36A8" w:rsidRDefault="4989938B" w14:paraId="4CFB4654" w14:textId="0491754D">
            <w:pPr>
              <w:pStyle w:val="ListParagraph"/>
              <w:numPr>
                <w:ilvl w:val="0"/>
                <w:numId w:val="3"/>
              </w:numPr>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CO"/>
              </w:rPr>
            </w:pPr>
            <w:r w:rsidRPr="28CA36A8" w:rsidR="4989938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CO"/>
              </w:rPr>
              <w:t>REDUCCIÓN DE LA INDEMNIZACIÓN COMO CONSECUENCIA DE LA INCIDENCIA DE LA CONDUCTA DE LA VÍCTIMA EN LA PRODUCCIÓN DEL DAÑO</w:t>
            </w:r>
          </w:p>
          <w:p w:rsidR="4989938B" w:rsidP="28CA36A8" w:rsidRDefault="4989938B" w14:paraId="710DB21C" w14:textId="0ACC4EEB">
            <w:pPr>
              <w:pStyle w:val="ListParagraph"/>
              <w:numPr>
                <w:ilvl w:val="0"/>
                <w:numId w:val="3"/>
              </w:numPr>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CO"/>
              </w:rPr>
            </w:pPr>
            <w:r w:rsidRPr="28CA36A8" w:rsidR="4989938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CO"/>
              </w:rPr>
              <w:t>IMPROCEDENCIA DEL RECONOCIMIENTO DE LUCRO CESANTE</w:t>
            </w:r>
          </w:p>
          <w:p w:rsidR="4989938B" w:rsidP="28CA36A8" w:rsidRDefault="4989938B" w14:paraId="45765F13" w14:textId="3B91E30B">
            <w:pPr>
              <w:pStyle w:val="ListParagraph"/>
              <w:numPr>
                <w:ilvl w:val="0"/>
                <w:numId w:val="3"/>
              </w:numPr>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CO"/>
              </w:rPr>
            </w:pPr>
            <w:r w:rsidRPr="28CA36A8" w:rsidR="4989938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CO"/>
              </w:rPr>
              <w:t>GENÉRICA O INNOMINADA</w:t>
            </w:r>
          </w:p>
          <w:p w:rsidR="28CA36A8" w:rsidP="28CA36A8" w:rsidRDefault="28CA36A8" w14:paraId="7F519CBB" w14:textId="15755704">
            <w:pPr>
              <w:pStyle w:val="Normal"/>
              <w:ind w:left="0"/>
              <w:jc w:val="both"/>
              <w:rPr>
                <w:rFonts w:ascii="Calibri" w:hAnsi="Calibri" w:cs="Calibri" w:asciiTheme="minorAscii" w:hAnsiTheme="minorAscii" w:cstheme="minorAscii"/>
                <w:b w:val="1"/>
                <w:bCs w:val="1"/>
              </w:rPr>
            </w:pPr>
          </w:p>
          <w:p w:rsidR="4989938B" w:rsidP="28CA36A8" w:rsidRDefault="4989938B" w14:paraId="35F05CA6" w14:textId="41A4F672">
            <w:pPr>
              <w:pStyle w:val="Normal"/>
              <w:ind w:left="0"/>
              <w:jc w:val="both"/>
              <w:rPr>
                <w:rFonts w:ascii="Calibri" w:hAnsi="Calibri" w:cs="Calibri" w:asciiTheme="minorAscii" w:hAnsiTheme="minorAscii" w:cstheme="minorAscii"/>
                <w:b w:val="1"/>
                <w:bCs w:val="1"/>
              </w:rPr>
            </w:pPr>
            <w:r w:rsidRPr="28CA36A8" w:rsidR="4989938B">
              <w:rPr>
                <w:rFonts w:ascii="Calibri" w:hAnsi="Calibri" w:cs="Calibri" w:asciiTheme="minorAscii" w:hAnsiTheme="minorAscii" w:cstheme="minorAscii"/>
                <w:b w:val="1"/>
                <w:bCs w:val="1"/>
              </w:rPr>
              <w:t>EXCEPCIONES DE FONDO FRENTE AL CONTRATO DE SEGURO</w:t>
            </w:r>
          </w:p>
          <w:p w:rsidR="28CA36A8" w:rsidP="28CA36A8" w:rsidRDefault="28CA36A8" w14:paraId="229E1505" w14:textId="082394A3">
            <w:pPr>
              <w:pStyle w:val="Normal"/>
              <w:ind w:left="0"/>
              <w:jc w:val="both"/>
              <w:rPr>
                <w:rFonts w:ascii="Calibri" w:hAnsi="Calibri" w:cs="Calibri" w:asciiTheme="minorAscii" w:hAnsiTheme="minorAscii" w:cstheme="minorAscii"/>
                <w:b w:val="1"/>
                <w:bCs w:val="1"/>
              </w:rPr>
            </w:pPr>
          </w:p>
          <w:p w:rsidR="4989938B" w:rsidP="28CA36A8" w:rsidRDefault="4989938B" w14:paraId="4BDEEE91" w14:textId="1481B927">
            <w:pPr>
              <w:pStyle w:val="ListParagraph"/>
              <w:numPr>
                <w:ilvl w:val="0"/>
                <w:numId w:val="4"/>
              </w:numPr>
              <w:jc w:val="both"/>
              <w:rPr>
                <w:rFonts w:ascii="Calibri" w:hAnsi="Calibri" w:cs="Calibri" w:asciiTheme="minorAscii" w:hAnsiTheme="minorAscii" w:cstheme="minorAscii"/>
                <w:b w:val="1"/>
                <w:bCs w:val="1"/>
              </w:rPr>
            </w:pPr>
            <w:r w:rsidRPr="28CA36A8" w:rsidR="4989938B">
              <w:rPr>
                <w:rFonts w:ascii="Calibri" w:hAnsi="Calibri" w:cs="Calibri" w:asciiTheme="minorAscii" w:hAnsiTheme="minorAscii" w:cstheme="minorAscii"/>
                <w:b w:val="1"/>
                <w:bCs w:val="1"/>
              </w:rPr>
              <w:t>PRESCRIPCIÓN DE LAS ACCIONES DERIVADAS DEL CONTRATO DE SEGURO</w:t>
            </w:r>
          </w:p>
          <w:p w:rsidR="4989938B" w:rsidP="28CA36A8" w:rsidRDefault="4989938B" w14:paraId="6CA081CC" w14:textId="689681E1">
            <w:pPr>
              <w:pStyle w:val="ListParagraph"/>
              <w:numPr>
                <w:ilvl w:val="0"/>
                <w:numId w:val="4"/>
              </w:numPr>
              <w:jc w:val="both"/>
              <w:rPr>
                <w:rFonts w:ascii="Calibri" w:hAnsi="Calibri" w:cs="Calibri" w:asciiTheme="minorAscii" w:hAnsiTheme="minorAscii" w:cstheme="minorAscii"/>
                <w:b w:val="1"/>
                <w:bCs w:val="1"/>
              </w:rPr>
            </w:pPr>
            <w:r w:rsidRPr="28CA36A8" w:rsidR="4989938B">
              <w:rPr>
                <w:rFonts w:ascii="Calibri" w:hAnsi="Calibri" w:cs="Calibri" w:asciiTheme="minorAscii" w:hAnsiTheme="minorAscii" w:cstheme="minorAscii"/>
                <w:b w:val="1"/>
                <w:bCs w:val="1"/>
              </w:rPr>
              <w:t xml:space="preserve">INEXISTENCIA DE OBLIGACIÓN DE INDEMNIZAR A CARGO DE HDI SEGUROS COLOMBIA S.A. (ANTES LIBERTY SEGUROS S.A.) POR INCUMPLIMIENTO DE LAS CARGAS DEL ARTÍCULO 1077 DEL CÓDIGO DE COMERCIO.  </w:t>
            </w:r>
          </w:p>
          <w:p w:rsidR="23DD097A" w:rsidP="28CA36A8" w:rsidRDefault="23DD097A" w14:paraId="0A8CDBD2" w14:textId="72E1356B">
            <w:pPr>
              <w:pStyle w:val="ListParagraph"/>
              <w:numPr>
                <w:ilvl w:val="0"/>
                <w:numId w:val="4"/>
              </w:numPr>
              <w:jc w:val="both"/>
              <w:rPr>
                <w:rFonts w:ascii="Calibri" w:hAnsi="Calibri" w:cs="Calibri" w:asciiTheme="minorAscii" w:hAnsiTheme="minorAscii" w:cstheme="minorAscii"/>
                <w:b w:val="1"/>
                <w:bCs w:val="1"/>
              </w:rPr>
            </w:pPr>
            <w:r w:rsidRPr="28CA36A8" w:rsidR="23DD097A">
              <w:rPr>
                <w:rFonts w:ascii="Calibri" w:hAnsi="Calibri" w:cs="Calibri" w:asciiTheme="minorAscii" w:hAnsiTheme="minorAscii" w:cstheme="minorAscii"/>
                <w:b w:val="1"/>
                <w:bCs w:val="1"/>
              </w:rPr>
              <w:t>RIESGOS EXPRESAMENTE EXLUIDOS EN LA POLIZA DE SEGURO.</w:t>
            </w:r>
          </w:p>
          <w:p w:rsidR="4989938B" w:rsidP="28CA36A8" w:rsidRDefault="4989938B" w14:paraId="682C35C0" w14:textId="15D8791B">
            <w:pPr>
              <w:pStyle w:val="ListParagraph"/>
              <w:numPr>
                <w:ilvl w:val="0"/>
                <w:numId w:val="4"/>
              </w:numPr>
              <w:jc w:val="both"/>
              <w:rPr>
                <w:rFonts w:ascii="Calibri" w:hAnsi="Calibri" w:cs="Calibri" w:asciiTheme="minorAscii" w:hAnsiTheme="minorAscii" w:cstheme="minorAscii"/>
                <w:b w:val="1"/>
                <w:bCs w:val="1"/>
              </w:rPr>
            </w:pPr>
            <w:r w:rsidRPr="28CA36A8" w:rsidR="4989938B">
              <w:rPr>
                <w:rFonts w:ascii="Calibri" w:hAnsi="Calibri" w:cs="Calibri" w:asciiTheme="minorAscii" w:hAnsiTheme="minorAscii" w:cstheme="minorAscii"/>
                <w:b w:val="1"/>
                <w:bCs w:val="1"/>
              </w:rPr>
              <w:t xml:space="preserve">CARÁCTER MERAMENTE INDEMNIZATORIO QUE REVISTEN LOS CONTRATOS DE SEGUROS.  </w:t>
            </w:r>
          </w:p>
          <w:p w:rsidR="4D43B7A6" w:rsidP="28CA36A8" w:rsidRDefault="4D43B7A6" w14:paraId="47A92508" w14:textId="24BB1F32">
            <w:pPr>
              <w:pStyle w:val="ListParagraph"/>
              <w:numPr>
                <w:ilvl w:val="0"/>
                <w:numId w:val="4"/>
              </w:numPr>
              <w:jc w:val="both"/>
              <w:rPr>
                <w:rFonts w:ascii="Calibri" w:hAnsi="Calibri" w:cs="Calibri" w:asciiTheme="minorAscii" w:hAnsiTheme="minorAscii" w:cstheme="minorAscii"/>
                <w:b w:val="1"/>
                <w:bCs w:val="1"/>
              </w:rPr>
            </w:pPr>
            <w:r w:rsidRPr="28CA36A8" w:rsidR="4D43B7A6">
              <w:rPr>
                <w:rFonts w:ascii="Calibri" w:hAnsi="Calibri" w:cs="Calibri" w:asciiTheme="minorAscii" w:hAnsiTheme="minorAscii" w:cstheme="minorAscii"/>
                <w:b w:val="1"/>
                <w:bCs w:val="1"/>
              </w:rPr>
              <w:t xml:space="preserve">LÍMITES MÁXIMOS RESPONSABILIDAD DEL ASEGURADO ATENIENTE AL DEDUCIBLE. </w:t>
            </w:r>
          </w:p>
          <w:p w:rsidR="4989938B" w:rsidP="28CA36A8" w:rsidRDefault="4989938B" w14:paraId="03BA252B" w14:textId="6B32DA60">
            <w:pPr>
              <w:pStyle w:val="ListParagraph"/>
              <w:numPr>
                <w:ilvl w:val="0"/>
                <w:numId w:val="4"/>
              </w:numPr>
              <w:jc w:val="both"/>
              <w:rPr>
                <w:rFonts w:ascii="Calibri" w:hAnsi="Calibri" w:cs="Calibri" w:asciiTheme="minorAscii" w:hAnsiTheme="minorAscii" w:cstheme="minorAscii"/>
                <w:b w:val="1"/>
                <w:bCs w:val="1"/>
              </w:rPr>
            </w:pPr>
            <w:r w:rsidRPr="28CA36A8" w:rsidR="4989938B">
              <w:rPr>
                <w:rFonts w:ascii="Calibri" w:hAnsi="Calibri" w:cs="Calibri" w:asciiTheme="minorAscii" w:hAnsiTheme="minorAscii" w:cstheme="minorAscii"/>
                <w:b w:val="1"/>
                <w:bCs w:val="1"/>
              </w:rPr>
              <w:t xml:space="preserve">EN CUALQUIER CASO, DE NINGUNA FORMA SE PODRÁ EXCEDER EL LÍMITE DEL VALOR ASEGURADO.  </w:t>
            </w:r>
          </w:p>
          <w:p w:rsidR="4989938B" w:rsidP="28CA36A8" w:rsidRDefault="4989938B" w14:paraId="316A7774" w14:textId="4F9C08A9">
            <w:pPr>
              <w:pStyle w:val="ListParagraph"/>
              <w:numPr>
                <w:ilvl w:val="0"/>
                <w:numId w:val="4"/>
              </w:numPr>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CO"/>
              </w:rPr>
            </w:pPr>
            <w:r w:rsidRPr="28CA36A8" w:rsidR="4989938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CO"/>
              </w:rPr>
              <w:t>GENÉRICA O INNOMINADA</w:t>
            </w:r>
          </w:p>
          <w:p w:rsidRPr="000B7A27" w:rsidR="0057097F" w:rsidRDefault="0057097F" w14:paraId="500322FF" w14:textId="77777777">
            <w:pPr>
              <w:jc w:val="both"/>
              <w:rPr>
                <w:rFonts w:asciiTheme="minorHAnsi" w:hAnsiTheme="minorHAnsi" w:cstheme="minorHAnsi"/>
              </w:rPr>
            </w:pPr>
          </w:p>
        </w:tc>
      </w:tr>
      <w:tr w:rsidRPr="000B7A27" w:rsidR="0057097F" w:rsidTr="75020658" w14:paraId="50032303" w14:textId="77777777">
        <w:tc>
          <w:tcPr>
            <w:tcW w:w="6000" w:type="dxa"/>
            <w:shd w:val="clear" w:color="auto" w:fill="D9D9D9" w:themeFill="background1" w:themeFillShade="D9"/>
            <w:tcMar/>
          </w:tcPr>
          <w:p w:rsidRPr="000B7A27" w:rsidR="0057097F" w:rsidRDefault="000B7A27" w14:paraId="50032301" w14:textId="77777777">
            <w:pPr>
              <w:rPr>
                <w:rFonts w:asciiTheme="minorHAnsi" w:hAnsiTheme="minorHAnsi" w:cstheme="minorHAnsi"/>
                <w:b/>
              </w:rPr>
            </w:pPr>
            <w:r w:rsidRPr="000B7A27">
              <w:rPr>
                <w:rFonts w:asciiTheme="minorHAnsi" w:hAnsiTheme="minorHAnsi" w:cstheme="minorHAnsi"/>
                <w:b/>
              </w:rPr>
              <w:lastRenderedPageBreak/>
              <w:t>Concepto del abogado sobre la posibilidad de conciliar el caso y valor de una propuesta conciliatoria:</w:t>
            </w:r>
          </w:p>
        </w:tc>
        <w:tc>
          <w:tcPr>
            <w:tcW w:w="4410" w:type="dxa"/>
            <w:tcMar/>
          </w:tcPr>
          <w:p w:rsidRPr="000B7A27" w:rsidR="0057097F" w:rsidP="28CA36A8" w:rsidRDefault="0057097F" w14:paraId="50032302" w14:textId="0264C363">
            <w:pPr>
              <w:jc w:val="both"/>
              <w:rPr>
                <w:rFonts w:ascii="Calibri" w:hAnsi="Calibri" w:cs="Calibri" w:asciiTheme="minorAscii" w:hAnsiTheme="minorAscii" w:cstheme="minorAscii"/>
                <w:b w:val="1"/>
                <w:bCs w:val="1"/>
              </w:rPr>
            </w:pPr>
            <w:r w:rsidRPr="75020658" w:rsidR="7E44FCCA">
              <w:rPr>
                <w:rFonts w:ascii="Calibri" w:hAnsi="Calibri" w:cs="Calibri" w:asciiTheme="minorAscii" w:hAnsiTheme="minorAscii" w:cstheme="minorAscii"/>
                <w:b w:val="1"/>
                <w:bCs w:val="1"/>
              </w:rPr>
              <w:t>Debido a la calificación del proceso</w:t>
            </w:r>
            <w:r w:rsidRPr="75020658" w:rsidR="6D83A3DB">
              <w:rPr>
                <w:rFonts w:ascii="Calibri" w:hAnsi="Calibri" w:cs="Calibri" w:asciiTheme="minorAscii" w:hAnsiTheme="minorAscii" w:cstheme="minorAscii"/>
                <w:b w:val="1"/>
                <w:bCs w:val="1"/>
              </w:rPr>
              <w:t xml:space="preserve"> no se sugiere conciliar el proceso.</w:t>
            </w:r>
          </w:p>
        </w:tc>
      </w:tr>
    </w:tbl>
    <w:p w:rsidRPr="000B7A27" w:rsidR="0057097F" w:rsidRDefault="0057097F" w14:paraId="50032304" w14:textId="77777777">
      <w:pPr>
        <w:rPr>
          <w:rFonts w:asciiTheme="minorHAnsi" w:hAnsiTheme="minorHAnsi" w:cstheme="minorHAnsi"/>
          <w:b/>
        </w:rPr>
      </w:pPr>
    </w:p>
    <w:p w:rsidRPr="000B7A27" w:rsidR="0057097F" w:rsidRDefault="0057097F" w14:paraId="50032305" w14:textId="77777777">
      <w:pPr>
        <w:rPr>
          <w:rFonts w:asciiTheme="minorHAnsi" w:hAnsiTheme="minorHAnsi" w:cstheme="minorHAnsi"/>
          <w:b/>
        </w:rPr>
      </w:pPr>
    </w:p>
    <w:p w:rsidRPr="000B7A27" w:rsidR="0057097F" w:rsidRDefault="000B7A27" w14:paraId="50032306" w14:textId="77777777">
      <w:pPr>
        <w:rPr>
          <w:rFonts w:asciiTheme="minorHAnsi" w:hAnsiTheme="minorHAnsi" w:cstheme="minorHAnsi"/>
          <w:b/>
        </w:rPr>
      </w:pPr>
      <w:r w:rsidRPr="000B7A27">
        <w:rPr>
          <w:rFonts w:asciiTheme="minorHAnsi" w:hAnsiTheme="minorHAnsi" w:cstheme="minorHAnsi"/>
          <w:b/>
        </w:rPr>
        <w:lastRenderedPageBreak/>
        <w:t>INFORMACIÓN PARA LA AUDIENCIA DE CONCILIACIÓN:</w:t>
      </w:r>
    </w:p>
    <w:tbl>
      <w:tblPr>
        <w:tblStyle w:val="a0"/>
        <w:tblW w:w="88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414"/>
        <w:gridCol w:w="4414"/>
      </w:tblGrid>
      <w:tr w:rsidRPr="000B7A27" w:rsidR="0057097F" w14:paraId="50032309" w14:textId="77777777">
        <w:trPr>
          <w:trHeight w:val="238"/>
        </w:trPr>
        <w:tc>
          <w:tcPr>
            <w:tcW w:w="4414" w:type="dxa"/>
            <w:shd w:val="clear" w:color="auto" w:fill="D9D9D9"/>
          </w:tcPr>
          <w:p w:rsidRPr="000B7A27" w:rsidR="0057097F" w:rsidRDefault="000B7A27" w14:paraId="50032307" w14:textId="77777777">
            <w:pPr>
              <w:rPr>
                <w:rFonts w:asciiTheme="minorHAnsi" w:hAnsiTheme="minorHAnsi" w:cstheme="minorHAnsi"/>
                <w:b/>
              </w:rPr>
            </w:pPr>
            <w:r w:rsidRPr="000B7A27">
              <w:rPr>
                <w:rFonts w:asciiTheme="minorHAnsi" w:hAnsiTheme="minorHAnsi" w:cstheme="minorHAnsi"/>
                <w:b/>
              </w:rPr>
              <w:t>Fecha y hora de la diligencia:</w:t>
            </w:r>
          </w:p>
        </w:tc>
        <w:tc>
          <w:tcPr>
            <w:tcW w:w="4414" w:type="dxa"/>
          </w:tcPr>
          <w:p w:rsidRPr="000B7A27" w:rsidR="0057097F" w:rsidRDefault="0057097F" w14:paraId="50032308" w14:textId="77777777">
            <w:pPr>
              <w:rPr>
                <w:rFonts w:asciiTheme="minorHAnsi" w:hAnsiTheme="minorHAnsi" w:cstheme="minorHAnsi"/>
                <w:b/>
              </w:rPr>
            </w:pPr>
          </w:p>
        </w:tc>
      </w:tr>
      <w:tr w:rsidRPr="000B7A27" w:rsidR="0057097F" w14:paraId="5003230C" w14:textId="77777777">
        <w:tc>
          <w:tcPr>
            <w:tcW w:w="4414" w:type="dxa"/>
            <w:shd w:val="clear" w:color="auto" w:fill="D9D9D9"/>
          </w:tcPr>
          <w:p w:rsidRPr="000B7A27" w:rsidR="0057097F" w:rsidRDefault="000B7A27" w14:paraId="5003230A" w14:textId="77777777">
            <w:pPr>
              <w:rPr>
                <w:rFonts w:asciiTheme="minorHAnsi" w:hAnsiTheme="minorHAnsi" w:cstheme="minorHAnsi"/>
                <w:b/>
              </w:rPr>
            </w:pPr>
            <w:r w:rsidRPr="000B7A27">
              <w:rPr>
                <w:rFonts w:asciiTheme="minorHAnsi" w:hAnsiTheme="minorHAnsi" w:cstheme="minorHAnsi"/>
                <w:b/>
              </w:rPr>
              <w:t>Síntesis de los argumentos de la Compañía:</w:t>
            </w:r>
          </w:p>
        </w:tc>
        <w:tc>
          <w:tcPr>
            <w:tcW w:w="4414" w:type="dxa"/>
          </w:tcPr>
          <w:p w:rsidRPr="000B7A27" w:rsidR="0057097F" w:rsidRDefault="0057097F" w14:paraId="5003230B" w14:textId="77777777">
            <w:pPr>
              <w:pBdr>
                <w:top w:val="nil"/>
                <w:left w:val="nil"/>
                <w:bottom w:val="nil"/>
                <w:right w:val="nil"/>
                <w:between w:val="nil"/>
              </w:pBdr>
              <w:spacing w:after="160" w:line="259" w:lineRule="auto"/>
              <w:ind w:left="720"/>
              <w:jc w:val="both"/>
              <w:rPr>
                <w:rFonts w:asciiTheme="minorHAnsi" w:hAnsiTheme="minorHAnsi" w:cstheme="minorHAnsi"/>
                <w:color w:val="000000"/>
              </w:rPr>
            </w:pPr>
          </w:p>
        </w:tc>
      </w:tr>
      <w:tr w:rsidRPr="000B7A27" w:rsidR="0057097F" w14:paraId="5003230F" w14:textId="77777777">
        <w:tc>
          <w:tcPr>
            <w:tcW w:w="4414" w:type="dxa"/>
            <w:shd w:val="clear" w:color="auto" w:fill="D9D9D9"/>
          </w:tcPr>
          <w:p w:rsidRPr="000B7A27" w:rsidR="0057097F" w:rsidRDefault="000B7A27" w14:paraId="5003230D" w14:textId="77777777">
            <w:pPr>
              <w:rPr>
                <w:rFonts w:asciiTheme="minorHAnsi" w:hAnsiTheme="minorHAnsi" w:cstheme="minorHAnsi"/>
                <w:b/>
              </w:rPr>
            </w:pPr>
            <w:r w:rsidRPr="000B7A27">
              <w:rPr>
                <w:rFonts w:asciiTheme="minorHAnsi" w:hAnsiTheme="minorHAnsi" w:cstheme="minorHAnsi"/>
                <w:b/>
              </w:rPr>
              <w:t>Recomendaciones para la diligencia:</w:t>
            </w:r>
          </w:p>
        </w:tc>
        <w:tc>
          <w:tcPr>
            <w:tcW w:w="4414" w:type="dxa"/>
          </w:tcPr>
          <w:p w:rsidRPr="000B7A27" w:rsidR="0057097F" w:rsidRDefault="0057097F" w14:paraId="5003230E" w14:textId="77777777">
            <w:pPr>
              <w:jc w:val="both"/>
              <w:rPr>
                <w:rFonts w:asciiTheme="minorHAnsi" w:hAnsiTheme="minorHAnsi" w:cstheme="minorHAnsi"/>
              </w:rPr>
            </w:pPr>
          </w:p>
        </w:tc>
      </w:tr>
    </w:tbl>
    <w:p w:rsidRPr="000B7A27" w:rsidR="0057097F" w:rsidRDefault="0057097F" w14:paraId="50032310" w14:textId="77777777">
      <w:pPr>
        <w:rPr>
          <w:rFonts w:asciiTheme="minorHAnsi" w:hAnsiTheme="minorHAnsi" w:cstheme="minorHAnsi"/>
          <w:b/>
        </w:rPr>
      </w:pPr>
    </w:p>
    <w:sectPr w:rsidRPr="000B7A27" w:rsidR="0057097F">
      <w:headerReference w:type="even" r:id="rId11"/>
      <w:headerReference w:type="default" r:id="rId12"/>
      <w:footerReference w:type="even" r:id="rId13"/>
      <w:footerReference w:type="default" r:id="rId14"/>
      <w:headerReference w:type="first" r:id="rId15"/>
      <w:footerReference w:type="first" r:id="rId16"/>
      <w:pgSz w:w="12240" w:h="15840" w:orient="portrait"/>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B7A27" w14:paraId="5003231B" w14:textId="77777777">
      <w:pPr>
        <w:spacing w:after="0" w:line="240" w:lineRule="auto"/>
      </w:pPr>
      <w:r>
        <w:separator/>
      </w:r>
    </w:p>
  </w:endnote>
  <w:endnote w:type="continuationSeparator" w:id="0">
    <w:p w:rsidR="00000000" w:rsidRDefault="000B7A27" w14:paraId="500323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097F" w:rsidRDefault="0057097F" w14:paraId="50032313" w14:textId="7777777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097F" w:rsidRDefault="0057097F" w14:paraId="50032314" w14:textId="77777777">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097F" w:rsidRDefault="0057097F" w14:paraId="50032316" w14:textId="7777777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B7A27" w14:paraId="50032317" w14:textId="77777777">
      <w:pPr>
        <w:spacing w:after="0" w:line="240" w:lineRule="auto"/>
      </w:pPr>
      <w:r>
        <w:separator/>
      </w:r>
    </w:p>
  </w:footnote>
  <w:footnote w:type="continuationSeparator" w:id="0">
    <w:p w:rsidR="00000000" w:rsidRDefault="000B7A27" w14:paraId="5003231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097F" w:rsidRDefault="0057097F" w14:paraId="50032311" w14:textId="7777777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097F" w:rsidRDefault="0057097F" w14:paraId="50032312" w14:textId="77777777">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097F" w:rsidRDefault="0057097F" w14:paraId="50032315" w14:textId="7777777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4c8c99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3c2af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db7e7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5">
    <w:abstractNumId w:val="4"/>
  </w:num>
  <w:num w:numId="4">
    <w:abstractNumId w:val="3"/>
  </w:num>
  <w:num w:numId="3">
    <w:abstractNumId w:val="2"/>
  </w:num>
  <w:num w:numId="1" w16cid:durableId="557593865">
    <w:abstractNumId w:val="1"/>
  </w:num>
  <w:num w:numId="2" w16cid:durableId="32486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7F"/>
    <w:rsid w:val="000B7A27"/>
    <w:rsid w:val="0057097F"/>
    <w:rsid w:val="005A4426"/>
    <w:rsid w:val="00B012A5"/>
    <w:rsid w:val="00C19881"/>
    <w:rsid w:val="00E802EB"/>
    <w:rsid w:val="01FFECEC"/>
    <w:rsid w:val="038BFB55"/>
    <w:rsid w:val="039F1E3C"/>
    <w:rsid w:val="0420BA11"/>
    <w:rsid w:val="05AF1F52"/>
    <w:rsid w:val="05B170D8"/>
    <w:rsid w:val="061ABED5"/>
    <w:rsid w:val="09DA3153"/>
    <w:rsid w:val="0A7FBD1E"/>
    <w:rsid w:val="0ABD064A"/>
    <w:rsid w:val="0BAEC5E2"/>
    <w:rsid w:val="0BB82559"/>
    <w:rsid w:val="0C8F4989"/>
    <w:rsid w:val="0C995684"/>
    <w:rsid w:val="0CB2DB98"/>
    <w:rsid w:val="0CF29679"/>
    <w:rsid w:val="0D0DE9F4"/>
    <w:rsid w:val="0DE09F18"/>
    <w:rsid w:val="0EA059B0"/>
    <w:rsid w:val="1057CEFF"/>
    <w:rsid w:val="1187B09A"/>
    <w:rsid w:val="11E403A5"/>
    <w:rsid w:val="11FD2CDB"/>
    <w:rsid w:val="1265A6D3"/>
    <w:rsid w:val="12DD632D"/>
    <w:rsid w:val="130A21B6"/>
    <w:rsid w:val="14C1AC73"/>
    <w:rsid w:val="16DC629C"/>
    <w:rsid w:val="1764F3DF"/>
    <w:rsid w:val="17AAAA57"/>
    <w:rsid w:val="180974EE"/>
    <w:rsid w:val="181ABC7B"/>
    <w:rsid w:val="18B9BF89"/>
    <w:rsid w:val="18B9BF89"/>
    <w:rsid w:val="18DD97CE"/>
    <w:rsid w:val="1CE58E2E"/>
    <w:rsid w:val="1D6BD463"/>
    <w:rsid w:val="1D7D6921"/>
    <w:rsid w:val="1DAEE62C"/>
    <w:rsid w:val="1E29F71C"/>
    <w:rsid w:val="20319F63"/>
    <w:rsid w:val="213AEE2A"/>
    <w:rsid w:val="21B16FE5"/>
    <w:rsid w:val="22ACFCAB"/>
    <w:rsid w:val="234BC454"/>
    <w:rsid w:val="23DD097A"/>
    <w:rsid w:val="2606A6E0"/>
    <w:rsid w:val="2776ACD1"/>
    <w:rsid w:val="27CC73A7"/>
    <w:rsid w:val="28784831"/>
    <w:rsid w:val="2878849F"/>
    <w:rsid w:val="28C5710C"/>
    <w:rsid w:val="28CA36A8"/>
    <w:rsid w:val="2AD93E7A"/>
    <w:rsid w:val="2E0D2785"/>
    <w:rsid w:val="2E493F49"/>
    <w:rsid w:val="2EFDB60F"/>
    <w:rsid w:val="3063E22D"/>
    <w:rsid w:val="306829E3"/>
    <w:rsid w:val="31BBB66F"/>
    <w:rsid w:val="325D51D1"/>
    <w:rsid w:val="349DE1E3"/>
    <w:rsid w:val="34C73430"/>
    <w:rsid w:val="357EB3F4"/>
    <w:rsid w:val="361B7E09"/>
    <w:rsid w:val="368C4C8B"/>
    <w:rsid w:val="37910FBB"/>
    <w:rsid w:val="389316E1"/>
    <w:rsid w:val="39AA1017"/>
    <w:rsid w:val="3B87DF5E"/>
    <w:rsid w:val="3EE40611"/>
    <w:rsid w:val="3EFD9FE2"/>
    <w:rsid w:val="3F3CF975"/>
    <w:rsid w:val="3F5984A0"/>
    <w:rsid w:val="40400F9C"/>
    <w:rsid w:val="40C84C70"/>
    <w:rsid w:val="40D9885C"/>
    <w:rsid w:val="411B7029"/>
    <w:rsid w:val="417C6461"/>
    <w:rsid w:val="422208CB"/>
    <w:rsid w:val="42D0E48C"/>
    <w:rsid w:val="42E5AAAC"/>
    <w:rsid w:val="43A679CB"/>
    <w:rsid w:val="43CEF1C6"/>
    <w:rsid w:val="443DA5E1"/>
    <w:rsid w:val="450EEA0D"/>
    <w:rsid w:val="4595B284"/>
    <w:rsid w:val="46C6FF85"/>
    <w:rsid w:val="47A27979"/>
    <w:rsid w:val="47A27979"/>
    <w:rsid w:val="4820DBD3"/>
    <w:rsid w:val="4827D508"/>
    <w:rsid w:val="4989938B"/>
    <w:rsid w:val="4B640083"/>
    <w:rsid w:val="4B67827A"/>
    <w:rsid w:val="4D43B7A6"/>
    <w:rsid w:val="4DA60729"/>
    <w:rsid w:val="4ECF6DF3"/>
    <w:rsid w:val="4ED97E17"/>
    <w:rsid w:val="4F9B83BB"/>
    <w:rsid w:val="50E872F5"/>
    <w:rsid w:val="52AF44C9"/>
    <w:rsid w:val="54109AFA"/>
    <w:rsid w:val="54CBC17E"/>
    <w:rsid w:val="54F0113B"/>
    <w:rsid w:val="5581CC77"/>
    <w:rsid w:val="5602240A"/>
    <w:rsid w:val="56259296"/>
    <w:rsid w:val="5657F118"/>
    <w:rsid w:val="574312A0"/>
    <w:rsid w:val="57A02C62"/>
    <w:rsid w:val="581B405C"/>
    <w:rsid w:val="588E9854"/>
    <w:rsid w:val="5C1461E0"/>
    <w:rsid w:val="5D7C1EB0"/>
    <w:rsid w:val="5DE774AC"/>
    <w:rsid w:val="5ECEB7CB"/>
    <w:rsid w:val="5F884828"/>
    <w:rsid w:val="5F8B4395"/>
    <w:rsid w:val="611415A1"/>
    <w:rsid w:val="61324878"/>
    <w:rsid w:val="61A8FA45"/>
    <w:rsid w:val="623291B6"/>
    <w:rsid w:val="62481F73"/>
    <w:rsid w:val="631847ED"/>
    <w:rsid w:val="637598D9"/>
    <w:rsid w:val="637D245D"/>
    <w:rsid w:val="64661F58"/>
    <w:rsid w:val="65AE1942"/>
    <w:rsid w:val="6714AD81"/>
    <w:rsid w:val="68D76BA5"/>
    <w:rsid w:val="68DEBDF1"/>
    <w:rsid w:val="698EFD56"/>
    <w:rsid w:val="6A35AD40"/>
    <w:rsid w:val="6A5FE339"/>
    <w:rsid w:val="6C78D4FB"/>
    <w:rsid w:val="6C988B12"/>
    <w:rsid w:val="6D83A3DB"/>
    <w:rsid w:val="6DF61CD3"/>
    <w:rsid w:val="6E9FE37A"/>
    <w:rsid w:val="7167F4E1"/>
    <w:rsid w:val="71CAB4C2"/>
    <w:rsid w:val="71DB6EE2"/>
    <w:rsid w:val="71E51BFC"/>
    <w:rsid w:val="723D6FA0"/>
    <w:rsid w:val="72F3D269"/>
    <w:rsid w:val="72F47928"/>
    <w:rsid w:val="7300847E"/>
    <w:rsid w:val="75020658"/>
    <w:rsid w:val="7570458E"/>
    <w:rsid w:val="77DD67C5"/>
    <w:rsid w:val="78B8B4DF"/>
    <w:rsid w:val="7B0778AE"/>
    <w:rsid w:val="7C6BFB0A"/>
    <w:rsid w:val="7E21FB02"/>
    <w:rsid w:val="7E44FCCA"/>
    <w:rsid w:val="7E4F22B1"/>
    <w:rsid w:val="7EDF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44EB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10714"/>
    <w:pPr>
      <w:tabs>
        <w:tab w:val="center" w:pos="4419"/>
        <w:tab w:val="right" w:pos="8838"/>
      </w:tabs>
      <w:spacing w:after="0" w:line="240" w:lineRule="auto"/>
    </w:pPr>
  </w:style>
  <w:style w:type="character" w:styleId="HeaderChar" w:customStyle="1">
    <w:name w:val="Header Char"/>
    <w:basedOn w:val="DefaultParagraphFont"/>
    <w:link w:val="Header"/>
    <w:uiPriority w:val="99"/>
    <w:rsid w:val="00110714"/>
  </w:style>
  <w:style w:type="paragraph" w:styleId="Footer">
    <w:name w:val="footer"/>
    <w:basedOn w:val="Normal"/>
    <w:link w:val="FooterChar"/>
    <w:uiPriority w:val="99"/>
    <w:unhideWhenUsed/>
    <w:rsid w:val="00110714"/>
    <w:pPr>
      <w:tabs>
        <w:tab w:val="center" w:pos="4419"/>
        <w:tab w:val="right" w:pos="8838"/>
      </w:tabs>
      <w:spacing w:after="0" w:line="240" w:lineRule="auto"/>
    </w:pPr>
  </w:style>
  <w:style w:type="character" w:styleId="FooterChar" w:customStyle="1">
    <w:name w:val="Footer Char"/>
    <w:basedOn w:val="DefaultParagraphFont"/>
    <w:link w:val="Footer"/>
    <w:uiPriority w:val="99"/>
    <w:rsid w:val="00110714"/>
  </w:style>
  <w:style w:type="paragraph" w:styleId="ListParagraph">
    <w:name w:val="List Paragraph"/>
    <w:basedOn w:val="Normal"/>
    <w:uiPriority w:val="34"/>
    <w:qFormat/>
    <w:rsid w:val="00D807C9"/>
    <w:pPr>
      <w:ind w:left="720"/>
      <w:contextualSpacing/>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C6CB8E5-BB9B-4117-BCB0-976133B79694}">
  <ds:schemaRefs>
    <ds:schemaRef ds:uri="e7d3d6e7-89cb-4750-b948-5e984f176bb6"/>
    <ds:schemaRef ds:uri="http://schemas.microsoft.com/office/2006/documentManagement/types"/>
    <ds:schemaRef ds:uri="http://schemas.microsoft.com/office/2006/metadata/properties"/>
    <ds:schemaRef ds:uri="http://purl.org/dc/terms/"/>
    <ds:schemaRef ds:uri="4382931b-6036-484b-ad41-6810b26eb986"/>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03193A6-A634-4AEC-AC5B-53D853CD926C}">
  <ds:schemaRefs>
    <ds:schemaRef ds:uri="http://schemas.microsoft.com/sharepoint/v3/contenttype/forms"/>
  </ds:schemaRefs>
</ds:datastoreItem>
</file>

<file path=customXml/itemProps4.xml><?xml version="1.0" encoding="utf-8"?>
<ds:datastoreItem xmlns:ds="http://schemas.openxmlformats.org/officeDocument/2006/customXml" ds:itemID="{38E350D5-F0FE-43F8-9FE2-E36570023E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Mejia Guzman, Katy (Colombia)</dc:creator>
  <lastModifiedBy>Valeria González Franco</lastModifiedBy>
  <revision>5</revision>
  <lastPrinted>2023-02-19T22:55:00.0000000Z</lastPrinted>
  <dcterms:created xsi:type="dcterms:W3CDTF">2020-08-08T15:35:00.0000000Z</dcterms:created>
  <dcterms:modified xsi:type="dcterms:W3CDTF">2024-10-04T20:03:54.0468220Z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