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17A6" w:rsidR="004C17A6" w:rsidP="004C17A6" w:rsidRDefault="004C17A6" w14:paraId="40731937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17A6">
        <w:rPr>
          <w:rFonts w:ascii="Arial" w:hAnsi="Arial" w:cs="Arial"/>
          <w:color w:val="000000"/>
          <w:kern w:val="0"/>
        </w:rPr>
        <w:t>Señores:</w:t>
      </w:r>
    </w:p>
    <w:p w:rsidRPr="004C17A6" w:rsidR="004C17A6" w:rsidP="004C17A6" w:rsidRDefault="004C17A6" w14:paraId="1A9B31D8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4C17A6">
        <w:rPr>
          <w:rFonts w:ascii="Arial" w:hAnsi="Arial" w:cs="Arial"/>
          <w:b/>
          <w:bCs/>
          <w:color w:val="000000"/>
          <w:kern w:val="0"/>
        </w:rPr>
        <w:t>TRIBUNAL ARBITRAL</w:t>
      </w:r>
    </w:p>
    <w:p w:rsidRPr="004C17A6" w:rsidR="004C17A6" w:rsidP="004C17A6" w:rsidRDefault="004C17A6" w14:paraId="4ED3DD4C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4C17A6">
        <w:rPr>
          <w:rFonts w:ascii="Arial" w:hAnsi="Arial" w:cs="Arial"/>
          <w:b/>
          <w:bCs/>
          <w:color w:val="000000"/>
          <w:kern w:val="0"/>
        </w:rPr>
        <w:t>CENTRO DE ARBITRAJE Y CONCILIACIÓN - CÁMARA DE COMERCIO DE BOGOTÁ</w:t>
      </w:r>
    </w:p>
    <w:p w:rsidRPr="004C17A6" w:rsidR="004C17A6" w:rsidP="004C17A6" w:rsidRDefault="004C17A6" w14:paraId="30DD7E6F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17A6">
        <w:rPr>
          <w:rFonts w:ascii="Arial" w:hAnsi="Arial" w:cs="Arial"/>
          <w:color w:val="000000"/>
          <w:kern w:val="0"/>
        </w:rPr>
        <w:t>Atn. Doctores Juan Pablo Cárdenas Mejía, Patricia Zuleta García y Carlos Mayorca Escobar.</w:t>
      </w:r>
    </w:p>
    <w:p w:rsidRPr="0018114B" w:rsidR="00663EF3" w:rsidP="004C17A6" w:rsidRDefault="004C17A6" w14:paraId="6A8F4403" w14:textId="2F6E2E27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  <w:lang w:val="en-US"/>
        </w:rPr>
        <w:t xml:space="preserve">E. </w:t>
      </w:r>
      <w:r>
        <w:rPr>
          <w:rFonts w:ascii="Arial" w:hAnsi="Arial" w:cs="Arial"/>
          <w:color w:val="000000"/>
          <w:kern w:val="0"/>
          <w:lang w:val="en-US"/>
        </w:rPr>
        <w:tab/>
        <w:t xml:space="preserve">S. </w:t>
      </w:r>
      <w:r>
        <w:rPr>
          <w:rFonts w:ascii="Arial" w:hAnsi="Arial" w:cs="Arial"/>
          <w:color w:val="000000"/>
          <w:kern w:val="0"/>
          <w:lang w:val="en-US"/>
        </w:rPr>
        <w:tab/>
      </w:r>
      <w:r w:rsidRPr="0018114B">
        <w:rPr>
          <w:rFonts w:ascii="Arial" w:hAnsi="Arial" w:cs="Arial"/>
          <w:color w:val="000000"/>
          <w:kern w:val="0"/>
        </w:rPr>
        <w:t>D.</w:t>
      </w:r>
    </w:p>
    <w:p w:rsidRPr="0018114B" w:rsidR="004C17A6" w:rsidP="004C17A6" w:rsidRDefault="004C17A6" w14:paraId="1B99EA7C" w14:textId="77777777">
      <w:pPr>
        <w:rPr>
          <w:rFonts w:ascii="Arial" w:hAnsi="Arial" w:cs="Arial"/>
          <w:color w:val="000000"/>
          <w:kern w:val="0"/>
        </w:rPr>
      </w:pPr>
    </w:p>
    <w:p w:rsidRPr="004C17A6" w:rsidR="004C17A6" w:rsidP="004C17A6" w:rsidRDefault="004C17A6" w14:paraId="7D8C6B10" w14:textId="14D65B33">
      <w:pPr>
        <w:rPr>
          <w:rFonts w:ascii="Arial" w:hAnsi="Arial" w:cs="Arial"/>
          <w:color w:val="000000"/>
          <w:kern w:val="0"/>
        </w:rPr>
      </w:pPr>
      <w:r w:rsidRPr="0018114B">
        <w:rPr>
          <w:rFonts w:ascii="Arial" w:hAnsi="Arial" w:cs="Arial"/>
          <w:b/>
          <w:bCs/>
          <w:color w:val="000000"/>
          <w:kern w:val="0"/>
        </w:rPr>
        <w:t>REFERENCIA:</w:t>
      </w:r>
      <w:r w:rsidRPr="0018114B">
        <w:rPr>
          <w:rFonts w:ascii="Arial" w:hAnsi="Arial" w:cs="Arial"/>
          <w:color w:val="000000"/>
          <w:kern w:val="0"/>
        </w:rPr>
        <w:t xml:space="preserve"> </w:t>
      </w:r>
      <w:r w:rsidRPr="0018114B">
        <w:rPr>
          <w:rFonts w:ascii="Arial" w:hAnsi="Arial" w:cs="Arial"/>
          <w:color w:val="000000"/>
          <w:kern w:val="0"/>
        </w:rPr>
        <w:tab/>
      </w:r>
      <w:r w:rsidRPr="0018114B">
        <w:rPr>
          <w:rFonts w:ascii="Arial" w:hAnsi="Arial" w:cs="Arial"/>
          <w:color w:val="000000"/>
          <w:kern w:val="0"/>
        </w:rPr>
        <w:tab/>
      </w:r>
      <w:r w:rsidRPr="004C17A6">
        <w:rPr>
          <w:rFonts w:ascii="Arial" w:hAnsi="Arial" w:cs="Arial"/>
          <w:color w:val="000000"/>
          <w:kern w:val="0"/>
        </w:rPr>
        <w:t>TRIBUNAL ARBITRAL No. 147627</w:t>
      </w:r>
    </w:p>
    <w:p w:rsidRPr="004C17A6" w:rsidR="004C17A6" w:rsidP="004C17A6" w:rsidRDefault="004C17A6" w14:paraId="5C648B53" w14:textId="22AC4C1F">
      <w:pPr>
        <w:rPr>
          <w:rFonts w:ascii="Arial" w:hAnsi="Arial" w:cs="Arial"/>
          <w:color w:val="000000"/>
          <w:kern w:val="0"/>
        </w:rPr>
      </w:pPr>
      <w:r w:rsidRPr="004C17A6">
        <w:rPr>
          <w:rFonts w:ascii="Arial" w:hAnsi="Arial" w:cs="Arial"/>
          <w:b/>
          <w:bCs/>
          <w:color w:val="000000"/>
          <w:kern w:val="0"/>
        </w:rPr>
        <w:t>CONVOCANTE:</w:t>
      </w:r>
      <w:r w:rsidRPr="004C17A6">
        <w:rPr>
          <w:rFonts w:ascii="Arial" w:hAnsi="Arial" w:cs="Arial"/>
          <w:color w:val="000000"/>
          <w:kern w:val="0"/>
        </w:rPr>
        <w:tab/>
      </w:r>
      <w:r w:rsidRPr="004C17A6">
        <w:rPr>
          <w:rFonts w:ascii="Arial" w:hAnsi="Arial" w:cs="Arial"/>
          <w:color w:val="000000"/>
          <w:kern w:val="0"/>
        </w:rPr>
        <w:tab/>
        <w:t>EQUIPOS Y TERRATEST S.A.S</w:t>
      </w:r>
      <w:r>
        <w:rPr>
          <w:rFonts w:ascii="Arial" w:hAnsi="Arial" w:cs="Arial"/>
          <w:color w:val="000000"/>
          <w:kern w:val="0"/>
        </w:rPr>
        <w:t>.</w:t>
      </w:r>
    </w:p>
    <w:p w:rsidRPr="004C17A6" w:rsidR="004C17A6" w:rsidP="004C17A6" w:rsidRDefault="004C17A6" w14:paraId="264E1F2C" w14:textId="306DE41B">
      <w:pPr>
        <w:rPr>
          <w:rFonts w:ascii="Arial" w:hAnsi="Arial" w:cs="Arial"/>
          <w:color w:val="000000"/>
          <w:kern w:val="0"/>
          <w:lang w:val="pt-PT"/>
        </w:rPr>
      </w:pPr>
      <w:r w:rsidRPr="004C17A6">
        <w:rPr>
          <w:rFonts w:ascii="Arial" w:hAnsi="Arial" w:cs="Arial"/>
          <w:b/>
          <w:bCs/>
          <w:color w:val="000000"/>
          <w:kern w:val="0"/>
          <w:lang w:val="pt-PT"/>
        </w:rPr>
        <w:t>CONVOCADO:</w:t>
      </w:r>
      <w:r w:rsidRPr="004C17A6">
        <w:rPr>
          <w:rFonts w:ascii="Arial" w:hAnsi="Arial" w:cs="Arial"/>
          <w:color w:val="000000"/>
          <w:kern w:val="0"/>
          <w:lang w:val="pt-PT"/>
        </w:rPr>
        <w:tab/>
      </w:r>
      <w:r w:rsidRPr="004C17A6">
        <w:rPr>
          <w:rFonts w:ascii="Arial" w:hAnsi="Arial" w:cs="Arial"/>
          <w:color w:val="000000"/>
          <w:kern w:val="0"/>
          <w:lang w:val="pt-PT"/>
        </w:rPr>
        <w:tab/>
        <w:t>ARPRO ARQUITECTOS INGENIEROS S.A</w:t>
      </w:r>
    </w:p>
    <w:p w:rsidR="004C17A6" w:rsidP="004C17A6" w:rsidRDefault="004C17A6" w14:paraId="764F2660" w14:textId="77777777">
      <w:pPr>
        <w:rPr>
          <w:rFonts w:ascii="Arial" w:hAnsi="Arial" w:cs="Arial"/>
          <w:b/>
          <w:bCs/>
          <w:color w:val="000000"/>
          <w:kern w:val="0"/>
        </w:rPr>
      </w:pPr>
      <w:r w:rsidRPr="004C17A6">
        <w:rPr>
          <w:rFonts w:ascii="Arial" w:hAnsi="Arial" w:cs="Arial"/>
          <w:b/>
          <w:bCs/>
          <w:color w:val="000000"/>
          <w:kern w:val="0"/>
        </w:rPr>
        <w:t xml:space="preserve">LLAMADA </w:t>
      </w:r>
    </w:p>
    <w:p w:rsidRPr="004C17A6" w:rsidR="004C17A6" w:rsidP="004C17A6" w:rsidRDefault="004C17A6" w14:paraId="4989B8C2" w14:textId="55802982">
      <w:pPr>
        <w:rPr>
          <w:rFonts w:ascii="Arial" w:hAnsi="Arial" w:cs="Arial"/>
          <w:color w:val="000000"/>
          <w:kern w:val="0"/>
        </w:rPr>
      </w:pPr>
      <w:r w:rsidRPr="004C17A6">
        <w:rPr>
          <w:rFonts w:ascii="Arial" w:hAnsi="Arial" w:cs="Arial"/>
          <w:b/>
          <w:bCs/>
          <w:color w:val="000000"/>
          <w:kern w:val="0"/>
        </w:rPr>
        <w:t>EN GARANTÍA:</w:t>
      </w:r>
      <w:r w:rsidRPr="004C17A6">
        <w:rPr>
          <w:rFonts w:ascii="Arial" w:hAnsi="Arial" w:cs="Arial"/>
          <w:color w:val="000000"/>
          <w:kern w:val="0"/>
        </w:rPr>
        <w:t xml:space="preserve"> </w:t>
      </w:r>
      <w:r w:rsidRPr="004C17A6"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4C17A6">
        <w:rPr>
          <w:rFonts w:ascii="Arial" w:hAnsi="Arial" w:cs="Arial"/>
          <w:color w:val="000000"/>
          <w:kern w:val="0"/>
        </w:rPr>
        <w:t>JMALUCELLI TRAVELERS SEGUROS S.A.</w:t>
      </w:r>
    </w:p>
    <w:p w:rsidRPr="004C17A6" w:rsidR="004C17A6" w:rsidP="004C17A6" w:rsidRDefault="004C17A6" w14:paraId="6C357202" w14:textId="77777777">
      <w:pPr>
        <w:rPr>
          <w:rFonts w:ascii="Arial" w:hAnsi="Arial" w:cs="Arial"/>
          <w:color w:val="000000"/>
          <w:kern w:val="0"/>
        </w:rPr>
      </w:pPr>
    </w:p>
    <w:p w:rsidR="004C17A6" w:rsidP="004C17A6" w:rsidRDefault="004C17A6" w14:paraId="60F7BF95" w14:textId="5A37A591">
      <w:pPr>
        <w:ind w:left="2835" w:hanging="2832"/>
        <w:jc w:val="both"/>
        <w:rPr>
          <w:rFonts w:ascii="Arial" w:hAnsi="Arial" w:cs="Arial"/>
          <w:color w:val="000000"/>
          <w:kern w:val="0"/>
        </w:rPr>
      </w:pPr>
      <w:r w:rsidRPr="004C17A6">
        <w:rPr>
          <w:rFonts w:ascii="Arial" w:hAnsi="Arial" w:cs="Arial"/>
          <w:b/>
          <w:bCs/>
          <w:color w:val="000000"/>
          <w:kern w:val="0"/>
        </w:rPr>
        <w:t>ASUNTO:</w:t>
      </w:r>
      <w:r w:rsidRPr="004C17A6">
        <w:rPr>
          <w:rFonts w:ascii="Arial" w:hAnsi="Arial" w:cs="Arial"/>
          <w:b/>
          <w:bCs/>
          <w:color w:val="000000"/>
          <w:kern w:val="0"/>
        </w:rPr>
        <w:tab/>
      </w:r>
      <w:r w:rsidR="004A5442">
        <w:rPr>
          <w:rFonts w:ascii="Arial" w:hAnsi="Arial" w:cs="Arial"/>
          <w:color w:val="000000"/>
          <w:kern w:val="0"/>
        </w:rPr>
        <w:t>COADYUVANCIA A</w:t>
      </w:r>
      <w:r w:rsidRPr="004C17A6">
        <w:rPr>
          <w:rFonts w:ascii="Arial" w:hAnsi="Arial" w:cs="Arial"/>
          <w:color w:val="000000"/>
          <w:kern w:val="0"/>
        </w:rPr>
        <w:t xml:space="preserve"> LA SOLICITUD D</w:t>
      </w:r>
      <w:r>
        <w:rPr>
          <w:rFonts w:ascii="Arial" w:hAnsi="Arial" w:cs="Arial"/>
          <w:color w:val="000000"/>
          <w:kern w:val="0"/>
        </w:rPr>
        <w:t>E AMPLIACIÓN DEL PLAZO PARA LA PRESENTACIÓN DEL DICTAMEN PERICIAL DE CONTRADICCIÓN</w:t>
      </w:r>
    </w:p>
    <w:p w:rsidR="004C17A6" w:rsidP="004C17A6" w:rsidRDefault="004C17A6" w14:paraId="1DEC8102" w14:textId="77777777">
      <w:pPr>
        <w:ind w:left="2835" w:hanging="2832"/>
        <w:jc w:val="both"/>
        <w:rPr>
          <w:rFonts w:ascii="Arial" w:hAnsi="Arial" w:cs="Arial"/>
          <w:color w:val="000000"/>
          <w:kern w:val="0"/>
        </w:rPr>
      </w:pPr>
    </w:p>
    <w:p w:rsidR="004C17A6" w:rsidP="004C17A6" w:rsidRDefault="004C17A6" w14:paraId="35A206BA" w14:textId="2E6FD2EF">
      <w:pPr>
        <w:ind w:firstLine="3"/>
        <w:jc w:val="both"/>
        <w:rPr>
          <w:rFonts w:asciiTheme="minorBidi" w:hAnsiTheme="minorBidi"/>
        </w:rPr>
      </w:pPr>
      <w:r w:rsidRPr="004C17A6">
        <w:rPr>
          <w:rFonts w:asciiTheme="minorBidi" w:hAnsiTheme="minorBidi"/>
          <w:b/>
          <w:bCs/>
        </w:rPr>
        <w:t>GUSTAVO ALBERTO HERRERA ÁVILA</w:t>
      </w:r>
      <w:r w:rsidRPr="004C17A6">
        <w:rPr>
          <w:rFonts w:asciiTheme="minorBidi" w:hAnsiTheme="minorBidi"/>
        </w:rPr>
        <w:t>, mayor de edad, vecino de Cali (Valle del Cauca),</w:t>
      </w:r>
      <w:r>
        <w:rPr>
          <w:rFonts w:asciiTheme="minorBidi" w:hAnsiTheme="minorBidi"/>
        </w:rPr>
        <w:t xml:space="preserve"> </w:t>
      </w:r>
      <w:r w:rsidRPr="004C17A6">
        <w:rPr>
          <w:rFonts w:asciiTheme="minorBidi" w:hAnsiTheme="minorBidi"/>
        </w:rPr>
        <w:t>identificado con la cédula de ciudadanía No. 19.395.114 expedida en Bogotá D.C., abogado en</w:t>
      </w:r>
      <w:r>
        <w:rPr>
          <w:rFonts w:asciiTheme="minorBidi" w:hAnsiTheme="minorBidi"/>
        </w:rPr>
        <w:t xml:space="preserve"> </w:t>
      </w:r>
      <w:r w:rsidRPr="004C17A6">
        <w:rPr>
          <w:rFonts w:asciiTheme="minorBidi" w:hAnsiTheme="minorBidi"/>
        </w:rPr>
        <w:t>ejercicio y portador de la Tarjeta Profesional No. 39.116 del Consejo Superior de la Judicatura,</w:t>
      </w:r>
      <w:r>
        <w:rPr>
          <w:rFonts w:asciiTheme="minorBidi" w:hAnsiTheme="minorBidi"/>
        </w:rPr>
        <w:t xml:space="preserve"> o</w:t>
      </w:r>
      <w:r w:rsidRPr="004C17A6">
        <w:rPr>
          <w:rFonts w:asciiTheme="minorBidi" w:hAnsiTheme="minorBidi"/>
        </w:rPr>
        <w:t xml:space="preserve">brando como apoderado especial de </w:t>
      </w:r>
      <w:r w:rsidRPr="004C17A6">
        <w:rPr>
          <w:rFonts w:asciiTheme="minorBidi" w:hAnsiTheme="minorBidi"/>
          <w:b/>
          <w:bCs/>
        </w:rPr>
        <w:t>JMALUCELLI TRAVELERS SEGUROS S.A.</w:t>
      </w:r>
      <w:r w:rsidRPr="004C17A6">
        <w:rPr>
          <w:rFonts w:asciiTheme="minorBidi" w:hAnsiTheme="minorBidi"/>
        </w:rPr>
        <w:t>, sociedad</w:t>
      </w:r>
      <w:r>
        <w:rPr>
          <w:rFonts w:asciiTheme="minorBidi" w:hAnsiTheme="minorBidi"/>
        </w:rPr>
        <w:t xml:space="preserve"> </w:t>
      </w:r>
      <w:r w:rsidRPr="004C17A6">
        <w:rPr>
          <w:rFonts w:asciiTheme="minorBidi" w:hAnsiTheme="minorBidi"/>
        </w:rPr>
        <w:t>legalmente constituida e identificada con el NIT No. 900.488.151-3, tal y como consta en el</w:t>
      </w:r>
      <w:r>
        <w:rPr>
          <w:rFonts w:asciiTheme="minorBidi" w:hAnsiTheme="minorBidi"/>
        </w:rPr>
        <w:t xml:space="preserve"> </w:t>
      </w:r>
      <w:r w:rsidRPr="004C17A6">
        <w:rPr>
          <w:rFonts w:asciiTheme="minorBidi" w:hAnsiTheme="minorBidi"/>
        </w:rPr>
        <w:t>certificado de existencia y representación adjunto al expediente, de manera respetuosa</w:t>
      </w:r>
      <w:r>
        <w:rPr>
          <w:rFonts w:asciiTheme="minorBidi" w:hAnsiTheme="minorBidi"/>
        </w:rPr>
        <w:t xml:space="preserve"> </w:t>
      </w:r>
      <w:r w:rsidR="00037E1C">
        <w:rPr>
          <w:rFonts w:asciiTheme="minorBidi" w:hAnsiTheme="minorBidi"/>
        </w:rPr>
        <w:t>manifiesto que</w:t>
      </w:r>
      <w:r>
        <w:rPr>
          <w:rFonts w:asciiTheme="minorBidi" w:hAnsiTheme="minorBidi"/>
        </w:rPr>
        <w:t xml:space="preserve"> </w:t>
      </w:r>
      <w:r w:rsidR="004A5442">
        <w:rPr>
          <w:rFonts w:asciiTheme="minorBidi" w:hAnsiTheme="minorBidi"/>
        </w:rPr>
        <w:t xml:space="preserve">coadyuvo </w:t>
      </w:r>
      <w:r w:rsidR="00037E1C">
        <w:rPr>
          <w:rFonts w:asciiTheme="minorBidi" w:hAnsiTheme="minorBidi"/>
        </w:rPr>
        <w:t xml:space="preserve">la </w:t>
      </w:r>
      <w:r w:rsidR="004A5442">
        <w:rPr>
          <w:rFonts w:asciiTheme="minorBidi" w:hAnsiTheme="minorBidi"/>
        </w:rPr>
        <w:t xml:space="preserve">petición contenida en </w:t>
      </w:r>
      <w:r>
        <w:rPr>
          <w:rFonts w:asciiTheme="minorBidi" w:hAnsiTheme="minorBidi"/>
        </w:rPr>
        <w:t xml:space="preserve">el escrito presentado por </w:t>
      </w:r>
      <w:r w:rsidRPr="004A5442">
        <w:rPr>
          <w:rFonts w:asciiTheme="minorBidi" w:hAnsiTheme="minorBidi"/>
          <w:b/>
          <w:bCs/>
        </w:rPr>
        <w:t>Equipos y Terratest S.A.S.</w:t>
      </w:r>
      <w:r>
        <w:rPr>
          <w:rFonts w:asciiTheme="minorBidi" w:hAnsiTheme="minorBidi"/>
        </w:rPr>
        <w:t xml:space="preserve"> el 10 de febrero de 2025</w:t>
      </w:r>
      <w:r w:rsidR="00037E1C">
        <w:rPr>
          <w:rFonts w:asciiTheme="minorBidi" w:hAnsiTheme="minorBidi"/>
        </w:rPr>
        <w:t xml:space="preserve"> y relacionada</w:t>
      </w:r>
      <w:r>
        <w:rPr>
          <w:rFonts w:asciiTheme="minorBidi" w:hAnsiTheme="minorBidi"/>
        </w:rPr>
        <w:t xml:space="preserve"> </w:t>
      </w:r>
      <w:r w:rsidR="00037E1C">
        <w:rPr>
          <w:rFonts w:asciiTheme="minorBidi" w:hAnsiTheme="minorBidi"/>
        </w:rPr>
        <w:t>con</w:t>
      </w:r>
      <w:r>
        <w:rPr>
          <w:rFonts w:asciiTheme="minorBidi" w:hAnsiTheme="minorBidi"/>
        </w:rPr>
        <w:t xml:space="preserve"> la ampliación del plazo para la presentación del dictamen pericial de contradicción que vence el 17 de febrero de 2025</w:t>
      </w:r>
      <w:r w:rsidR="004A5442">
        <w:rPr>
          <w:rFonts w:asciiTheme="minorBidi" w:hAnsiTheme="minorBidi"/>
        </w:rPr>
        <w:t xml:space="preserve">, toda vez que los peritos designados por la Convocante no </w:t>
      </w:r>
      <w:r w:rsidR="00037E1C">
        <w:rPr>
          <w:rFonts w:asciiTheme="minorBidi" w:hAnsiTheme="minorBidi"/>
        </w:rPr>
        <w:t>tuvieron acceso oportuno a la información solicitada.</w:t>
      </w:r>
    </w:p>
    <w:p w:rsidR="00037E1C" w:rsidP="004C17A6" w:rsidRDefault="00037E1C" w14:paraId="2E76E55A" w14:textId="36C56D62">
      <w:pPr>
        <w:ind w:firstLine="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Finalmente, solicito y acepto levantar la suspensión del proceso acordada por las partes en la audiencia del 10 de febrero de 2025</w:t>
      </w:r>
      <w:r w:rsidR="0018114B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para que el Tribunal Arbitral pueda estudiar la petición </w:t>
      </w:r>
      <w:r w:rsidR="0018114B">
        <w:rPr>
          <w:rFonts w:asciiTheme="minorBidi" w:hAnsiTheme="minorBidi"/>
        </w:rPr>
        <w:t xml:space="preserve">realizada </w:t>
      </w:r>
      <w:r>
        <w:rPr>
          <w:rFonts w:asciiTheme="minorBidi" w:hAnsiTheme="minorBidi"/>
        </w:rPr>
        <w:t xml:space="preserve">y adoptar una decisión </w:t>
      </w:r>
      <w:r w:rsidR="0018114B">
        <w:rPr>
          <w:rFonts w:asciiTheme="minorBidi" w:hAnsiTheme="minorBidi"/>
        </w:rPr>
        <w:t>sobre el plazo respectivo</w:t>
      </w:r>
      <w:r>
        <w:rPr>
          <w:rFonts w:asciiTheme="minorBidi" w:hAnsiTheme="minorBidi"/>
        </w:rPr>
        <w:t>.</w:t>
      </w:r>
    </w:p>
    <w:p w:rsidR="00037E1C" w:rsidP="004C17A6" w:rsidRDefault="00037E1C" w14:paraId="5F395AA5" w14:textId="77777777">
      <w:pPr>
        <w:ind w:firstLine="3"/>
        <w:jc w:val="both"/>
        <w:rPr>
          <w:rFonts w:asciiTheme="minorBidi" w:hAnsiTheme="minorBidi"/>
        </w:rPr>
      </w:pPr>
    </w:p>
    <w:p w:rsidR="00037E1C" w:rsidP="004C17A6" w:rsidRDefault="00037E1C" w14:paraId="5213622A" w14:textId="54402D17">
      <w:pPr>
        <w:ind w:firstLine="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Respetuosamente,</w:t>
      </w:r>
    </w:p>
    <w:p w:rsidR="00037E1C" w:rsidP="004C17A6" w:rsidRDefault="00037E1C" w14:paraId="79E95289" w14:textId="77777777">
      <w:pPr>
        <w:ind w:firstLine="3"/>
        <w:jc w:val="both"/>
        <w:rPr>
          <w:rFonts w:asciiTheme="minorBidi" w:hAnsiTheme="minorBidi"/>
        </w:rPr>
      </w:pPr>
    </w:p>
    <w:p w:rsidR="00037E1C" w:rsidP="004C17A6" w:rsidRDefault="00037E1C" w14:paraId="74D17C94" w14:textId="77777777">
      <w:pPr>
        <w:ind w:firstLine="3"/>
        <w:jc w:val="both"/>
        <w:rPr>
          <w:rFonts w:asciiTheme="minorBidi" w:hAnsiTheme="minorBidi"/>
        </w:rPr>
      </w:pPr>
    </w:p>
    <w:p w:rsidRPr="00037E1C" w:rsidR="00037E1C" w:rsidP="00037E1C" w:rsidRDefault="00037E1C" w14:paraId="7AAAD258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037E1C">
        <w:rPr>
          <w:rFonts w:ascii="Arial" w:hAnsi="Arial" w:cs="Arial"/>
          <w:b/>
          <w:bCs/>
          <w:color w:val="000000"/>
          <w:kern w:val="0"/>
        </w:rPr>
        <w:t>GUSTAVO ALBERTO HERRERA ÁVILA</w:t>
      </w:r>
    </w:p>
    <w:p w:rsidRPr="00037E1C" w:rsidR="00037E1C" w:rsidP="00037E1C" w:rsidRDefault="00037E1C" w14:paraId="06547767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37E1C">
        <w:rPr>
          <w:rFonts w:ascii="Arial" w:hAnsi="Arial" w:cs="Arial"/>
          <w:color w:val="000000"/>
          <w:kern w:val="0"/>
        </w:rPr>
        <w:t>C.C. No. 19.395.114 expedida en Bogotá D.C.</w:t>
      </w:r>
    </w:p>
    <w:p w:rsidR="004A5442" w:rsidP="00037E1C" w:rsidRDefault="00037E1C" w14:paraId="1512D672" w14:textId="12EADA7A">
      <w:pPr>
        <w:ind w:firstLine="3"/>
        <w:jc w:val="both"/>
        <w:rPr>
          <w:rFonts w:asciiTheme="minorBidi" w:hAnsiTheme="minorBidi"/>
        </w:rPr>
      </w:pPr>
      <w:r w:rsidRPr="00037E1C">
        <w:rPr>
          <w:rFonts w:ascii="Arial" w:hAnsi="Arial" w:cs="Arial"/>
          <w:color w:val="000000"/>
          <w:kern w:val="0"/>
        </w:rPr>
        <w:t>T. P. No. 39.116 del C. S. de la J.</w:t>
      </w:r>
    </w:p>
    <w:p w:rsidRPr="004C17A6" w:rsidR="004C17A6" w:rsidP="004A5442" w:rsidRDefault="004C17A6" w14:paraId="66656A3E" w14:textId="77777777">
      <w:pPr>
        <w:rPr>
          <w:rFonts w:asciiTheme="minorBidi" w:hAnsiTheme="minorBidi"/>
        </w:rPr>
      </w:pPr>
    </w:p>
    <w:sectPr w:rsidRPr="004C17A6" w:rsidR="004C1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3D2B" w:rsidP="0018114B" w:rsidRDefault="000D3D2B" w14:paraId="16105436" w14:textId="77777777">
      <w:pPr>
        <w:spacing w:after="0" w:line="240" w:lineRule="auto"/>
      </w:pPr>
      <w:r>
        <w:separator/>
      </w:r>
    </w:p>
  </w:endnote>
  <w:endnote w:type="continuationSeparator" w:id="0">
    <w:p w:rsidR="000D3D2B" w:rsidP="0018114B" w:rsidRDefault="000D3D2B" w14:paraId="15CC8F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3D2B" w:rsidP="0018114B" w:rsidRDefault="000D3D2B" w14:paraId="485595D8" w14:textId="77777777">
      <w:pPr>
        <w:spacing w:after="0" w:line="240" w:lineRule="auto"/>
      </w:pPr>
      <w:r>
        <w:separator/>
      </w:r>
    </w:p>
  </w:footnote>
  <w:footnote w:type="continuationSeparator" w:id="0">
    <w:p w:rsidR="000D3D2B" w:rsidP="0018114B" w:rsidRDefault="000D3D2B" w14:paraId="57EBE7A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47EE"/>
    <w:multiLevelType w:val="hybridMultilevel"/>
    <w:tmpl w:val="F2344514"/>
    <w:lvl w:ilvl="0" w:tplc="598E367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3" w:hanging="360"/>
      </w:pPr>
    </w:lvl>
    <w:lvl w:ilvl="2" w:tplc="240A001B" w:tentative="1">
      <w:start w:val="1"/>
      <w:numFmt w:val="lowerRoman"/>
      <w:lvlText w:val="%3."/>
      <w:lvlJc w:val="right"/>
      <w:pPr>
        <w:ind w:left="1803" w:hanging="180"/>
      </w:pPr>
    </w:lvl>
    <w:lvl w:ilvl="3" w:tplc="240A000F" w:tentative="1">
      <w:start w:val="1"/>
      <w:numFmt w:val="decimal"/>
      <w:lvlText w:val="%4."/>
      <w:lvlJc w:val="left"/>
      <w:pPr>
        <w:ind w:left="2523" w:hanging="360"/>
      </w:pPr>
    </w:lvl>
    <w:lvl w:ilvl="4" w:tplc="240A0019" w:tentative="1">
      <w:start w:val="1"/>
      <w:numFmt w:val="lowerLetter"/>
      <w:lvlText w:val="%5."/>
      <w:lvlJc w:val="left"/>
      <w:pPr>
        <w:ind w:left="3243" w:hanging="360"/>
      </w:pPr>
    </w:lvl>
    <w:lvl w:ilvl="5" w:tplc="240A001B" w:tentative="1">
      <w:start w:val="1"/>
      <w:numFmt w:val="lowerRoman"/>
      <w:lvlText w:val="%6."/>
      <w:lvlJc w:val="right"/>
      <w:pPr>
        <w:ind w:left="3963" w:hanging="180"/>
      </w:pPr>
    </w:lvl>
    <w:lvl w:ilvl="6" w:tplc="240A000F" w:tentative="1">
      <w:start w:val="1"/>
      <w:numFmt w:val="decimal"/>
      <w:lvlText w:val="%7."/>
      <w:lvlJc w:val="left"/>
      <w:pPr>
        <w:ind w:left="4683" w:hanging="360"/>
      </w:pPr>
    </w:lvl>
    <w:lvl w:ilvl="7" w:tplc="240A0019" w:tentative="1">
      <w:start w:val="1"/>
      <w:numFmt w:val="lowerLetter"/>
      <w:lvlText w:val="%8."/>
      <w:lvlJc w:val="left"/>
      <w:pPr>
        <w:ind w:left="5403" w:hanging="360"/>
      </w:pPr>
    </w:lvl>
    <w:lvl w:ilvl="8" w:tplc="240A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41015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A6"/>
    <w:rsid w:val="00037E1C"/>
    <w:rsid w:val="000D3D2B"/>
    <w:rsid w:val="000D4CEA"/>
    <w:rsid w:val="00110B66"/>
    <w:rsid w:val="00110DF8"/>
    <w:rsid w:val="00175B56"/>
    <w:rsid w:val="0018114B"/>
    <w:rsid w:val="00246DC2"/>
    <w:rsid w:val="002511FA"/>
    <w:rsid w:val="002E2053"/>
    <w:rsid w:val="00360B7C"/>
    <w:rsid w:val="00392409"/>
    <w:rsid w:val="00414C4E"/>
    <w:rsid w:val="004A5442"/>
    <w:rsid w:val="004C17A6"/>
    <w:rsid w:val="00557EF7"/>
    <w:rsid w:val="0065066F"/>
    <w:rsid w:val="00663EF3"/>
    <w:rsid w:val="007F2753"/>
    <w:rsid w:val="0083473B"/>
    <w:rsid w:val="00870FC8"/>
    <w:rsid w:val="0095391E"/>
    <w:rsid w:val="009A53B1"/>
    <w:rsid w:val="00A05E81"/>
    <w:rsid w:val="00B05891"/>
    <w:rsid w:val="00C41905"/>
    <w:rsid w:val="00C86083"/>
    <w:rsid w:val="00DF62B7"/>
    <w:rsid w:val="00E5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C4BA"/>
  <w15:chartTrackingRefBased/>
  <w15:docId w15:val="{30F6DF7F-9E80-453E-AE9D-95C98AE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autoRedefine/>
    <w:uiPriority w:val="29"/>
    <w:qFormat/>
    <w:rsid w:val="00870FC8"/>
    <w:pPr>
      <w:spacing w:after="0" w:line="240" w:lineRule="auto"/>
      <w:ind w:left="1134" w:right="1134"/>
      <w:contextualSpacing/>
      <w:jc w:val="both"/>
    </w:pPr>
    <w:rPr>
      <w:rFonts w:ascii="Arial" w:hAnsi="Arial" w:cs="Arial"/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870FC8"/>
    <w:rPr>
      <w:rFonts w:ascii="Arial" w:hAnsi="Arial" w:cs="Arial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17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114B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8114B"/>
  </w:style>
  <w:style w:type="paragraph" w:styleId="Piedepgina">
    <w:name w:val="footer"/>
    <w:basedOn w:val="Normal"/>
    <w:link w:val="PiedepginaCar"/>
    <w:uiPriority w:val="99"/>
    <w:unhideWhenUsed/>
    <w:rsid w:val="0018114B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8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Pages>1</ap:Pages>
  <ap:Words>274</ap:Words>
  <ap:Characters>1512</ap:Characters>
  <ap:Application>Microsoft Office Word</ap:Application>
  <ap:Lines>12</ap:Lines>
  <ap:Paragraphs>3</ap:Paragraphs>
  <ap:CharactersWithSpaces>1783</ap:CharactersWithSpaces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Avila, Julian</dc:creator>
  <dcterms:created xsi:type="dcterms:W3CDTF">1900-01-01T05:00:00.0000000Z</dcterms:created>
  <dcterms:modified xsi:type="dcterms:W3CDTF">1900-01-01T05:00:00.0000000Z</dcterms:modified>
</coreProperties>
</file>