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CE449" w14:textId="6F37EC14" w:rsidR="009D00CD" w:rsidRPr="009D00CD" w:rsidRDefault="009D00CD" w:rsidP="009D00CD">
      <w:pPr>
        <w:jc w:val="both"/>
        <w:rPr>
          <w:rFonts w:cstheme="minorHAnsi"/>
          <w:lang w:val="es-ES_tradnl"/>
        </w:rPr>
      </w:pPr>
      <w:r w:rsidRPr="009D00CD">
        <w:t xml:space="preserve">Estimados buenos días, informo que el pasado </w:t>
      </w:r>
      <w:r w:rsidR="00C26D67">
        <w:rPr>
          <w:b/>
          <w:bCs/>
        </w:rPr>
        <w:t>29 de julio de 2024</w:t>
      </w:r>
      <w:r w:rsidRPr="009D00CD">
        <w:rPr>
          <w:b/>
          <w:bCs/>
        </w:rPr>
        <w:t xml:space="preserve">, </w:t>
      </w:r>
      <w:r w:rsidRPr="009D00CD">
        <w:t xml:space="preserve">se radicó </w:t>
      </w:r>
      <w:r w:rsidR="00C26D67">
        <w:t xml:space="preserve">el pronunciamiento frente al auto de apertura </w:t>
      </w:r>
      <w:r w:rsidRPr="009D00CD">
        <w:t xml:space="preserve">en representación de </w:t>
      </w:r>
      <w:r w:rsidR="00C26D67">
        <w:t>La Previsora</w:t>
      </w:r>
      <w:r w:rsidRPr="009D00CD">
        <w:t>, en el proceso</w:t>
      </w:r>
      <w:r w:rsidR="00C26D67">
        <w:t xml:space="preserve"> de responsabilidad fiscal</w:t>
      </w:r>
      <w:r w:rsidRPr="009D00CD">
        <w:t xml:space="preserve"> identificado con radicado </w:t>
      </w:r>
      <w:r w:rsidR="00C26D67">
        <w:t>SOIF-121-2023</w:t>
      </w:r>
      <w:r w:rsidRPr="009D00CD">
        <w:rPr>
          <w:rFonts w:cstheme="minorHAnsi"/>
          <w:lang w:val="es-ES_tradnl"/>
        </w:rPr>
        <w:t>. Se presenta informe del escrito, y documentos PDF contentivos de</w:t>
      </w:r>
      <w:r w:rsidR="00E06F06">
        <w:rPr>
          <w:rFonts w:cstheme="minorHAnsi"/>
          <w:lang w:val="es-ES_tradnl"/>
        </w:rPr>
        <w:t>l pronunciamiento frente al auto de apertura, sus anexos y</w:t>
      </w:r>
      <w:r w:rsidRPr="009D00CD">
        <w:rPr>
          <w:rFonts w:cstheme="minorHAnsi"/>
          <w:lang w:val="es-ES_tradnl"/>
        </w:rPr>
        <w:t xml:space="preserve"> c</w:t>
      </w:r>
      <w:r w:rsidR="00E06F06">
        <w:rPr>
          <w:rFonts w:cstheme="minorHAnsi"/>
          <w:lang w:val="es-ES_tradnl"/>
        </w:rPr>
        <w:t>onstancia de radicación al correo de la contraloría.</w:t>
      </w:r>
    </w:p>
    <w:p w14:paraId="4918C822" w14:textId="670DCC17" w:rsidR="009D00CD" w:rsidRPr="009D00CD" w:rsidRDefault="009D00CD" w:rsidP="009D00CD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9D00CD">
        <w:rPr>
          <w:b/>
          <w:bCs/>
        </w:rPr>
        <w:t>DATOS DE IDENTIFICACIÓN DEL PROCESO.</w:t>
      </w:r>
    </w:p>
    <w:p w14:paraId="56FC2ABA" w14:textId="53F420B0" w:rsidR="009D00CD" w:rsidRDefault="009D00CD" w:rsidP="009D00CD">
      <w:pPr>
        <w:jc w:val="both"/>
        <w:rPr>
          <w:b/>
          <w:bCs/>
        </w:rPr>
      </w:pPr>
      <w:r>
        <w:rPr>
          <w:b/>
          <w:bCs/>
        </w:rPr>
        <w:t xml:space="preserve">DESPACHO: </w:t>
      </w:r>
      <w:r w:rsidR="00C26D67">
        <w:rPr>
          <w:lang w:val="es-ES_tradnl"/>
        </w:rPr>
        <w:t>Contraloría Departamental del Valle del Cauca</w:t>
      </w:r>
    </w:p>
    <w:p w14:paraId="5FC4D46D" w14:textId="60F6ACF6" w:rsidR="009D00CD" w:rsidRPr="00C26D67" w:rsidRDefault="00C26D67" w:rsidP="009D00CD">
      <w:pPr>
        <w:jc w:val="both"/>
        <w:rPr>
          <w:b/>
          <w:bCs/>
        </w:rPr>
      </w:pPr>
      <w:r>
        <w:rPr>
          <w:b/>
          <w:bCs/>
        </w:rPr>
        <w:t>ENTIDAD AFECTADA</w:t>
      </w:r>
      <w:r w:rsidR="009D00CD">
        <w:rPr>
          <w:b/>
          <w:bCs/>
        </w:rPr>
        <w:t>:</w:t>
      </w:r>
      <w:r>
        <w:rPr>
          <w:b/>
          <w:bCs/>
        </w:rPr>
        <w:t xml:space="preserve"> </w:t>
      </w:r>
      <w:r w:rsidRPr="00C26D67">
        <w:t>EMPRESA DE RECURSOS TECONOLÓGICOS S.A- E.S.P</w:t>
      </w:r>
      <w:r w:rsidR="009D00CD">
        <w:rPr>
          <w:b/>
          <w:bCs/>
        </w:rPr>
        <w:t xml:space="preserve"> </w:t>
      </w:r>
    </w:p>
    <w:p w14:paraId="49E48609" w14:textId="6390188D" w:rsidR="009D00CD" w:rsidRPr="00C26D67" w:rsidRDefault="00C26D67" w:rsidP="009D00CD">
      <w:pPr>
        <w:jc w:val="both"/>
      </w:pPr>
      <w:r>
        <w:rPr>
          <w:b/>
          <w:bCs/>
        </w:rPr>
        <w:t>VINCULADOS</w:t>
      </w:r>
      <w:r w:rsidR="009D00CD">
        <w:rPr>
          <w:b/>
          <w:bCs/>
        </w:rPr>
        <w:t xml:space="preserve">: </w:t>
      </w:r>
      <w:r>
        <w:t>DUBIER OSORIO CORTÉS Y OTROS</w:t>
      </w:r>
    </w:p>
    <w:p w14:paraId="4163C2D9" w14:textId="675C6AD0" w:rsidR="009D00CD" w:rsidRPr="009D00CD" w:rsidRDefault="009D00CD" w:rsidP="009D00CD">
      <w:pPr>
        <w:jc w:val="both"/>
      </w:pPr>
      <w:r>
        <w:rPr>
          <w:b/>
          <w:bCs/>
        </w:rPr>
        <w:t xml:space="preserve">TIPO DE VINCULACIÓN: </w:t>
      </w:r>
      <w:r w:rsidR="00C26D67">
        <w:t>Vinculado como tercero civilmente responsable</w:t>
      </w:r>
      <w:r>
        <w:t xml:space="preserve"> </w:t>
      </w:r>
      <w:r>
        <w:rPr>
          <w:b/>
          <w:bCs/>
        </w:rPr>
        <w:t xml:space="preserve"> </w:t>
      </w:r>
    </w:p>
    <w:p w14:paraId="78678416" w14:textId="4F68AD3B" w:rsidR="009D00CD" w:rsidRPr="00E06F06" w:rsidRDefault="009D00CD" w:rsidP="009D00CD">
      <w:pPr>
        <w:jc w:val="both"/>
        <w:rPr>
          <w:b/>
          <w:bCs/>
        </w:rPr>
      </w:pPr>
      <w:r>
        <w:rPr>
          <w:b/>
          <w:bCs/>
        </w:rPr>
        <w:t xml:space="preserve">PÓLIZA: </w:t>
      </w:r>
      <w:r w:rsidRPr="009D00CD">
        <w:rPr>
          <w:lang w:val="es-ES_tradnl"/>
        </w:rPr>
        <w:t xml:space="preserve">Póliza de </w:t>
      </w:r>
      <w:r w:rsidR="00C26D67">
        <w:rPr>
          <w:lang w:val="es-ES_tradnl"/>
        </w:rPr>
        <w:t>Seguro Manejo Global Sector Oficial</w:t>
      </w:r>
      <w:r w:rsidRPr="009D00CD">
        <w:rPr>
          <w:lang w:val="es-ES_tradnl"/>
        </w:rPr>
        <w:t xml:space="preserve"> No. </w:t>
      </w:r>
      <w:r w:rsidR="00C26D67">
        <w:rPr>
          <w:lang w:val="es-ES_tradnl"/>
        </w:rPr>
        <w:t>3000295 Certificados: 0, 1 y 2.</w:t>
      </w:r>
    </w:p>
    <w:p w14:paraId="049655D5" w14:textId="005D01C6" w:rsidR="009D00CD" w:rsidRPr="009D00CD" w:rsidRDefault="009D00CD" w:rsidP="009D00CD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9D00CD">
        <w:rPr>
          <w:b/>
          <w:bCs/>
        </w:rPr>
        <w:t>RESUMEN DE LOS HECHOS.</w:t>
      </w:r>
    </w:p>
    <w:p w14:paraId="4D6A4DD4" w14:textId="1B4E22B3" w:rsidR="00C26D67" w:rsidRDefault="00C26D67" w:rsidP="00C26D67">
      <w:pPr>
        <w:jc w:val="both"/>
      </w:pPr>
      <w:r>
        <w:t>L</w:t>
      </w:r>
      <w:r w:rsidRPr="00C26D67">
        <w:t>os hechos que motivan este proceso de responsabilidad fiscal consisten en una discrepancia y/o diferencia entre el valor por concepto de pagos de sentencias y conciliaciones que se presentó en el resultado de la operación financiera de la EMPRESA DE RECURSOS TECNOLÓGICOS S.A. E.S.P. para la vigencia 2022; y el pago efectiv</w:t>
      </w:r>
      <w:r w:rsidR="00E06F06">
        <w:t>amente efectuado por la Empresa de Servicios Públicos</w:t>
      </w:r>
      <w:r w:rsidRPr="00C26D67">
        <w:t xml:space="preserve"> durante dicha vigencia. Adicionalmente, también de acuerdo al hallazgo hay una discrepancia entre los conceptos, pues en el resultado operacional aparece el “pago por concepto de sentencias y conciliaciones”; mientras que en los pagos efectivamente realizados, se presenta el concepto de “pago por sanciones e intereses de mora”</w:t>
      </w:r>
      <w:r>
        <w:t xml:space="preserve">. </w:t>
      </w:r>
    </w:p>
    <w:p w14:paraId="48861D41" w14:textId="25C84E46" w:rsidR="009D00CD" w:rsidRPr="00C26D67" w:rsidRDefault="00C26D67" w:rsidP="00C26D67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CUANTÍA DEL PRESUNTO DAÑO</w:t>
      </w:r>
      <w:r w:rsidR="009D00CD" w:rsidRPr="00C26D67">
        <w:rPr>
          <w:b/>
          <w:bCs/>
        </w:rPr>
        <w:t xml:space="preserve">: </w:t>
      </w:r>
    </w:p>
    <w:p w14:paraId="20A5F239" w14:textId="3352CA77" w:rsidR="00C26D67" w:rsidRDefault="00C26D67" w:rsidP="009D00CD">
      <w:pPr>
        <w:jc w:val="both"/>
      </w:pPr>
      <w:r>
        <w:t xml:space="preserve">De conformidad con el Auto de Apertura y el hallazgo en el que se fundamenta; el presunto daño patrimonial causado a la </w:t>
      </w:r>
      <w:r>
        <w:rPr>
          <w:b/>
          <w:bCs/>
        </w:rPr>
        <w:t xml:space="preserve">EMPRESA DE RECUROS TECNOLÓGICOS S.A E.S.P., </w:t>
      </w:r>
      <w:r>
        <w:t>equivale a la suma de $173.684.000</w:t>
      </w:r>
      <w:r w:rsidR="00E06F06">
        <w:t xml:space="preserve"> Pesos M/cte.</w:t>
      </w:r>
    </w:p>
    <w:p w14:paraId="74D5AC87" w14:textId="77777777" w:rsidR="00F27DA2" w:rsidRDefault="00F27DA2" w:rsidP="009D00CD">
      <w:pPr>
        <w:jc w:val="both"/>
      </w:pPr>
    </w:p>
    <w:p w14:paraId="32187B53" w14:textId="581259EE" w:rsidR="00F27DA2" w:rsidRDefault="00F27DA2" w:rsidP="00F27DA2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LIQUIDACIÓN OBJETIVA. </w:t>
      </w:r>
    </w:p>
    <w:p w14:paraId="2F8F6016" w14:textId="20DDDB1C" w:rsidR="00F27DA2" w:rsidRDefault="00F27DA2" w:rsidP="00F27DA2">
      <w:pPr>
        <w:jc w:val="both"/>
      </w:pPr>
      <w:r>
        <w:t>$127.500.000</w:t>
      </w:r>
      <w:r w:rsidR="00E06F06">
        <w:t xml:space="preserve"> Pesos M/</w:t>
      </w:r>
      <w:proofErr w:type="spellStart"/>
      <w:r w:rsidR="00E06F06">
        <w:t>cte</w:t>
      </w:r>
      <w:proofErr w:type="spellEnd"/>
    </w:p>
    <w:p w14:paraId="636CFC08" w14:textId="70E1AD91" w:rsidR="00F27DA2" w:rsidRDefault="00E06F06" w:rsidP="00F27DA2">
      <w:pPr>
        <w:jc w:val="both"/>
      </w:pPr>
      <w:r>
        <w:t>Se llega a esta</w:t>
      </w:r>
      <w:r w:rsidR="00F27DA2">
        <w:t xml:space="preserve"> suma de la siguiente manera: </w:t>
      </w:r>
    </w:p>
    <w:p w14:paraId="5E4F7801" w14:textId="06CABC4F" w:rsidR="00F27DA2" w:rsidRDefault="00F27DA2" w:rsidP="00F27DA2">
      <w:pPr>
        <w:pStyle w:val="Prrafodelista"/>
        <w:numPr>
          <w:ilvl w:val="0"/>
          <w:numId w:val="3"/>
        </w:numPr>
        <w:jc w:val="both"/>
      </w:pPr>
      <w:r>
        <w:t>La cuantía del daño estimado en el proceso de responsabilidad fiscal es de $173.684.000</w:t>
      </w:r>
      <w:r w:rsidR="00E06F06">
        <w:t xml:space="preserve"> Pesos M/cte.</w:t>
      </w:r>
    </w:p>
    <w:p w14:paraId="23547271" w14:textId="279A143D" w:rsidR="00F27DA2" w:rsidRDefault="00F27DA2" w:rsidP="00F27DA2">
      <w:pPr>
        <w:pStyle w:val="Prrafodelista"/>
        <w:numPr>
          <w:ilvl w:val="0"/>
          <w:numId w:val="3"/>
        </w:numPr>
        <w:jc w:val="both"/>
      </w:pPr>
      <w:r>
        <w:t>Límite asegurado de la Póliza: $150.000.000</w:t>
      </w:r>
      <w:r w:rsidR="00E06F06">
        <w:t xml:space="preserve"> Pesos M/cte.</w:t>
      </w:r>
      <w:r>
        <w:t xml:space="preserve"> </w:t>
      </w:r>
    </w:p>
    <w:p w14:paraId="5EE0187B" w14:textId="01F48965" w:rsidR="00F27DA2" w:rsidRDefault="00F27DA2" w:rsidP="00F27DA2">
      <w:pPr>
        <w:pStyle w:val="Prrafodelista"/>
        <w:numPr>
          <w:ilvl w:val="0"/>
          <w:numId w:val="3"/>
        </w:numPr>
        <w:jc w:val="both"/>
      </w:pPr>
      <w:r>
        <w:t xml:space="preserve">Deducible a cargo del asegurado: 15% del valor de la pérdida. </w:t>
      </w:r>
    </w:p>
    <w:p w14:paraId="6AFB3DF2" w14:textId="5EF2AF32" w:rsidR="00F27DA2" w:rsidRDefault="00F27DA2" w:rsidP="00F27DA2">
      <w:pPr>
        <w:pStyle w:val="Prrafodelista"/>
        <w:numPr>
          <w:ilvl w:val="0"/>
          <w:numId w:val="3"/>
        </w:numPr>
        <w:jc w:val="both"/>
      </w:pPr>
      <w:r>
        <w:t xml:space="preserve">Coaseguro: No aplica. </w:t>
      </w:r>
    </w:p>
    <w:p w14:paraId="062E2840" w14:textId="55A71B2F" w:rsidR="00F27DA2" w:rsidRDefault="00F27DA2" w:rsidP="00F27DA2">
      <w:pPr>
        <w:jc w:val="both"/>
      </w:pPr>
      <w:r>
        <w:rPr>
          <w:b/>
          <w:bCs/>
        </w:rPr>
        <w:t xml:space="preserve">LIQUIDACIÓN OBJETIVA FINAL: </w:t>
      </w:r>
      <w:r>
        <w:t>$127.500.000</w:t>
      </w:r>
      <w:r w:rsidR="00E06F06">
        <w:t xml:space="preserve"> Pesos M/cte.</w:t>
      </w:r>
    </w:p>
    <w:p w14:paraId="3F285812" w14:textId="77777777" w:rsidR="00F27DA2" w:rsidRPr="00F27DA2" w:rsidRDefault="00F27DA2" w:rsidP="00F27DA2">
      <w:pPr>
        <w:jc w:val="both"/>
      </w:pPr>
    </w:p>
    <w:p w14:paraId="7B8AF26D" w14:textId="5F78E5D5" w:rsidR="009D00CD" w:rsidRPr="009D00CD" w:rsidRDefault="009D00CD" w:rsidP="009D00CD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9D00CD">
        <w:rPr>
          <w:b/>
          <w:bCs/>
        </w:rPr>
        <w:lastRenderedPageBreak/>
        <w:t>CALIFICACIÓN DE LA CONTINGENCIA</w:t>
      </w:r>
    </w:p>
    <w:p w14:paraId="653E5FA0" w14:textId="176FF52C" w:rsidR="009D00CD" w:rsidRPr="009D00CD" w:rsidRDefault="00C26D67" w:rsidP="009D00CD">
      <w:pPr>
        <w:jc w:val="both"/>
      </w:pPr>
      <w:r>
        <w:rPr>
          <w:b/>
          <w:bCs/>
        </w:rPr>
        <w:t>REMOTA</w:t>
      </w:r>
      <w:r w:rsidR="009D00CD">
        <w:rPr>
          <w:b/>
          <w:bCs/>
        </w:rPr>
        <w:t xml:space="preserve"> </w:t>
      </w:r>
    </w:p>
    <w:p w14:paraId="27596DE2" w14:textId="283A1376" w:rsidR="009D00CD" w:rsidRPr="009D00CD" w:rsidRDefault="009D00CD" w:rsidP="009D00CD">
      <w:pPr>
        <w:jc w:val="both"/>
      </w:pPr>
      <w:r w:rsidRPr="009D00CD">
        <w:t xml:space="preserve">La contingencia se califica como </w:t>
      </w:r>
      <w:r w:rsidR="00C02942">
        <w:t>remota</w:t>
      </w:r>
      <w:r w:rsidRPr="009D00CD">
        <w:t>, habida cuenta de que la</w:t>
      </w:r>
      <w:r w:rsidR="00C02942">
        <w:t xml:space="preserve"> Póliza no presta cobertura temporal</w:t>
      </w:r>
      <w:r w:rsidR="00064104">
        <w:t xml:space="preserve">. </w:t>
      </w:r>
      <w:r w:rsidR="00C02942">
        <w:t xml:space="preserve">Adicionalmente, </w:t>
      </w:r>
      <w:r w:rsidR="00064104">
        <w:t xml:space="preserve">no se configuraron los elementos de la responsabilidad fiscal contra el asegurado. </w:t>
      </w:r>
    </w:p>
    <w:p w14:paraId="2431AB32" w14:textId="15D69637" w:rsidR="009D00CD" w:rsidRPr="009D00CD" w:rsidRDefault="009D00CD" w:rsidP="009D00CD">
      <w:pPr>
        <w:jc w:val="both"/>
        <w:rPr>
          <w:lang w:val="es-ES_tradnl"/>
        </w:rPr>
      </w:pPr>
      <w:r w:rsidRPr="009D00CD">
        <w:rPr>
          <w:lang w:val="es-ES_tradnl"/>
        </w:rPr>
        <w:t>Respecto a la Póliza</w:t>
      </w:r>
      <w:r w:rsidR="00064104">
        <w:rPr>
          <w:lang w:val="es-ES_tradnl"/>
        </w:rPr>
        <w:t xml:space="preserve"> de Manejo Global Sector Oficial No. </w:t>
      </w:r>
      <w:r w:rsidR="00064104" w:rsidRPr="00064104">
        <w:t>3000295</w:t>
      </w:r>
      <w:r w:rsidRPr="009D00CD">
        <w:rPr>
          <w:lang w:val="es-ES_tradnl"/>
        </w:rPr>
        <w:t>, se debe indicar que la misma presta cobertura material</w:t>
      </w:r>
      <w:r w:rsidR="0014744E">
        <w:rPr>
          <w:lang w:val="es-ES_tradnl"/>
        </w:rPr>
        <w:t xml:space="preserve"> por tratarse de un proceso de responsabilidad fiscal y</w:t>
      </w:r>
      <w:r w:rsidRPr="009D00CD">
        <w:rPr>
          <w:lang w:val="es-ES_tradnl"/>
        </w:rPr>
        <w:t xml:space="preserve"> </w:t>
      </w:r>
      <w:r w:rsidR="0014744E">
        <w:rPr>
          <w:lang w:val="es-ES_tradnl"/>
        </w:rPr>
        <w:t>ampara</w:t>
      </w:r>
      <w:r w:rsidR="00C02942" w:rsidRPr="00C02942">
        <w:t>r</w:t>
      </w:r>
      <w:r w:rsidR="0014744E">
        <w:t xml:space="preserve"> el contrato de seguro</w:t>
      </w:r>
      <w:r w:rsidR="00C02942" w:rsidRPr="00C02942">
        <w:t xml:space="preserve"> las pérdidas patrimoniales de dinero, valores y bienes públicos, causados por sus empleados, en el ejercicio de sus cargos, por incurrir en conductas que se tipifiquen como delitos contra la administración pública</w:t>
      </w:r>
      <w:r w:rsidRPr="009D00CD">
        <w:rPr>
          <w:lang w:val="es-ES_tradnl"/>
        </w:rPr>
        <w:t xml:space="preserve">. </w:t>
      </w:r>
      <w:r w:rsidR="00C02942">
        <w:rPr>
          <w:lang w:val="es-ES_tradnl"/>
        </w:rPr>
        <w:t xml:space="preserve">Sin embargo, no </w:t>
      </w:r>
      <w:r w:rsidRPr="009D00CD">
        <w:rPr>
          <w:lang w:val="es-ES_tradnl"/>
        </w:rPr>
        <w:t xml:space="preserve">presta cobertura temporal, </w:t>
      </w:r>
      <w:r w:rsidR="00064104">
        <w:rPr>
          <w:lang w:val="es-ES_tradnl"/>
        </w:rPr>
        <w:t>habida cuenta de que se</w:t>
      </w:r>
      <w:r w:rsidRPr="009D00CD">
        <w:rPr>
          <w:lang w:val="es-ES_tradnl"/>
        </w:rPr>
        <w:t xml:space="preserve"> pact</w:t>
      </w:r>
      <w:r w:rsidR="00064104">
        <w:rPr>
          <w:lang w:val="es-ES_tradnl"/>
        </w:rPr>
        <w:t>ó</w:t>
      </w:r>
      <w:r w:rsidRPr="009D00CD">
        <w:rPr>
          <w:lang w:val="es-ES_tradnl"/>
        </w:rPr>
        <w:t xml:space="preserve"> bajo la modalidad de </w:t>
      </w:r>
      <w:r w:rsidR="00C02942">
        <w:rPr>
          <w:lang w:val="es-ES_tradnl"/>
        </w:rPr>
        <w:t>descubrimiento,</w:t>
      </w:r>
      <w:r w:rsidR="00064104">
        <w:rPr>
          <w:lang w:val="es-ES_tradnl"/>
        </w:rPr>
        <w:t xml:space="preserve"> la cual ampara</w:t>
      </w:r>
      <w:r w:rsidR="00E06F06">
        <w:rPr>
          <w:lang w:val="es-ES_tradnl"/>
        </w:rPr>
        <w:t xml:space="preserve"> los</w:t>
      </w:r>
      <w:r w:rsidR="00064104">
        <w:rPr>
          <w:lang w:val="es-ES_tradnl"/>
        </w:rPr>
        <w:t xml:space="preserve"> hechos que sean descubiertos dentro de la vigencia de la póliza. </w:t>
      </w:r>
      <w:r w:rsidR="00C02942">
        <w:rPr>
          <w:lang w:val="es-ES_tradnl"/>
        </w:rPr>
        <w:t xml:space="preserve"> </w:t>
      </w:r>
      <w:r w:rsidR="00064104">
        <w:rPr>
          <w:lang w:val="es-ES_tradnl"/>
        </w:rPr>
        <w:t xml:space="preserve">En el caso concreto, </w:t>
      </w:r>
      <w:r w:rsidR="00C02942">
        <w:rPr>
          <w:lang w:val="es-ES_tradnl"/>
        </w:rPr>
        <w:t>la vigencia de la póliza,</w:t>
      </w:r>
      <w:r w:rsidR="00E06F06">
        <w:rPr>
          <w:lang w:val="es-ES_tradnl"/>
        </w:rPr>
        <w:t xml:space="preserve"> estuvo inicialmente comprendida entre el 02 de diciembre de 2021 al 20 de marzo de 2022; posteriormente, en la primera prórroga, se amplió la vigencia desde el 20 de marzo de 2022 hasta el 20 de mayo de 2022, y finalmente, en la última prórroga, se amplió la vigencia desde el 20 de mayo de 2022 hasta el 30 de mayo de 2022, </w:t>
      </w:r>
      <w:r w:rsidR="00C02942">
        <w:rPr>
          <w:lang w:val="es-ES_tradnl"/>
        </w:rPr>
        <w:t>y los hechos, fueron descubiertos por la Contraloría solo hasta el 18 de junio de 2024, con la expedición del Auto de Apertura No. 418; esto es,</w:t>
      </w:r>
      <w:r w:rsidR="00E06F06">
        <w:rPr>
          <w:lang w:val="es-ES_tradnl"/>
        </w:rPr>
        <w:t xml:space="preserve"> por fuera de la vigencia pactada.</w:t>
      </w:r>
      <w:r w:rsidR="00C02942">
        <w:rPr>
          <w:lang w:val="es-ES_tradnl"/>
        </w:rPr>
        <w:t xml:space="preserve"> </w:t>
      </w:r>
      <w:bookmarkStart w:id="0" w:name="_GoBack"/>
      <w:bookmarkEnd w:id="0"/>
    </w:p>
    <w:p w14:paraId="181DD1F7" w14:textId="3940990A" w:rsidR="00B2642A" w:rsidRPr="009D00CD" w:rsidRDefault="009D00CD" w:rsidP="009D00CD">
      <w:pPr>
        <w:jc w:val="both"/>
        <w:rPr>
          <w:lang w:val="es-ES_tradnl"/>
        </w:rPr>
      </w:pPr>
      <w:r w:rsidRPr="009D00CD">
        <w:rPr>
          <w:lang w:val="es-ES_tradnl"/>
        </w:rPr>
        <w:t>Respecto a</w:t>
      </w:r>
      <w:r w:rsidR="0014744E">
        <w:rPr>
          <w:lang w:val="es-ES_tradnl"/>
        </w:rPr>
        <w:t xml:space="preserve"> </w:t>
      </w:r>
      <w:r w:rsidR="00C02942">
        <w:rPr>
          <w:lang w:val="es-ES_tradnl"/>
        </w:rPr>
        <w:t>l</w:t>
      </w:r>
      <w:r w:rsidR="0014744E">
        <w:rPr>
          <w:lang w:val="es-ES_tradnl"/>
        </w:rPr>
        <w:t>a responsabilidad de los vinculados</w:t>
      </w:r>
      <w:r w:rsidR="00C02942">
        <w:rPr>
          <w:lang w:val="es-ES_tradnl"/>
        </w:rPr>
        <w:t>, lo cierto es</w:t>
      </w:r>
      <w:r w:rsidR="0014744E">
        <w:rPr>
          <w:lang w:val="es-ES_tradnl"/>
        </w:rPr>
        <w:t xml:space="preserve">, </w:t>
      </w:r>
      <w:r w:rsidR="00C02942">
        <w:rPr>
          <w:lang w:val="es-ES_tradnl"/>
        </w:rPr>
        <w:t>que</w:t>
      </w:r>
      <w:r w:rsidR="0014744E">
        <w:rPr>
          <w:lang w:val="es-ES_tradnl"/>
        </w:rPr>
        <w:t xml:space="preserve"> de acuerdo al hallazgo,</w:t>
      </w:r>
      <w:r w:rsidR="00C02942">
        <w:rPr>
          <w:lang w:val="es-ES_tradnl"/>
        </w:rPr>
        <w:t xml:space="preserve"> no se configura</w:t>
      </w:r>
      <w:r w:rsidR="00307EDB">
        <w:rPr>
          <w:lang w:val="es-ES_tradnl"/>
        </w:rPr>
        <w:t>n los elementos de la responsabilidad fiscal, pues</w:t>
      </w:r>
      <w:r w:rsidR="00307EDB">
        <w:t xml:space="preserve"> no se realiza un análisis de fondo </w:t>
      </w:r>
      <w:r w:rsidR="0014744E">
        <w:t xml:space="preserve">para verificar </w:t>
      </w:r>
      <w:r w:rsidR="00307EDB">
        <w:t xml:space="preserve">si las erogaciones fueron indebidamente realizadas, sino que por el contrario, en el propio hallazgo se manifiesta que se hicieron </w:t>
      </w:r>
      <w:r w:rsidR="0014744E">
        <w:t xml:space="preserve">por concepto </w:t>
      </w:r>
      <w:r w:rsidR="00307EDB">
        <w:t>de intereses moratorios y sanciones;</w:t>
      </w:r>
      <w:r w:rsidR="0014744E">
        <w:t xml:space="preserve"> </w:t>
      </w:r>
      <w:r w:rsidR="00E24EA9">
        <w:t xml:space="preserve">valores </w:t>
      </w:r>
      <w:r w:rsidR="00307EDB">
        <w:t>que evidentemente deben ser pagad</w:t>
      </w:r>
      <w:r w:rsidR="0014744E">
        <w:t>o</w:t>
      </w:r>
      <w:r w:rsidR="00307EDB">
        <w:t>s por la entidad</w:t>
      </w:r>
      <w:r w:rsidR="0014744E">
        <w:t>, y no podrían constituir entonces un daño patrimonial</w:t>
      </w:r>
      <w:r w:rsidR="00307EDB">
        <w:t xml:space="preserve">. </w:t>
      </w:r>
      <w:r w:rsidR="0014744E">
        <w:t>En el mismo sentido</w:t>
      </w:r>
      <w:r w:rsidR="00307EDB">
        <w:t xml:space="preserve">, no se acredita la culpa grave </w:t>
      </w:r>
      <w:r w:rsidR="00E24EA9">
        <w:t xml:space="preserve">o el </w:t>
      </w:r>
      <w:r w:rsidR="00307EDB">
        <w:t>dolo en cabeza de los presuntos responsables.</w:t>
      </w:r>
    </w:p>
    <w:p w14:paraId="07E188B9" w14:textId="7B5581BB" w:rsidR="009D00CD" w:rsidRPr="009D00CD" w:rsidRDefault="009D00CD" w:rsidP="009D00CD">
      <w:pPr>
        <w:jc w:val="both"/>
      </w:pPr>
    </w:p>
    <w:sectPr w:rsidR="009D00CD" w:rsidRPr="009D00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2619"/>
    <w:multiLevelType w:val="hybridMultilevel"/>
    <w:tmpl w:val="31BA021A"/>
    <w:lvl w:ilvl="0" w:tplc="A1164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84A85"/>
    <w:multiLevelType w:val="hybridMultilevel"/>
    <w:tmpl w:val="2A3EE2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04102"/>
    <w:multiLevelType w:val="hybridMultilevel"/>
    <w:tmpl w:val="1DB4DDA6"/>
    <w:lvl w:ilvl="0" w:tplc="A9F6DB64">
      <w:start w:val="7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CD"/>
    <w:rsid w:val="00064104"/>
    <w:rsid w:val="0014744E"/>
    <w:rsid w:val="00307EDB"/>
    <w:rsid w:val="006D2459"/>
    <w:rsid w:val="007970F2"/>
    <w:rsid w:val="008463D3"/>
    <w:rsid w:val="00860261"/>
    <w:rsid w:val="009D00CD"/>
    <w:rsid w:val="009E4DA9"/>
    <w:rsid w:val="00B2642A"/>
    <w:rsid w:val="00C02942"/>
    <w:rsid w:val="00C26D67"/>
    <w:rsid w:val="00E06F06"/>
    <w:rsid w:val="00E24EA9"/>
    <w:rsid w:val="00E40014"/>
    <w:rsid w:val="00F2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C650"/>
  <w15:chartTrackingRefBased/>
  <w15:docId w15:val="{1AEEB41F-2759-4EA0-87A9-2AA63998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0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639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Vernaza Ordóñez</dc:creator>
  <cp:keywords/>
  <dc:description/>
  <cp:lastModifiedBy>Gonzalo</cp:lastModifiedBy>
  <cp:revision>3</cp:revision>
  <dcterms:created xsi:type="dcterms:W3CDTF">2024-08-02T23:31:00Z</dcterms:created>
  <dcterms:modified xsi:type="dcterms:W3CDTF">2024-08-05T12:26:00Z</dcterms:modified>
</cp:coreProperties>
</file>