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094E" w14:textId="77777777" w:rsidR="001156B7" w:rsidRPr="00087B6A" w:rsidRDefault="001156B7" w:rsidP="00F23F46">
      <w:pPr>
        <w:spacing w:line="360" w:lineRule="auto"/>
        <w:ind w:left="708" w:hanging="708"/>
        <w:jc w:val="both"/>
        <w:rPr>
          <w:rFonts w:ascii="Arial" w:eastAsia="Arial" w:hAnsi="Arial" w:cs="Arial"/>
          <w:lang w:eastAsia="es-CO"/>
        </w:rPr>
      </w:pPr>
      <w:r w:rsidRPr="00087B6A">
        <w:rPr>
          <w:rFonts w:ascii="Arial" w:eastAsia="Arial" w:hAnsi="Arial" w:cs="Arial"/>
          <w:lang w:eastAsia="es-CO"/>
        </w:rPr>
        <w:t xml:space="preserve">Señores: </w:t>
      </w:r>
    </w:p>
    <w:p w14:paraId="7B22F503" w14:textId="77777777" w:rsidR="001156B7" w:rsidRPr="006D507E" w:rsidRDefault="001156B7" w:rsidP="00F23F46">
      <w:pPr>
        <w:spacing w:line="360" w:lineRule="auto"/>
        <w:ind w:hanging="10"/>
        <w:rPr>
          <w:b/>
          <w:bCs/>
        </w:rPr>
      </w:pPr>
      <w:r w:rsidRPr="006D507E">
        <w:rPr>
          <w:b/>
          <w:bCs/>
        </w:rPr>
        <w:t>JUZGADO TERCERO (03) CIVIL MUNICIPAL DE CUCÚTA</w:t>
      </w:r>
    </w:p>
    <w:p w14:paraId="071E61B7" w14:textId="77777777" w:rsidR="001156B7" w:rsidRPr="00087B6A" w:rsidRDefault="008633B8" w:rsidP="00F23F46">
      <w:pPr>
        <w:spacing w:line="360" w:lineRule="auto"/>
        <w:ind w:hanging="10"/>
        <w:rPr>
          <w:rFonts w:ascii="Arial" w:eastAsia="Arial" w:hAnsi="Arial" w:cs="Arial"/>
          <w:b/>
          <w:lang w:eastAsia="es-CO"/>
        </w:rPr>
      </w:pPr>
      <w:hyperlink r:id="rId8" w:history="1">
        <w:r w:rsidR="001156B7" w:rsidRPr="002E24B9">
          <w:rPr>
            <w:rStyle w:val="Hipervnculo"/>
            <w:rFonts w:ascii="Arial" w:eastAsia="Arial" w:hAnsi="Arial" w:cs="Arial"/>
            <w:b/>
            <w:lang w:eastAsia="es-CO"/>
          </w:rPr>
          <w:t>jcivmcu3@cendoj.ramajudicial.gov.co</w:t>
        </w:r>
      </w:hyperlink>
      <w:r w:rsidR="001156B7">
        <w:rPr>
          <w:rFonts w:ascii="Arial" w:eastAsia="Arial" w:hAnsi="Arial" w:cs="Arial"/>
          <w:b/>
          <w:lang w:eastAsia="es-CO"/>
        </w:rPr>
        <w:t xml:space="preserve"> </w:t>
      </w:r>
    </w:p>
    <w:p w14:paraId="4F5A85BF" w14:textId="77777777" w:rsidR="001156B7" w:rsidRPr="00087B6A" w:rsidRDefault="001156B7" w:rsidP="00554E1A">
      <w:pPr>
        <w:spacing w:line="360" w:lineRule="auto"/>
        <w:rPr>
          <w:rFonts w:ascii="Arial" w:eastAsia="Arial" w:hAnsi="Arial" w:cs="Arial"/>
          <w:lang w:eastAsia="es-CO"/>
        </w:rPr>
      </w:pPr>
      <w:r w:rsidRPr="00087B6A">
        <w:rPr>
          <w:rFonts w:ascii="Arial" w:eastAsia="Arial" w:hAnsi="Arial" w:cs="Arial"/>
          <w:lang w:eastAsia="es-CO"/>
        </w:rPr>
        <w:t>E.</w:t>
      </w:r>
      <w:r w:rsidRPr="00087B6A">
        <w:rPr>
          <w:rFonts w:ascii="Arial" w:eastAsia="Arial" w:hAnsi="Arial" w:cs="Arial"/>
          <w:lang w:eastAsia="es-CO"/>
        </w:rPr>
        <w:tab/>
        <w:t>S.</w:t>
      </w:r>
      <w:r w:rsidRPr="00087B6A">
        <w:rPr>
          <w:rFonts w:ascii="Arial" w:eastAsia="Arial" w:hAnsi="Arial" w:cs="Arial"/>
          <w:lang w:eastAsia="es-CO"/>
        </w:rPr>
        <w:tab/>
        <w:t>D.</w:t>
      </w:r>
      <w:r w:rsidRPr="00087B6A">
        <w:rPr>
          <w:rFonts w:ascii="Arial" w:eastAsia="Arial" w:hAnsi="Arial" w:cs="Arial"/>
          <w:b/>
          <w:lang w:eastAsia="es-CO"/>
        </w:rPr>
        <w:t xml:space="preserve"> </w:t>
      </w:r>
    </w:p>
    <w:p w14:paraId="5EC9D0AB" w14:textId="77777777" w:rsidR="001156B7" w:rsidRPr="00087B6A" w:rsidRDefault="001156B7" w:rsidP="00F23F46">
      <w:pPr>
        <w:spacing w:line="360" w:lineRule="auto"/>
        <w:rPr>
          <w:rFonts w:ascii="Arial" w:eastAsiaTheme="minorHAnsi" w:hAnsi="Arial" w:cs="Arial"/>
          <w:lang w:eastAsia="es-CO"/>
        </w:rPr>
      </w:pPr>
      <w:r w:rsidRPr="00087B6A">
        <w:rPr>
          <w:rFonts w:ascii="Arial" w:eastAsiaTheme="minorHAnsi" w:hAnsi="Arial" w:cs="Arial"/>
          <w:lang w:eastAsia="es-CO"/>
        </w:rPr>
        <w:t xml:space="preserve"> </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62"/>
      </w:tblGrid>
      <w:tr w:rsidR="001156B7" w:rsidRPr="00087B6A" w14:paraId="578C703F" w14:textId="77777777" w:rsidTr="0DB2FC89">
        <w:tc>
          <w:tcPr>
            <w:tcW w:w="2977" w:type="dxa"/>
            <w:vAlign w:val="center"/>
          </w:tcPr>
          <w:p w14:paraId="7F57199E" w14:textId="77777777" w:rsidR="001156B7" w:rsidRPr="00087B6A" w:rsidRDefault="001156B7" w:rsidP="00F23F46">
            <w:pPr>
              <w:spacing w:line="360" w:lineRule="auto"/>
              <w:rPr>
                <w:rFonts w:ascii="Arial" w:eastAsiaTheme="minorHAnsi" w:hAnsi="Arial" w:cs="Arial"/>
                <w:b/>
                <w:bCs/>
              </w:rPr>
            </w:pPr>
            <w:r w:rsidRPr="00087B6A">
              <w:rPr>
                <w:rFonts w:ascii="Arial" w:eastAsiaTheme="minorHAnsi" w:hAnsi="Arial" w:cs="Arial"/>
                <w:b/>
                <w:bCs/>
              </w:rPr>
              <w:t>REFERENCIA:</w:t>
            </w:r>
          </w:p>
        </w:tc>
        <w:tc>
          <w:tcPr>
            <w:tcW w:w="6662" w:type="dxa"/>
            <w:vAlign w:val="center"/>
          </w:tcPr>
          <w:p w14:paraId="4B7EB902" w14:textId="77777777" w:rsidR="001156B7" w:rsidRPr="00087B6A" w:rsidRDefault="001156B7" w:rsidP="00F23F46">
            <w:pPr>
              <w:spacing w:line="360" w:lineRule="auto"/>
              <w:jc w:val="both"/>
              <w:rPr>
                <w:rFonts w:ascii="Arial" w:eastAsiaTheme="minorHAnsi" w:hAnsi="Arial" w:cs="Arial"/>
                <w:lang w:eastAsia="es-CO"/>
              </w:rPr>
            </w:pPr>
            <w:r>
              <w:rPr>
                <w:rFonts w:ascii="Arial" w:eastAsiaTheme="minorHAnsi" w:hAnsi="Arial" w:cs="Arial"/>
                <w:lang w:eastAsia="es-CO"/>
              </w:rPr>
              <w:t>VERBAL</w:t>
            </w:r>
          </w:p>
        </w:tc>
      </w:tr>
      <w:tr w:rsidR="001156B7" w:rsidRPr="00087B6A" w14:paraId="063DC566" w14:textId="77777777" w:rsidTr="0DB2FC89">
        <w:tc>
          <w:tcPr>
            <w:tcW w:w="2977" w:type="dxa"/>
            <w:vAlign w:val="center"/>
          </w:tcPr>
          <w:p w14:paraId="41BAF7A7" w14:textId="77777777" w:rsidR="001156B7" w:rsidRPr="00087B6A" w:rsidRDefault="001156B7" w:rsidP="00F23F46">
            <w:pPr>
              <w:spacing w:line="360" w:lineRule="auto"/>
              <w:rPr>
                <w:rFonts w:ascii="Arial" w:eastAsiaTheme="minorHAnsi" w:hAnsi="Arial" w:cs="Arial"/>
                <w:b/>
                <w:bCs/>
              </w:rPr>
            </w:pPr>
            <w:r w:rsidRPr="00087B6A">
              <w:rPr>
                <w:rFonts w:ascii="Arial" w:eastAsiaTheme="minorHAnsi" w:hAnsi="Arial" w:cs="Arial"/>
                <w:b/>
                <w:bCs/>
              </w:rPr>
              <w:t>RADICA</w:t>
            </w:r>
            <w:r>
              <w:rPr>
                <w:rFonts w:ascii="Arial" w:eastAsiaTheme="minorHAnsi" w:hAnsi="Arial" w:cs="Arial"/>
                <w:b/>
                <w:bCs/>
              </w:rPr>
              <w:t>DO</w:t>
            </w:r>
            <w:r w:rsidRPr="00087B6A">
              <w:rPr>
                <w:rFonts w:ascii="Arial" w:eastAsiaTheme="minorHAnsi" w:hAnsi="Arial" w:cs="Arial"/>
                <w:b/>
                <w:bCs/>
              </w:rPr>
              <w:t>:</w:t>
            </w:r>
          </w:p>
        </w:tc>
        <w:tc>
          <w:tcPr>
            <w:tcW w:w="6662" w:type="dxa"/>
            <w:vAlign w:val="center"/>
          </w:tcPr>
          <w:p w14:paraId="3CBBA88C" w14:textId="77777777" w:rsidR="001156B7" w:rsidRPr="00087B6A" w:rsidRDefault="001156B7" w:rsidP="00F23F46">
            <w:pPr>
              <w:spacing w:line="360" w:lineRule="auto"/>
              <w:jc w:val="both"/>
              <w:rPr>
                <w:rFonts w:ascii="Arial" w:eastAsiaTheme="minorHAnsi" w:hAnsi="Arial" w:cs="Arial"/>
                <w:lang w:eastAsia="es-CO"/>
              </w:rPr>
            </w:pPr>
            <w:r>
              <w:t>540014003003-2023-00886-00</w:t>
            </w:r>
          </w:p>
        </w:tc>
      </w:tr>
      <w:tr w:rsidR="001156B7" w:rsidRPr="00087B6A" w14:paraId="13A1F40A" w14:textId="77777777" w:rsidTr="0DB2FC89">
        <w:tc>
          <w:tcPr>
            <w:tcW w:w="2977" w:type="dxa"/>
            <w:vAlign w:val="center"/>
          </w:tcPr>
          <w:p w14:paraId="0ACA98EC" w14:textId="77777777" w:rsidR="001156B7" w:rsidRPr="00087B6A" w:rsidRDefault="001156B7" w:rsidP="00F23F46">
            <w:pPr>
              <w:spacing w:line="360" w:lineRule="auto"/>
              <w:rPr>
                <w:rFonts w:ascii="Arial" w:eastAsiaTheme="minorHAnsi" w:hAnsi="Arial" w:cs="Arial"/>
                <w:b/>
                <w:bCs/>
              </w:rPr>
            </w:pPr>
            <w:r w:rsidRPr="00087B6A">
              <w:rPr>
                <w:rFonts w:ascii="Arial" w:eastAsiaTheme="minorHAnsi" w:hAnsi="Arial" w:cs="Arial"/>
                <w:b/>
                <w:bCs/>
              </w:rPr>
              <w:t>DEMANDANTE:</w:t>
            </w:r>
          </w:p>
        </w:tc>
        <w:tc>
          <w:tcPr>
            <w:tcW w:w="6662" w:type="dxa"/>
            <w:vAlign w:val="center"/>
          </w:tcPr>
          <w:p w14:paraId="1959586C" w14:textId="77777777" w:rsidR="001156B7" w:rsidRPr="00087B6A" w:rsidRDefault="001156B7" w:rsidP="00F23F46">
            <w:pPr>
              <w:spacing w:line="360" w:lineRule="auto"/>
              <w:jc w:val="both"/>
              <w:rPr>
                <w:rFonts w:ascii="Arial" w:eastAsiaTheme="minorHAnsi" w:hAnsi="Arial" w:cs="Arial"/>
              </w:rPr>
            </w:pPr>
            <w:r>
              <w:t>MARTHA YOLANDA SERRANO PIÑEROS</w:t>
            </w:r>
          </w:p>
        </w:tc>
      </w:tr>
      <w:tr w:rsidR="001156B7" w:rsidRPr="00087B6A" w14:paraId="51F895B0" w14:textId="77777777" w:rsidTr="0DB2FC89">
        <w:tc>
          <w:tcPr>
            <w:tcW w:w="2977" w:type="dxa"/>
            <w:vAlign w:val="center"/>
          </w:tcPr>
          <w:p w14:paraId="471BDE14" w14:textId="77777777" w:rsidR="001156B7" w:rsidRPr="00087B6A" w:rsidRDefault="001156B7" w:rsidP="00F23F46">
            <w:pPr>
              <w:spacing w:line="360" w:lineRule="auto"/>
              <w:rPr>
                <w:rFonts w:ascii="Arial" w:eastAsiaTheme="minorHAnsi" w:hAnsi="Arial" w:cs="Arial"/>
                <w:b/>
                <w:bCs/>
              </w:rPr>
            </w:pPr>
            <w:r w:rsidRPr="00087B6A">
              <w:rPr>
                <w:rFonts w:ascii="Arial" w:eastAsiaTheme="minorHAnsi" w:hAnsi="Arial" w:cs="Arial"/>
                <w:b/>
                <w:bCs/>
              </w:rPr>
              <w:t>DEMANDADO:</w:t>
            </w:r>
          </w:p>
        </w:tc>
        <w:tc>
          <w:tcPr>
            <w:tcW w:w="6662" w:type="dxa"/>
            <w:vAlign w:val="center"/>
          </w:tcPr>
          <w:p w14:paraId="132372D2" w14:textId="77777777" w:rsidR="001156B7" w:rsidRPr="00087B6A" w:rsidRDefault="001156B7" w:rsidP="00F23F46">
            <w:pPr>
              <w:spacing w:line="360" w:lineRule="auto"/>
              <w:jc w:val="both"/>
              <w:rPr>
                <w:rFonts w:ascii="Arial" w:eastAsiaTheme="minorHAnsi" w:hAnsi="Arial" w:cs="Arial"/>
              </w:rPr>
            </w:pPr>
            <w:r>
              <w:t>BBVA SEGUROS DE VIDA COLOMBIA SA</w:t>
            </w:r>
          </w:p>
        </w:tc>
      </w:tr>
      <w:tr w:rsidR="001156B7" w:rsidRPr="00087B6A" w14:paraId="4248F83A" w14:textId="77777777" w:rsidTr="0DB2FC89">
        <w:tc>
          <w:tcPr>
            <w:tcW w:w="9639" w:type="dxa"/>
            <w:gridSpan w:val="2"/>
            <w:vAlign w:val="center"/>
          </w:tcPr>
          <w:p w14:paraId="48937201" w14:textId="77777777" w:rsidR="001156B7" w:rsidRDefault="001156B7" w:rsidP="00F23F46">
            <w:pPr>
              <w:spacing w:line="360" w:lineRule="auto"/>
              <w:jc w:val="right"/>
              <w:rPr>
                <w:rFonts w:ascii="Arial" w:eastAsiaTheme="minorHAnsi" w:hAnsi="Arial" w:cs="Arial"/>
                <w:b/>
                <w:bCs/>
              </w:rPr>
            </w:pPr>
          </w:p>
          <w:p w14:paraId="5B896DDF" w14:textId="0899A21C" w:rsidR="001156B7" w:rsidRPr="00087B6A" w:rsidRDefault="7FBB43AB" w:rsidP="0DB2FC89">
            <w:pPr>
              <w:spacing w:line="360" w:lineRule="auto"/>
              <w:jc w:val="right"/>
              <w:rPr>
                <w:rFonts w:ascii="Arial" w:eastAsiaTheme="minorEastAsia" w:hAnsi="Arial" w:cs="Arial"/>
                <w:b/>
                <w:bCs/>
              </w:rPr>
            </w:pPr>
            <w:r w:rsidRPr="0DB2FC89">
              <w:rPr>
                <w:rFonts w:ascii="Arial" w:eastAsiaTheme="minorEastAsia" w:hAnsi="Arial" w:cs="Arial"/>
                <w:b/>
                <w:bCs/>
              </w:rPr>
              <w:t>ASUNTO: DESCORRE RECURSO DE REPOSICIÓN</w:t>
            </w:r>
            <w:r w:rsidR="5594C873" w:rsidRPr="0DB2FC89">
              <w:rPr>
                <w:rFonts w:ascii="Arial" w:eastAsiaTheme="minorEastAsia" w:hAnsi="Arial" w:cs="Arial"/>
                <w:b/>
                <w:bCs/>
              </w:rPr>
              <w:t xml:space="preserve"> Y EN SUBSIDIO APELACIÓN</w:t>
            </w:r>
            <w:r w:rsidRPr="0DB2FC89">
              <w:rPr>
                <w:rFonts w:ascii="Arial" w:eastAsiaTheme="minorEastAsia" w:hAnsi="Arial" w:cs="Arial"/>
                <w:b/>
                <w:bCs/>
              </w:rPr>
              <w:t>.</w:t>
            </w:r>
          </w:p>
        </w:tc>
      </w:tr>
    </w:tbl>
    <w:p w14:paraId="04679859" w14:textId="77777777" w:rsidR="001156B7" w:rsidRDefault="001156B7" w:rsidP="00F23F46">
      <w:pPr>
        <w:widowControl/>
        <w:adjustRightInd w:val="0"/>
        <w:spacing w:line="360" w:lineRule="auto"/>
        <w:jc w:val="both"/>
        <w:rPr>
          <w:rFonts w:ascii="Arial" w:hAnsi="Arial" w:cs="Arial"/>
          <w:b/>
          <w:bCs/>
        </w:rPr>
      </w:pPr>
    </w:p>
    <w:p w14:paraId="154C488E" w14:textId="316F15D2" w:rsidR="001156B7" w:rsidRPr="00B45F5E" w:rsidRDefault="7FBB43AB" w:rsidP="0DB2FC89">
      <w:pPr>
        <w:widowControl/>
        <w:adjustRightInd w:val="0"/>
        <w:spacing w:line="360" w:lineRule="auto"/>
        <w:jc w:val="both"/>
        <w:rPr>
          <w:rFonts w:ascii="Arial" w:eastAsiaTheme="minorEastAsia" w:hAnsi="Arial" w:cs="Arial"/>
          <w:color w:val="000000"/>
        </w:rPr>
      </w:pPr>
      <w:r w:rsidRPr="0DB2FC89">
        <w:rPr>
          <w:rFonts w:ascii="Arial" w:hAnsi="Arial" w:cs="Arial"/>
          <w:b/>
          <w:bCs/>
        </w:rPr>
        <w:t>GUSTAVO ALBERTO HERRERA ÁVILA</w:t>
      </w:r>
      <w:r w:rsidRPr="0DB2FC89">
        <w:rPr>
          <w:rFonts w:ascii="Arial" w:hAnsi="Arial" w:cs="Arial"/>
        </w:rPr>
        <w:t>,</w:t>
      </w:r>
      <w:r w:rsidRPr="0DB2FC89">
        <w:rPr>
          <w:rFonts w:ascii="Arial" w:hAnsi="Arial" w:cs="Arial"/>
          <w:b/>
          <w:bCs/>
        </w:rPr>
        <w:t xml:space="preserve"> </w:t>
      </w:r>
      <w:r w:rsidRPr="0DB2FC89">
        <w:rPr>
          <w:rFonts w:ascii="Arial" w:hAnsi="Arial" w:cs="Arial"/>
        </w:rPr>
        <w:t xml:space="preserve">mayor de edad, identificado con la cédula de ciudadanía No. 19.395.114, abogado titulado y en ejercicio, portador de la tarjeta profesional No. 39.116 del Consejo Superior de la Judicatura, actuando en mi calidad de apoderado judicial de </w:t>
      </w:r>
      <w:r w:rsidRPr="0DB2FC89">
        <w:rPr>
          <w:rFonts w:ascii="Arial" w:hAnsi="Arial" w:cs="Arial"/>
          <w:b/>
          <w:bCs/>
        </w:rPr>
        <w:t>BBVA SEGUROS DE VIDA COLOMBIA S.A.</w:t>
      </w:r>
      <w:r w:rsidRPr="0DB2FC89">
        <w:rPr>
          <w:rFonts w:ascii="Arial" w:hAnsi="Arial" w:cs="Arial"/>
        </w:rPr>
        <w:t xml:space="preserve">, tal como </w:t>
      </w:r>
      <w:r w:rsidR="4D5EA00D" w:rsidRPr="0DB2FC89">
        <w:rPr>
          <w:rFonts w:ascii="Arial" w:hAnsi="Arial" w:cs="Arial"/>
        </w:rPr>
        <w:t xml:space="preserve">se </w:t>
      </w:r>
      <w:r w:rsidR="37ADFB1E" w:rsidRPr="0DB2FC89">
        <w:rPr>
          <w:rFonts w:ascii="Arial" w:hAnsi="Arial" w:cs="Arial"/>
        </w:rPr>
        <w:t>encuentra</w:t>
      </w:r>
      <w:r w:rsidR="4D5EA00D" w:rsidRPr="0DB2FC89">
        <w:rPr>
          <w:rFonts w:ascii="Arial" w:hAnsi="Arial" w:cs="Arial"/>
        </w:rPr>
        <w:t xml:space="preserve"> acreditado en el proceso</w:t>
      </w:r>
      <w:r w:rsidRPr="0DB2FC89">
        <w:rPr>
          <w:rFonts w:ascii="Arial" w:hAnsi="Arial" w:cs="Arial"/>
        </w:rPr>
        <w:t xml:space="preserve">, encontrándome dentro del término legal, me permito </w:t>
      </w:r>
      <w:r w:rsidR="002C64F2" w:rsidRPr="0DB2FC89">
        <w:rPr>
          <w:rFonts w:ascii="Arial" w:hAnsi="Arial" w:cs="Arial"/>
        </w:rPr>
        <w:t>pronunciarme</w:t>
      </w:r>
      <w:r w:rsidR="27E349AC" w:rsidRPr="0DB2FC89">
        <w:rPr>
          <w:rFonts w:ascii="Arial" w:hAnsi="Arial" w:cs="Arial"/>
        </w:rPr>
        <w:t xml:space="preserve"> frente al</w:t>
      </w:r>
      <w:r w:rsidRPr="0DB2FC89">
        <w:rPr>
          <w:rFonts w:ascii="Arial" w:hAnsi="Arial" w:cs="Arial"/>
        </w:rPr>
        <w:t xml:space="preserve"> respuesta al recurso de </w:t>
      </w:r>
      <w:r w:rsidR="29CCED38" w:rsidRPr="0DB2FC89">
        <w:rPr>
          <w:rFonts w:ascii="Arial" w:hAnsi="Arial" w:cs="Arial"/>
        </w:rPr>
        <w:t>reposición</w:t>
      </w:r>
      <w:r w:rsidRPr="0DB2FC89">
        <w:rPr>
          <w:rFonts w:ascii="Arial" w:hAnsi="Arial" w:cs="Arial"/>
        </w:rPr>
        <w:t xml:space="preserve"> </w:t>
      </w:r>
      <w:r w:rsidR="6B31556A" w:rsidRPr="0DB2FC89">
        <w:rPr>
          <w:rFonts w:ascii="Arial" w:hAnsi="Arial" w:cs="Arial"/>
        </w:rPr>
        <w:t>y en subsidio apelación</w:t>
      </w:r>
      <w:r w:rsidR="660B21C6" w:rsidRPr="0DB2FC89">
        <w:rPr>
          <w:rFonts w:ascii="Arial" w:hAnsi="Arial" w:cs="Arial"/>
        </w:rPr>
        <w:t>,</w:t>
      </w:r>
      <w:r w:rsidR="6B31556A" w:rsidRPr="0DB2FC89">
        <w:rPr>
          <w:rFonts w:ascii="Arial" w:hAnsi="Arial" w:cs="Arial"/>
        </w:rPr>
        <w:t xml:space="preserve"> </w:t>
      </w:r>
      <w:r w:rsidRPr="0DB2FC89">
        <w:rPr>
          <w:rFonts w:ascii="Arial" w:hAnsi="Arial" w:cs="Arial"/>
        </w:rPr>
        <w:t xml:space="preserve">interpuesto por la actora en contra del Auto </w:t>
      </w:r>
      <w:r w:rsidR="002C64F2">
        <w:rPr>
          <w:rFonts w:ascii="Arial" w:hAnsi="Arial" w:cs="Arial"/>
        </w:rPr>
        <w:t>Interlocutorio</w:t>
      </w:r>
      <w:r w:rsidR="002C64F2" w:rsidRPr="0DB2FC89">
        <w:rPr>
          <w:rFonts w:ascii="Arial" w:hAnsi="Arial" w:cs="Arial"/>
        </w:rPr>
        <w:t xml:space="preserve"> No</w:t>
      </w:r>
      <w:r w:rsidRPr="0DB2FC89">
        <w:rPr>
          <w:rFonts w:ascii="Arial" w:hAnsi="Arial" w:cs="Arial"/>
        </w:rPr>
        <w:t>.</w:t>
      </w:r>
      <w:r w:rsidRPr="0DB2FC89">
        <w:rPr>
          <w:rFonts w:ascii="Arial" w:eastAsiaTheme="minorEastAsia" w:hAnsi="Arial" w:cs="Arial"/>
          <w:color w:val="000000" w:themeColor="text1"/>
        </w:rPr>
        <w:t xml:space="preserve"> 559 de 18 de marzo de 20</w:t>
      </w:r>
      <w:r w:rsidR="002C64F2">
        <w:rPr>
          <w:rFonts w:ascii="Arial" w:eastAsiaTheme="minorEastAsia" w:hAnsi="Arial" w:cs="Arial"/>
          <w:color w:val="000000" w:themeColor="text1"/>
        </w:rPr>
        <w:t>2</w:t>
      </w:r>
      <w:r w:rsidRPr="0DB2FC89">
        <w:rPr>
          <w:rFonts w:ascii="Arial" w:eastAsiaTheme="minorEastAsia" w:hAnsi="Arial" w:cs="Arial"/>
          <w:color w:val="000000" w:themeColor="text1"/>
        </w:rPr>
        <w:t>5, notificado en estado e</w:t>
      </w:r>
      <w:r w:rsidR="002C64F2">
        <w:rPr>
          <w:rFonts w:ascii="Arial" w:eastAsiaTheme="minorEastAsia" w:hAnsi="Arial" w:cs="Arial"/>
          <w:color w:val="000000" w:themeColor="text1"/>
        </w:rPr>
        <w:t>l 19 de marzo de 2025</w:t>
      </w:r>
      <w:r w:rsidRPr="0DB2FC89">
        <w:rPr>
          <w:rFonts w:ascii="Arial" w:eastAsiaTheme="minorEastAsia" w:hAnsi="Arial" w:cs="Arial"/>
          <w:color w:val="000000" w:themeColor="text1"/>
        </w:rPr>
        <w:t>,</w:t>
      </w:r>
      <w:r w:rsidR="002C64F2">
        <w:rPr>
          <w:rFonts w:ascii="Arial" w:eastAsiaTheme="minorEastAsia" w:hAnsi="Arial" w:cs="Arial"/>
          <w:color w:val="000000" w:themeColor="text1"/>
        </w:rPr>
        <w:t xml:space="preserve"> </w:t>
      </w:r>
      <w:r w:rsidR="674E3DDB" w:rsidRPr="0DB2FC89">
        <w:rPr>
          <w:rFonts w:ascii="Arial" w:eastAsiaTheme="minorEastAsia" w:hAnsi="Arial" w:cs="Arial"/>
          <w:color w:val="000000" w:themeColor="text1"/>
        </w:rPr>
        <w:t>por medio del cual el Despacho decidió proferir sentencia anticipada,</w:t>
      </w:r>
      <w:r w:rsidRPr="0DB2FC89">
        <w:rPr>
          <w:rFonts w:ascii="Arial" w:eastAsiaTheme="minorEastAsia" w:hAnsi="Arial" w:cs="Arial"/>
          <w:color w:val="000000" w:themeColor="text1"/>
        </w:rPr>
        <w:t xml:space="preserve"> de conformidad con lo</w:t>
      </w:r>
      <w:r w:rsidR="5BA0B31A" w:rsidRPr="0DB2FC89">
        <w:rPr>
          <w:rFonts w:ascii="Arial" w:eastAsiaTheme="minorEastAsia" w:hAnsi="Arial" w:cs="Arial"/>
          <w:color w:val="000000" w:themeColor="text1"/>
        </w:rPr>
        <w:t>s</w:t>
      </w:r>
      <w:r w:rsidRPr="0DB2FC89">
        <w:rPr>
          <w:rFonts w:ascii="Arial" w:eastAsiaTheme="minorEastAsia" w:hAnsi="Arial" w:cs="Arial"/>
          <w:color w:val="000000" w:themeColor="text1"/>
        </w:rPr>
        <w:t xml:space="preserve"> siguiente</w:t>
      </w:r>
      <w:r w:rsidR="636CA590" w:rsidRPr="0DB2FC89">
        <w:rPr>
          <w:rFonts w:ascii="Arial" w:eastAsiaTheme="minorEastAsia" w:hAnsi="Arial" w:cs="Arial"/>
          <w:color w:val="000000" w:themeColor="text1"/>
        </w:rPr>
        <w:t xml:space="preserve"> argumentos</w:t>
      </w:r>
      <w:r w:rsidRPr="0DB2FC89">
        <w:rPr>
          <w:rFonts w:ascii="Arial" w:eastAsiaTheme="minorEastAsia" w:hAnsi="Arial" w:cs="Arial"/>
          <w:color w:val="000000" w:themeColor="text1"/>
        </w:rPr>
        <w:t>:</w:t>
      </w:r>
    </w:p>
    <w:p w14:paraId="2A88283C" w14:textId="77777777" w:rsidR="001156B7" w:rsidRPr="00B45F5E" w:rsidRDefault="001156B7" w:rsidP="00F23F46">
      <w:pPr>
        <w:widowControl/>
        <w:adjustRightInd w:val="0"/>
        <w:spacing w:line="360" w:lineRule="auto"/>
        <w:rPr>
          <w:rFonts w:ascii="Arial" w:eastAsiaTheme="minorHAnsi" w:hAnsi="Arial" w:cs="Arial"/>
          <w:color w:val="000000"/>
        </w:rPr>
      </w:pPr>
    </w:p>
    <w:p w14:paraId="447C4590" w14:textId="77777777" w:rsidR="001156B7" w:rsidRPr="00B45F5E" w:rsidRDefault="001156B7" w:rsidP="00F23F46">
      <w:pPr>
        <w:pStyle w:val="Prrafodelista"/>
        <w:widowControl/>
        <w:numPr>
          <w:ilvl w:val="0"/>
          <w:numId w:val="1"/>
        </w:numPr>
        <w:adjustRightInd w:val="0"/>
        <w:spacing w:line="360" w:lineRule="auto"/>
        <w:jc w:val="center"/>
        <w:rPr>
          <w:rFonts w:ascii="Arial" w:eastAsiaTheme="minorHAnsi" w:hAnsi="Arial" w:cs="Arial"/>
          <w:b/>
          <w:bCs/>
          <w:color w:val="000000"/>
        </w:rPr>
      </w:pPr>
      <w:r w:rsidRPr="00B45F5E">
        <w:rPr>
          <w:rFonts w:ascii="Arial" w:eastAsiaTheme="minorHAnsi" w:hAnsi="Arial" w:cs="Arial"/>
          <w:b/>
          <w:bCs/>
          <w:color w:val="000000"/>
        </w:rPr>
        <w:t>OPORTUNIDAD.</w:t>
      </w:r>
    </w:p>
    <w:p w14:paraId="4651876A" w14:textId="23E57790" w:rsidR="00E63542" w:rsidRDefault="793E840C" w:rsidP="0DB2FC89">
      <w:pPr>
        <w:widowControl/>
        <w:spacing w:beforeAutospacing="1" w:afterAutospacing="1" w:line="360" w:lineRule="auto"/>
        <w:jc w:val="both"/>
      </w:pPr>
      <w:r>
        <w:t xml:space="preserve">Sea lo primero precisar que, mediante Auto Interlocutorio No. 559 del 18 de marzo de 2025, </w:t>
      </w:r>
      <w:r w:rsidR="002C64F2" w:rsidRPr="0DB2FC89">
        <w:rPr>
          <w:rFonts w:ascii="Arial" w:eastAsiaTheme="minorEastAsia" w:hAnsi="Arial" w:cs="Arial"/>
          <w:color w:val="000000" w:themeColor="text1"/>
        </w:rPr>
        <w:t>notificado en estado e</w:t>
      </w:r>
      <w:r w:rsidR="002C64F2">
        <w:rPr>
          <w:rFonts w:ascii="Arial" w:eastAsiaTheme="minorEastAsia" w:hAnsi="Arial" w:cs="Arial"/>
          <w:color w:val="000000" w:themeColor="text1"/>
        </w:rPr>
        <w:t>l 19 de marzo de 2025</w:t>
      </w:r>
      <w:r>
        <w:t xml:space="preserve">, el </w:t>
      </w:r>
      <w:r w:rsidR="41CE6C7F">
        <w:t xml:space="preserve">juzgado </w:t>
      </w:r>
      <w:r>
        <w:t xml:space="preserve">decidió, en aplicación del numeral 3° del artículo 278 del Código General del Proceso, que, una vez en firme dicha providencia, el expediente se remitiera al despacho para proferir </w:t>
      </w:r>
      <w:r w:rsidR="6F678ECC">
        <w:t>sentencia anticipada.</w:t>
      </w:r>
    </w:p>
    <w:p w14:paraId="5E6B4FB3" w14:textId="04999753" w:rsidR="0DB2FC89" w:rsidRDefault="6C3DCCC8" w:rsidP="0DB2FC89">
      <w:pPr>
        <w:widowControl/>
        <w:spacing w:beforeAutospacing="1" w:afterAutospacing="1" w:line="360" w:lineRule="auto"/>
        <w:jc w:val="both"/>
      </w:pPr>
      <w:r>
        <w:lastRenderedPageBreak/>
        <w:t>Dentro del término de ejecutoria,</w:t>
      </w:r>
      <w:r w:rsidR="61408DED">
        <w:t xml:space="preserve"> esto es el 25 de marzo de 2025,</w:t>
      </w:r>
      <w:r>
        <w:t xml:space="preserve"> la parte actora interpuso recurso de reposición y, en subsidio, apelación contra el referido auto. En consecuencia, </w:t>
      </w:r>
      <w:r w:rsidR="7A7EFCD0">
        <w:t xml:space="preserve">considerando que en dicha oportunidad la contraparte envió el memorial de manera concomitante a la </w:t>
      </w:r>
      <w:r w:rsidR="792D5E78">
        <w:t>dirección</w:t>
      </w:r>
      <w:r w:rsidR="7A7EFCD0">
        <w:t xml:space="preserve"> de esta </w:t>
      </w:r>
      <w:r w:rsidR="113D2B37">
        <w:t>representación</w:t>
      </w:r>
      <w:r w:rsidR="7A7EFCD0">
        <w:t xml:space="preserve">, el término de traslado se surte al tenor del </w:t>
      </w:r>
      <w:r w:rsidR="17B8BD4B">
        <w:t>parágrafo</w:t>
      </w:r>
      <w:r w:rsidR="7A7EFCD0">
        <w:t xml:space="preserve"> del artículo 8 de la ley 2213 de 2022, </w:t>
      </w:r>
      <w:proofErr w:type="gramStart"/>
      <w:r w:rsidR="7A7EFCD0">
        <w:t>y</w:t>
      </w:r>
      <w:proofErr w:type="gramEnd"/>
      <w:r w:rsidR="7A7EFCD0">
        <w:t xml:space="preserve"> por ende</w:t>
      </w:r>
      <w:r w:rsidR="196BA309">
        <w:t>,</w:t>
      </w:r>
      <w:r w:rsidR="7A7EFCD0">
        <w:t xml:space="preserve"> el término para </w:t>
      </w:r>
      <w:r w:rsidR="298FEBA7">
        <w:t xml:space="preserve">replicar se extiende hasta el </w:t>
      </w:r>
      <w:r w:rsidR="3C595A6E">
        <w:t xml:space="preserve">1 de abril de 2025, en consecuencia, </w:t>
      </w:r>
      <w:r w:rsidR="648DF64F">
        <w:t>este escrito se presenta oportunamente.</w:t>
      </w:r>
    </w:p>
    <w:p w14:paraId="1F97133C" w14:textId="078FD3AD" w:rsidR="001156B7" w:rsidRDefault="6C3DCCC8" w:rsidP="0DB2FC89">
      <w:pPr>
        <w:pStyle w:val="Prrafodelista"/>
        <w:widowControl/>
        <w:numPr>
          <w:ilvl w:val="0"/>
          <w:numId w:val="1"/>
        </w:numPr>
        <w:autoSpaceDE/>
        <w:autoSpaceDN/>
        <w:spacing w:before="100" w:beforeAutospacing="1" w:after="100" w:afterAutospacing="1" w:line="360" w:lineRule="auto"/>
        <w:jc w:val="center"/>
        <w:rPr>
          <w:b/>
          <w:bCs/>
        </w:rPr>
      </w:pPr>
      <w:r w:rsidRPr="0DB2FC89">
        <w:rPr>
          <w:b/>
          <w:bCs/>
        </w:rPr>
        <w:t>ARGUMENTOS DE</w:t>
      </w:r>
      <w:r w:rsidR="12923D9B" w:rsidRPr="0DB2FC89">
        <w:rPr>
          <w:b/>
          <w:bCs/>
        </w:rPr>
        <w:t xml:space="preserve"> LA RECURRENTE</w:t>
      </w:r>
    </w:p>
    <w:p w14:paraId="01FA5868" w14:textId="77777777" w:rsidR="003D00A1" w:rsidRDefault="003D00A1" w:rsidP="00F23F46">
      <w:pPr>
        <w:pStyle w:val="Prrafodelista"/>
        <w:widowControl/>
        <w:autoSpaceDE/>
        <w:autoSpaceDN/>
        <w:spacing w:before="100" w:beforeAutospacing="1" w:after="100" w:afterAutospacing="1" w:line="360" w:lineRule="auto"/>
        <w:ind w:left="1080"/>
        <w:rPr>
          <w:b/>
          <w:bCs/>
        </w:rPr>
      </w:pPr>
    </w:p>
    <w:p w14:paraId="75444FAF" w14:textId="70121125" w:rsidR="000D5200" w:rsidRDefault="00217907" w:rsidP="000F4767">
      <w:pPr>
        <w:pStyle w:val="Prrafodelista"/>
        <w:numPr>
          <w:ilvl w:val="0"/>
          <w:numId w:val="9"/>
        </w:numPr>
        <w:spacing w:before="100" w:beforeAutospacing="1" w:after="100" w:afterAutospacing="1" w:line="360" w:lineRule="auto"/>
        <w:jc w:val="both"/>
      </w:pPr>
      <w:r>
        <w:t xml:space="preserve">El apoderado judicial de la parte actora considera improcedente la figura de la sentencia anticipada, toda vez que, a su juicio, el debate probatorio no se encuentra cerrado, existiendo pruebas solicitadas que aún no han sido practicadas. Sostiene que anticipar el fallo en estas condiciones vulneraría el derecho de defensa y contradicción, al impedir el desarrollo pleno de la etapa </w:t>
      </w:r>
      <w:r w:rsidR="00846982">
        <w:t>probatoria.</w:t>
      </w:r>
    </w:p>
    <w:p w14:paraId="31A48A4B" w14:textId="77777777" w:rsidR="00F304DA" w:rsidRDefault="00F304DA" w:rsidP="00F304DA">
      <w:pPr>
        <w:pStyle w:val="Prrafodelista"/>
        <w:spacing w:before="100" w:beforeAutospacing="1" w:after="100" w:afterAutospacing="1" w:line="360" w:lineRule="auto"/>
        <w:jc w:val="both"/>
      </w:pPr>
    </w:p>
    <w:p w14:paraId="3A1E20C1" w14:textId="54C13B17" w:rsidR="00F304DA" w:rsidRDefault="00F304DA" w:rsidP="000D5200">
      <w:pPr>
        <w:pStyle w:val="Prrafodelista"/>
        <w:numPr>
          <w:ilvl w:val="0"/>
          <w:numId w:val="9"/>
        </w:numPr>
        <w:spacing w:before="100" w:beforeAutospacing="1" w:after="100" w:afterAutospacing="1" w:line="360" w:lineRule="auto"/>
        <w:jc w:val="both"/>
      </w:pPr>
      <w:r>
        <w:t>A juicio de la parte actora, no se configura la prescripción extintiva alegada, por cuanto su pretensión se fundamenta en un contrato de seguro de personas y no de daños, lo que según sostiene implica la aplicación del término prescriptivo extraordinario de cinco (5) años. En este sentido, expone que el evento de calificación de invalidez tuvo lugar el 2 de septiembre de 2019, la negativa de la aseguradora fue emitida el 13 de diciembre de 2021 y la demanda se presentó el 22 de septiembre de 2023. Bajo ese cómputo, considera que no habría operado la prescripción.</w:t>
      </w:r>
    </w:p>
    <w:p w14:paraId="14D61B9B" w14:textId="77777777" w:rsidR="00F304DA" w:rsidRDefault="00F304DA" w:rsidP="00F304DA">
      <w:pPr>
        <w:pStyle w:val="Prrafodelista"/>
      </w:pPr>
    </w:p>
    <w:p w14:paraId="01EEF026" w14:textId="1202B88C" w:rsidR="00B50FE8" w:rsidRDefault="00846982" w:rsidP="00846982">
      <w:pPr>
        <w:pStyle w:val="Prrafodelista"/>
        <w:widowControl/>
        <w:numPr>
          <w:ilvl w:val="0"/>
          <w:numId w:val="1"/>
        </w:numPr>
        <w:autoSpaceDE/>
        <w:autoSpaceDN/>
        <w:spacing w:before="100" w:beforeAutospacing="1" w:after="100" w:afterAutospacing="1" w:line="360" w:lineRule="auto"/>
        <w:jc w:val="center"/>
        <w:rPr>
          <w:b/>
          <w:bCs/>
        </w:rPr>
      </w:pPr>
      <w:r>
        <w:rPr>
          <w:b/>
          <w:bCs/>
        </w:rPr>
        <w:t>PRONUNCIAMIENTO RESPECTO A LOS ARGUMENTOS.</w:t>
      </w:r>
    </w:p>
    <w:p w14:paraId="0D6E9759" w14:textId="77777777" w:rsidR="00592CF5" w:rsidRPr="00846982" w:rsidRDefault="00592CF5" w:rsidP="00592CF5">
      <w:pPr>
        <w:pStyle w:val="Prrafodelista"/>
        <w:widowControl/>
        <w:autoSpaceDE/>
        <w:autoSpaceDN/>
        <w:spacing w:before="100" w:beforeAutospacing="1" w:after="100" w:afterAutospacing="1" w:line="360" w:lineRule="auto"/>
        <w:ind w:left="1080"/>
        <w:rPr>
          <w:b/>
          <w:bCs/>
        </w:rPr>
      </w:pPr>
    </w:p>
    <w:p w14:paraId="4E0C394B" w14:textId="40AB6C24" w:rsidR="00B50FE8" w:rsidRPr="007376D7" w:rsidRDefault="00F179BA" w:rsidP="007376D7">
      <w:pPr>
        <w:pStyle w:val="Prrafodelista"/>
        <w:widowControl/>
        <w:numPr>
          <w:ilvl w:val="0"/>
          <w:numId w:val="10"/>
        </w:numPr>
        <w:autoSpaceDE/>
        <w:autoSpaceDN/>
        <w:spacing w:before="100" w:beforeAutospacing="1" w:after="100" w:afterAutospacing="1" w:line="360" w:lineRule="auto"/>
        <w:jc w:val="both"/>
        <w:rPr>
          <w:b/>
          <w:bCs/>
        </w:rPr>
      </w:pPr>
      <w:r w:rsidRPr="007376D7">
        <w:rPr>
          <w:b/>
          <w:bCs/>
        </w:rPr>
        <w:t>SOBRE LA SUPUESTA IMPROCEDENCIA DE LA SENTENCIA ANTICIPADA POR EXISTIR PRUEBAS PENDIENTES POR PRACTICAR.</w:t>
      </w:r>
    </w:p>
    <w:p w14:paraId="5E47702E" w14:textId="33B8368A" w:rsidR="00860761" w:rsidRDefault="10A0CFFC">
      <w:pPr>
        <w:spacing w:line="360" w:lineRule="auto"/>
        <w:jc w:val="both"/>
      </w:pPr>
      <w:r>
        <w:t xml:space="preserve">La afirmación de la parte actora en cuanto a que el debate probatorio no se encuentra cerrado y que, por ende, resulta improcedente la figura de la sentencia anticipada, carece de fundamento en </w:t>
      </w:r>
      <w:r>
        <w:lastRenderedPageBreak/>
        <w:t xml:space="preserve">el caso concreto. Si bien </w:t>
      </w:r>
      <w:r w:rsidR="5C451D03">
        <w:t xml:space="preserve">dicho extremo </w:t>
      </w:r>
      <w:r>
        <w:t xml:space="preserve">solicitó la práctica de ciertas pruebas, lo cierto es que </w:t>
      </w:r>
      <w:r w:rsidR="1DC54DA4">
        <w:t xml:space="preserve">efectivamente la figura de la sentencia anticipada se consagró con el fin de que el juzgador pudiera resolver de manera pronta, aquellos debates en donde se encuentre patente cualquiera de las causales </w:t>
      </w:r>
      <w:r w:rsidR="30A00C39">
        <w:t>previstas</w:t>
      </w:r>
      <w:r w:rsidR="1DC54DA4">
        <w:t xml:space="preserve"> en el artí</w:t>
      </w:r>
      <w:r w:rsidR="4B38B64A">
        <w:t>culo</w:t>
      </w:r>
      <w:r w:rsidR="2CC192E7">
        <w:t xml:space="preserve"> 278del CGP, entre ellas</w:t>
      </w:r>
      <w:r w:rsidR="4B38B64A">
        <w:t xml:space="preserve"> </w:t>
      </w:r>
      <w:r>
        <w:t>la configuración de la prescripción</w:t>
      </w:r>
      <w:r w:rsidR="70B557FF">
        <w:t>, la cual sin mayor asomo de duda</w:t>
      </w:r>
      <w:r>
        <w:t xml:space="preserve"> se desprende de los propios hechos narrados en la demanda, así como de los documentos obrantes en el expediente.</w:t>
      </w:r>
    </w:p>
    <w:p w14:paraId="16A32E9B" w14:textId="77777777" w:rsidR="00860761" w:rsidRPr="00860761" w:rsidRDefault="00860761" w:rsidP="00860761">
      <w:pPr>
        <w:spacing w:line="360" w:lineRule="auto"/>
        <w:jc w:val="both"/>
      </w:pPr>
    </w:p>
    <w:p w14:paraId="6246FC62" w14:textId="73C010E8" w:rsidR="002C64F2" w:rsidRDefault="69F132BA" w:rsidP="00860761">
      <w:pPr>
        <w:spacing w:line="360" w:lineRule="auto"/>
        <w:jc w:val="both"/>
      </w:pPr>
      <w:r>
        <w:t xml:space="preserve">En el auto objeto de inconformidad, el Despacho </w:t>
      </w:r>
      <w:r w:rsidR="66728BB2">
        <w:t>considera</w:t>
      </w:r>
      <w:r>
        <w:t xml:space="preserve"> que, en el presente caso, se configuró </w:t>
      </w:r>
      <w:r w:rsidR="3E457A8E">
        <w:t xml:space="preserve">uno de los presupuestos del numeral 3 del </w:t>
      </w:r>
      <w:r w:rsidR="002C64F2">
        <w:t>artículo</w:t>
      </w:r>
      <w:r w:rsidR="3E457A8E">
        <w:t xml:space="preserve"> 278 del CGP, por lo que a su juicio es prudente proferir sentencia anticipada. Aunque, claro está en dicha providencia no se advierten los motivos de lo que se</w:t>
      </w:r>
      <w:r w:rsidR="5B7114D0">
        <w:t xml:space="preserve">rá la futura sentencia, cabe precisar </w:t>
      </w:r>
      <w:r w:rsidR="66864E20">
        <w:t>que,</w:t>
      </w:r>
      <w:r w:rsidR="5B7114D0">
        <w:t xml:space="preserve"> desde la contestación a la demanda, esta representación dejó claros los hitos </w:t>
      </w:r>
      <w:r w:rsidR="7B6A3822">
        <w:t xml:space="preserve">temporales </w:t>
      </w:r>
      <w:r w:rsidR="0CE94F42">
        <w:t xml:space="preserve">para la declaratoria de la </w:t>
      </w:r>
      <w:r>
        <w:t xml:space="preserve">prescripción ordinaria de las acciones derivadas del contrato de seguro, conforme a lo dispuesto en el artículo 1081 del Código de Comercio. En efecto, </w:t>
      </w:r>
      <w:r w:rsidR="547C3D4B">
        <w:t xml:space="preserve">bajo los hechos que rodena el caso, </w:t>
      </w:r>
      <w:r>
        <w:t xml:space="preserve">el término </w:t>
      </w:r>
      <w:r w:rsidR="421BE3A9">
        <w:t xml:space="preserve">extintivo aplicable es el </w:t>
      </w:r>
      <w:r>
        <w:t>bienal</w:t>
      </w:r>
      <w:r w:rsidR="6880E39A">
        <w:t xml:space="preserve"> y no el </w:t>
      </w:r>
      <w:r w:rsidR="5360A6D8">
        <w:t>extraordinario</w:t>
      </w:r>
      <w:r w:rsidR="6880E39A">
        <w:t xml:space="preserve"> como sostiene el extremo demandante; así las cosas, los dos años con los que contaba la demandante para accionar</w:t>
      </w:r>
      <w:r>
        <w:t xml:space="preserve"> comenz</w:t>
      </w:r>
      <w:r w:rsidR="64BF04A4">
        <w:t>aron</w:t>
      </w:r>
      <w:r>
        <w:t xml:space="preserve"> a contarse desde el 12 de septiembre de 2019, fecha en la cual se realizó la </w:t>
      </w:r>
      <w:r w:rsidR="43409957">
        <w:t xml:space="preserve">notificación de la </w:t>
      </w:r>
      <w:r>
        <w:t xml:space="preserve">calificación de pérdida de capacidad laboral del 99,9 % a la señora Martha Yolanda Serrano. A partir de dicha fecha </w:t>
      </w:r>
      <w:r w:rsidR="7489D6D8">
        <w:t xml:space="preserve">que constituye el hecho que da base a la acción, </w:t>
      </w:r>
      <w:r>
        <w:t>se computó el término legal para ejercer las acciones correspondientes; no obstante, al no haberse iniciado actuación alguna dentro del plazo previsto, la prescripción se materializó el 12 de septiembre de 2021.</w:t>
      </w:r>
    </w:p>
    <w:p w14:paraId="67FFD0B4" w14:textId="77777777" w:rsidR="004A5658" w:rsidRDefault="004A5658" w:rsidP="00860761">
      <w:pPr>
        <w:spacing w:line="360" w:lineRule="auto"/>
        <w:jc w:val="both"/>
      </w:pPr>
    </w:p>
    <w:p w14:paraId="014F1D75" w14:textId="003A194F" w:rsidR="004D3EBE" w:rsidRDefault="7920F324" w:rsidP="00860761">
      <w:pPr>
        <w:spacing w:line="360" w:lineRule="auto"/>
        <w:jc w:val="both"/>
      </w:pPr>
      <w:r>
        <w:t>E</w:t>
      </w:r>
      <w:r w:rsidR="7790A3AB">
        <w:t>n definitiva, no existe razón válida para afirmar que el debate probatorio permanece abierto o que resultaría necesaria la práctica de nuevas pruebas</w:t>
      </w:r>
      <w:r w:rsidR="1B492CB5">
        <w:t>, toda vez que l</w:t>
      </w:r>
      <w:r w:rsidR="7790A3AB">
        <w:t xml:space="preserve">a excepción de prescripción extintiva fue oportunamente propuesta y se encuentra plenamente configurada con base en hechos y documentos obrantes en el expediente, </w:t>
      </w:r>
      <w:r w:rsidR="3DD21001">
        <w:t xml:space="preserve"> </w:t>
      </w:r>
      <w:r w:rsidR="1B492CB5">
        <w:t>elementos más que suficientes para establecer, de manera objetiva, las fechas relevantes para el cómputo del término legal de la prescripción ordinaria, sin requerir actividad probatoria adicional.</w:t>
      </w:r>
    </w:p>
    <w:p w14:paraId="1D067DAE" w14:textId="1D104E2F" w:rsidR="00F179BA" w:rsidRDefault="00F179BA" w:rsidP="00216377">
      <w:pPr>
        <w:spacing w:line="360" w:lineRule="auto"/>
        <w:jc w:val="both"/>
      </w:pPr>
    </w:p>
    <w:p w14:paraId="2F671868" w14:textId="7470C693" w:rsidR="00F179BA" w:rsidRDefault="00216377" w:rsidP="00216377">
      <w:pPr>
        <w:pStyle w:val="Prrafodelista"/>
        <w:numPr>
          <w:ilvl w:val="0"/>
          <w:numId w:val="10"/>
        </w:numPr>
        <w:spacing w:line="360" w:lineRule="auto"/>
        <w:jc w:val="both"/>
        <w:rPr>
          <w:b/>
          <w:bCs/>
        </w:rPr>
      </w:pPr>
      <w:r w:rsidRPr="00216377">
        <w:rPr>
          <w:b/>
          <w:bCs/>
        </w:rPr>
        <w:lastRenderedPageBreak/>
        <w:t xml:space="preserve">SOBRE LA SUPUESTA INAPLICABILIDAD DEL TÉRMINO BIENAL DE PRESCRIPCIÓN POR TRATARSE DE UN SEGURO DE </w:t>
      </w:r>
      <w:r w:rsidR="005004C5">
        <w:rPr>
          <w:b/>
          <w:bCs/>
        </w:rPr>
        <w:t>VIDA</w:t>
      </w:r>
      <w:r w:rsidRPr="00216377">
        <w:rPr>
          <w:b/>
          <w:bCs/>
        </w:rPr>
        <w:t>.</w:t>
      </w:r>
    </w:p>
    <w:p w14:paraId="161A7B55" w14:textId="77777777" w:rsidR="00F678D1" w:rsidRPr="00216377" w:rsidRDefault="00F678D1" w:rsidP="00F678D1">
      <w:pPr>
        <w:pStyle w:val="Prrafodelista"/>
        <w:spacing w:line="360" w:lineRule="auto"/>
        <w:jc w:val="both"/>
        <w:rPr>
          <w:b/>
          <w:bCs/>
        </w:rPr>
      </w:pPr>
    </w:p>
    <w:p w14:paraId="21201B09" w14:textId="77777777" w:rsidR="00F179BA" w:rsidRPr="00F179BA" w:rsidRDefault="00F179BA" w:rsidP="00216377">
      <w:pPr>
        <w:spacing w:line="360" w:lineRule="auto"/>
        <w:jc w:val="both"/>
      </w:pPr>
      <w:r w:rsidRPr="00F179BA">
        <w:t>Contrario a lo afirmado por la parte actora, en este caso resulta plenamente aplicable el término de prescripción ordinaria de dos (2) años previsto en el artículo 1081 del Código de Comercio. Dicha norma establece que:</w:t>
      </w:r>
    </w:p>
    <w:p w14:paraId="47603DE8" w14:textId="77777777" w:rsidR="00F678D1" w:rsidRDefault="00F678D1" w:rsidP="00216377">
      <w:pPr>
        <w:spacing w:line="360" w:lineRule="auto"/>
        <w:jc w:val="both"/>
      </w:pPr>
    </w:p>
    <w:p w14:paraId="275AC1DB" w14:textId="77777777" w:rsidR="00B22D6D" w:rsidRPr="00B22D6D" w:rsidRDefault="00F678D1" w:rsidP="00B22D6D">
      <w:pPr>
        <w:spacing w:line="360" w:lineRule="auto"/>
        <w:ind w:left="851" w:right="851"/>
        <w:jc w:val="both"/>
        <w:rPr>
          <w:i/>
          <w:iCs/>
        </w:rPr>
      </w:pPr>
      <w:r w:rsidRPr="00B22D6D">
        <w:rPr>
          <w:i/>
          <w:iCs/>
        </w:rPr>
        <w:t>“ARTÍCULO 1081.</w:t>
      </w:r>
      <w:r w:rsidR="00B22D6D" w:rsidRPr="00B22D6D">
        <w:rPr>
          <w:i/>
          <w:iCs/>
        </w:rPr>
        <w:t xml:space="preserve"> </w:t>
      </w:r>
      <w:r w:rsidRPr="00B22D6D">
        <w:rPr>
          <w:i/>
          <w:iCs/>
        </w:rPr>
        <w:t xml:space="preserve">La prescripción de las acciones que se derivan del contrato de seguro o de las disposiciones que lo rigen podrá ser ordinaria o extraordinaria. </w:t>
      </w:r>
    </w:p>
    <w:p w14:paraId="229DFEBC" w14:textId="77777777" w:rsidR="00B22D6D" w:rsidRPr="00B22D6D" w:rsidRDefault="00B22D6D" w:rsidP="00B22D6D">
      <w:pPr>
        <w:spacing w:line="360" w:lineRule="auto"/>
        <w:ind w:left="851" w:right="851"/>
        <w:jc w:val="both"/>
        <w:rPr>
          <w:i/>
          <w:iCs/>
        </w:rPr>
      </w:pPr>
    </w:p>
    <w:p w14:paraId="63787782" w14:textId="77777777" w:rsidR="00B22D6D" w:rsidRPr="00B22D6D" w:rsidRDefault="00F678D1" w:rsidP="00B22D6D">
      <w:pPr>
        <w:spacing w:line="360" w:lineRule="auto"/>
        <w:ind w:left="851" w:right="851"/>
        <w:jc w:val="both"/>
        <w:rPr>
          <w:b/>
          <w:bCs/>
          <w:i/>
          <w:iCs/>
          <w:u w:val="single"/>
        </w:rPr>
      </w:pPr>
      <w:r w:rsidRPr="00B22D6D">
        <w:rPr>
          <w:b/>
          <w:bCs/>
          <w:i/>
          <w:iCs/>
          <w:u w:val="single"/>
        </w:rPr>
        <w:t xml:space="preserve">La prescripción ORDINARIA será de dos años y empezará a correr desde el momento en que el interesado haya tenido o debido tener conocimiento del hecho que da base a la acción. </w:t>
      </w:r>
    </w:p>
    <w:p w14:paraId="162A1ED9" w14:textId="77777777" w:rsidR="00B22D6D" w:rsidRPr="00B22D6D" w:rsidRDefault="00B22D6D" w:rsidP="00B22D6D">
      <w:pPr>
        <w:spacing w:line="360" w:lineRule="auto"/>
        <w:ind w:left="851" w:right="851"/>
        <w:jc w:val="both"/>
        <w:rPr>
          <w:i/>
          <w:iCs/>
        </w:rPr>
      </w:pPr>
    </w:p>
    <w:p w14:paraId="40F19291" w14:textId="1F8D98C2" w:rsidR="00F678D1" w:rsidRPr="00B22D6D" w:rsidRDefault="00F678D1" w:rsidP="00B22D6D">
      <w:pPr>
        <w:spacing w:line="360" w:lineRule="auto"/>
        <w:ind w:left="851" w:right="851"/>
        <w:jc w:val="both"/>
        <w:rPr>
          <w:i/>
          <w:iCs/>
        </w:rPr>
      </w:pPr>
      <w:r w:rsidRPr="00B22D6D">
        <w:rPr>
          <w:i/>
          <w:iCs/>
        </w:rPr>
        <w:t>La prescripción EXTRAORDINARIA será de cinco años, correrá contra toda clase de personas y empezará a contarse desde el momento en que nace el respectivo derecho. Estos términos no pueden ser modificados por las partes.” (Subrayado y negrilla fuera del texto original)</w:t>
      </w:r>
    </w:p>
    <w:p w14:paraId="5C85A67A" w14:textId="77777777" w:rsidR="00F678D1" w:rsidRDefault="00F678D1" w:rsidP="00216377">
      <w:pPr>
        <w:spacing w:line="360" w:lineRule="auto"/>
        <w:jc w:val="both"/>
      </w:pPr>
    </w:p>
    <w:p w14:paraId="62FA51F1" w14:textId="3DFF54FB" w:rsidR="005441CD" w:rsidRDefault="52949D66" w:rsidP="00216377">
      <w:pPr>
        <w:spacing w:line="360" w:lineRule="auto"/>
        <w:jc w:val="both"/>
      </w:pPr>
      <w:r>
        <w:t xml:space="preserve">En este punto, frente al argumento según el cual la prescripción ordinaria se aplicaría únicamente a los seguros de daños y la prescripción extraordinaria a los seguros de </w:t>
      </w:r>
      <w:r w:rsidR="156912DF">
        <w:t xml:space="preserve">personas, puntualmente a los seguros de </w:t>
      </w:r>
      <w:r>
        <w:t>vida en casos de invalidez o discapacidad permanente, carece de sustento legal. La regla general en materia de prescripción para todos los contratos de seguro, ya sean de daños o de personas, se rige según la norma en cita, que fija un término de dos (2) años para ejercer las acciones derivadas de dicha relación contractual, salvo disposición legal expresa en contrario.</w:t>
      </w:r>
    </w:p>
    <w:p w14:paraId="35EB8AB9" w14:textId="77777777" w:rsidR="005441CD" w:rsidRDefault="005441CD" w:rsidP="00216377">
      <w:pPr>
        <w:spacing w:line="360" w:lineRule="auto"/>
        <w:jc w:val="both"/>
      </w:pPr>
    </w:p>
    <w:p w14:paraId="22BBD655" w14:textId="1B1A4822" w:rsidR="00283AC2" w:rsidRDefault="00283AC2" w:rsidP="00216377">
      <w:pPr>
        <w:spacing w:line="360" w:lineRule="auto"/>
        <w:jc w:val="both"/>
      </w:pPr>
    </w:p>
    <w:p w14:paraId="3A9DA1B2" w14:textId="17E64E10" w:rsidR="00283AC2" w:rsidRDefault="00283AC2" w:rsidP="00216377">
      <w:pPr>
        <w:spacing w:line="360" w:lineRule="auto"/>
        <w:jc w:val="both"/>
      </w:pPr>
      <w:r>
        <w:t xml:space="preserve">Al respecto, La Corte Suprema de Justicia destacó la existencia de 2 tipos de prescripción en el ámbito de los seguros, la ordinaria, de naturaleza subjetiva, que considera el conocimiento del </w:t>
      </w:r>
      <w:r>
        <w:lastRenderedPageBreak/>
        <w:t>interesado sobre el hecho que origina la acción; y la extraordinaria, de carácter objetivo, que se cuenta desde el nacimiento del derecho, independientemente del conocimiento del interesado.</w:t>
      </w:r>
    </w:p>
    <w:p w14:paraId="3CDD654C" w14:textId="794D6BEA" w:rsidR="00283AC2" w:rsidRDefault="00283AC2" w:rsidP="00216377">
      <w:pPr>
        <w:spacing w:line="360" w:lineRule="auto"/>
        <w:jc w:val="both"/>
      </w:pPr>
    </w:p>
    <w:p w14:paraId="2A31E160" w14:textId="5B585D3D" w:rsidR="00283AC2" w:rsidRDefault="00283AC2" w:rsidP="00283AC2">
      <w:pPr>
        <w:spacing w:line="360" w:lineRule="auto"/>
        <w:ind w:left="851" w:right="851"/>
        <w:jc w:val="both"/>
        <w:rPr>
          <w:i/>
          <w:iCs/>
        </w:rPr>
      </w:pPr>
      <w:r w:rsidRPr="00283AC2">
        <w:rPr>
          <w:i/>
          <w:iCs/>
        </w:rPr>
        <w:t>"La prescripción de las acciones que se derivan del contrato de seguro puede ser ordinaria o extraordinaria; la primera es de dos años y empieza a correr desde el momento en que el interesado haya tenido o debido tener conocimiento del hecho que da base a la acción. La prescripción extraordinaria será de cinco años, correrá contra toda clase de personas y empezará a contarse desde el momento en que nace el respectivo derecho."</w:t>
      </w:r>
      <w:r w:rsidR="00EE26B9">
        <w:rPr>
          <w:rStyle w:val="Refdenotaalpie"/>
          <w:i/>
          <w:iCs/>
        </w:rPr>
        <w:footnoteReference w:id="1"/>
      </w:r>
    </w:p>
    <w:p w14:paraId="67FDE57E" w14:textId="77777777" w:rsidR="00421FDC" w:rsidRPr="00283AC2" w:rsidRDefault="00421FDC" w:rsidP="00283AC2">
      <w:pPr>
        <w:spacing w:line="360" w:lineRule="auto"/>
        <w:ind w:left="851" w:right="851"/>
        <w:jc w:val="both"/>
        <w:rPr>
          <w:i/>
          <w:iCs/>
        </w:rPr>
      </w:pPr>
    </w:p>
    <w:p w14:paraId="7EAFEF1F" w14:textId="27552BFD" w:rsidR="00421FDC" w:rsidRPr="00421FDC" w:rsidRDefault="00421FDC" w:rsidP="00421FDC">
      <w:pPr>
        <w:spacing w:line="360" w:lineRule="auto"/>
        <w:jc w:val="both"/>
      </w:pPr>
      <w:r w:rsidRPr="00421FDC">
        <w:t xml:space="preserve">En el presente asunto, la parte actora no acreditó ninguna circunstancia excepcional que hubiese impedido el ejercicio oportuno de la acción, como para justificar la aplicación del término de prescripción extraordinaria. Por el contrario, tuvo pleno conocimiento del hecho generador desde la fecha misma en que le fue practicada la calificación de pérdida de capacidad laboral, referida a su propio estado de salud, sobre el cual llevaba seguimiento médico continuo. No resulta admisible, entonces, pretender desconocer el momento en que se produjo la afectación cuando se trata de un hecho directamente experimentado. En consecuencia, el término de prescripción </w:t>
      </w:r>
      <w:r w:rsidR="00077D62">
        <w:t xml:space="preserve">aplicable al asunto es de la ordinaria el cual inicio a </w:t>
      </w:r>
      <w:r w:rsidRPr="00421FDC">
        <w:t>conta</w:t>
      </w:r>
      <w:r w:rsidR="00077D62">
        <w:t>bilizarse</w:t>
      </w:r>
      <w:r w:rsidRPr="00421FDC">
        <w:t xml:space="preserve"> desde </w:t>
      </w:r>
      <w:r w:rsidR="00077D62">
        <w:t>el instante en que se configuró el estado de invalidez.</w:t>
      </w:r>
    </w:p>
    <w:p w14:paraId="3930CD60" w14:textId="0A5B88E1" w:rsidR="0012297D" w:rsidRDefault="0012297D" w:rsidP="00216377">
      <w:pPr>
        <w:spacing w:line="360" w:lineRule="auto"/>
        <w:jc w:val="both"/>
      </w:pPr>
    </w:p>
    <w:p w14:paraId="103FCE34" w14:textId="3043A5E2" w:rsidR="007F4E88" w:rsidRDefault="004E7467" w:rsidP="007F4E88">
      <w:pPr>
        <w:spacing w:line="360" w:lineRule="auto"/>
        <w:jc w:val="both"/>
      </w:pPr>
      <w:r>
        <w:t>Cabe agregar que, aun en gracia de discusión, si se pretendiera aplicar el criterio objetivo de la prescripción extraordinaria, ello tampoco conllevaría a la prosperidad de las pretensiones de la parte actora</w:t>
      </w:r>
      <w:r w:rsidR="00795C35">
        <w:t xml:space="preserve">, toda vez que </w:t>
      </w:r>
      <w:r>
        <w:t xml:space="preserve">el amparo no se activa de manera automática con la sola ocurrencia del siniestro (esto es, la calificación de invalidez), sino que su operatividad está supeditada al cumplimiento de los requisitos de asegurabilidad y a la verificación de condiciones contractuales por parte de la compañía. En otras palabras, el derecho a reclamar la cobertura no nace por el simple hecho de haber sido calificada en estado de invalidez, máxime si en el presente asunto se </w:t>
      </w:r>
      <w:r>
        <w:lastRenderedPageBreak/>
        <w:t>ha alegado, además, la nulidad relativa del contrato con fundamento en la reticencia de la actora al momento de diligenciar la declaración de asegurabilidad.</w:t>
      </w:r>
    </w:p>
    <w:p w14:paraId="7EE041F4" w14:textId="77777777" w:rsidR="004E7467" w:rsidRDefault="004E7467" w:rsidP="007F4E88">
      <w:pPr>
        <w:spacing w:line="360" w:lineRule="auto"/>
        <w:jc w:val="both"/>
      </w:pPr>
    </w:p>
    <w:p w14:paraId="34FD680F" w14:textId="2E3FACFD" w:rsidR="007F4E88" w:rsidRDefault="007F4E88" w:rsidP="007F4E88">
      <w:pPr>
        <w:spacing w:line="360" w:lineRule="auto"/>
        <w:jc w:val="both"/>
      </w:pPr>
      <w:r w:rsidRPr="007F4E88">
        <w:t>En efecto, según las condiciones generales de la póliza, la obligación de la aseguradora surge únicamente cuando se acredita el cumplimiento de todos los requisitos estipulados para el reconocimiento de la cobertura. Por tanto, no puede sostenerse válidamente que el derecho de la actora nació de forma inmediata con la calificación de pérdida de capacidad laboral, ni mucho menos que ese hecho haya activado per se el término de prescripción extraordinaria.</w:t>
      </w:r>
    </w:p>
    <w:p w14:paraId="749ED276" w14:textId="77777777" w:rsidR="007F4E88" w:rsidRDefault="007F4E88" w:rsidP="00216377">
      <w:pPr>
        <w:spacing w:line="360" w:lineRule="auto"/>
        <w:jc w:val="both"/>
      </w:pPr>
    </w:p>
    <w:p w14:paraId="0AE5DB94" w14:textId="09218FAD" w:rsidR="009C188E" w:rsidRDefault="16D437C9" w:rsidP="00216377">
      <w:pPr>
        <w:spacing w:line="360" w:lineRule="auto"/>
        <w:jc w:val="both"/>
      </w:pPr>
      <w:r>
        <w:t xml:space="preserve">Previa aclaración, se itera que </w:t>
      </w:r>
      <w:r w:rsidR="1A650301">
        <w:t>l</w:t>
      </w:r>
      <w:r w:rsidR="7920F324">
        <w:t xml:space="preserve">a calificación de pérdida de capacidad laboral del 99,9 % fue realizada el 12 de septiembre de 2019, fecha desde la cual la demandante tenía conocimiento de su estado y, por ende, de la posibilidad de ejercer su derecho. </w:t>
      </w:r>
      <w:r w:rsidR="5B72ADA4">
        <w:t>Por tanto, d</w:t>
      </w:r>
      <w:r w:rsidR="7920F324">
        <w:t>esde ese momento comenzó a correr el término bienal, el cual se agotó el 12 de septiembre de 2021 sin que</w:t>
      </w:r>
      <w:r w:rsidR="5B72ADA4">
        <w:t xml:space="preserve"> al interior de dicho periodo</w:t>
      </w:r>
      <w:r w:rsidR="7920F324">
        <w:t xml:space="preserve"> se hubiese ejercido ninguna acción judicial. </w:t>
      </w:r>
    </w:p>
    <w:p w14:paraId="402722F4" w14:textId="2D7E8AC9" w:rsidR="0077721A" w:rsidRDefault="00F179BA" w:rsidP="0077721A">
      <w:pPr>
        <w:spacing w:line="360" w:lineRule="auto"/>
        <w:jc w:val="both"/>
      </w:pPr>
      <w:r w:rsidRPr="00F179BA">
        <w:t>En consecuencia, la posterior radicación de la demanda el 22 de septiembre de 2023 se efectuó cuando la acción ya estaba jurídicamente extinguida. No existe, entonces, fundamento alguno para pretender la aplicación del término quinquenal, pues no se acreditó impedimento para ejercer la acción en tiempo, ni resulta aplicable norma especial que desplace lo previsto en el artículo 1081 del Código de Comercio.</w:t>
      </w:r>
    </w:p>
    <w:p w14:paraId="60B87198" w14:textId="29319992" w:rsidR="00FB4D55" w:rsidRDefault="00FB4D55" w:rsidP="00FB4D55">
      <w:pPr>
        <w:pStyle w:val="Prrafodelista"/>
        <w:widowControl/>
        <w:numPr>
          <w:ilvl w:val="0"/>
          <w:numId w:val="1"/>
        </w:numPr>
        <w:autoSpaceDE/>
        <w:autoSpaceDN/>
        <w:spacing w:before="100" w:beforeAutospacing="1" w:after="100" w:afterAutospacing="1" w:line="360" w:lineRule="auto"/>
        <w:ind w:right="851"/>
        <w:jc w:val="center"/>
        <w:rPr>
          <w:b/>
          <w:bCs/>
        </w:rPr>
      </w:pPr>
      <w:r w:rsidRPr="00FB4D55">
        <w:rPr>
          <w:b/>
          <w:bCs/>
        </w:rPr>
        <w:t>PETICIÓN.</w:t>
      </w:r>
    </w:p>
    <w:p w14:paraId="11325F76" w14:textId="757CF417" w:rsidR="00FB4D55" w:rsidRPr="00FB4D55" w:rsidRDefault="56E275CC" w:rsidP="0DB2FC89">
      <w:pPr>
        <w:widowControl/>
        <w:autoSpaceDE/>
        <w:autoSpaceDN/>
        <w:spacing w:before="100" w:beforeAutospacing="1" w:after="100" w:afterAutospacing="1" w:line="360" w:lineRule="auto"/>
        <w:jc w:val="both"/>
        <w:rPr>
          <w:rFonts w:ascii="Arial" w:eastAsia="Times New Roman" w:hAnsi="Arial" w:cs="Arial"/>
          <w:lang w:eastAsia="es-CO"/>
        </w:rPr>
      </w:pPr>
      <w:r w:rsidRPr="0DB2FC89">
        <w:rPr>
          <w:rFonts w:ascii="Arial" w:eastAsia="Times New Roman" w:hAnsi="Arial" w:cs="Arial"/>
          <w:b/>
          <w:bCs/>
          <w:lang w:eastAsia="es-CO"/>
        </w:rPr>
        <w:t>PRIMERO.</w:t>
      </w:r>
      <w:r w:rsidRPr="0DB2FC89">
        <w:rPr>
          <w:rFonts w:ascii="Arial" w:eastAsia="Times New Roman" w:hAnsi="Arial" w:cs="Arial"/>
          <w:lang w:eastAsia="es-CO"/>
        </w:rPr>
        <w:t xml:space="preserve"> Que se </w:t>
      </w:r>
      <w:r w:rsidRPr="0DB2FC89">
        <w:rPr>
          <w:rFonts w:ascii="Arial" w:eastAsia="Times New Roman" w:hAnsi="Arial" w:cs="Arial"/>
          <w:b/>
          <w:bCs/>
          <w:lang w:eastAsia="es-CO"/>
        </w:rPr>
        <w:t xml:space="preserve">DESESTIME EL RECURSO DE </w:t>
      </w:r>
      <w:r w:rsidR="002C64F2" w:rsidRPr="0DB2FC89">
        <w:rPr>
          <w:rFonts w:ascii="Arial" w:eastAsia="Times New Roman" w:hAnsi="Arial" w:cs="Arial"/>
          <w:b/>
          <w:bCs/>
          <w:lang w:eastAsia="es-CO"/>
        </w:rPr>
        <w:t xml:space="preserve">REPOSICIÓN </w:t>
      </w:r>
      <w:r w:rsidR="002C64F2" w:rsidRPr="0DB2FC89">
        <w:rPr>
          <w:rFonts w:ascii="Arial" w:eastAsia="Times New Roman" w:hAnsi="Arial" w:cs="Arial"/>
          <w:lang w:eastAsia="es-CO"/>
        </w:rPr>
        <w:t>interpuesto</w:t>
      </w:r>
      <w:r w:rsidRPr="0DB2FC89">
        <w:rPr>
          <w:rFonts w:ascii="Arial" w:eastAsia="Times New Roman" w:hAnsi="Arial" w:cs="Arial"/>
          <w:lang w:eastAsia="es-CO"/>
        </w:rPr>
        <w:t xml:space="preserve"> por la parte actora contra el Auto Interlocutorio No. 559 del 18 de marzo de 2025, por medio del cual se </w:t>
      </w:r>
      <w:r w:rsidR="6B866898" w:rsidRPr="0DB2FC89">
        <w:rPr>
          <w:rFonts w:ascii="Arial" w:eastAsia="Times New Roman" w:hAnsi="Arial" w:cs="Arial"/>
          <w:lang w:eastAsia="es-CO"/>
        </w:rPr>
        <w:t xml:space="preserve">decidió ingresar el expediente al Despacho para efectos de </w:t>
      </w:r>
      <w:r w:rsidRPr="0DB2FC89">
        <w:rPr>
          <w:rFonts w:ascii="Arial" w:eastAsia="Times New Roman" w:hAnsi="Arial" w:cs="Arial"/>
          <w:lang w:eastAsia="es-CO"/>
        </w:rPr>
        <w:t>dictar sentencia anticipada con fundamento en el numeral 3º del artículo 278 del Código General del Proceso</w:t>
      </w:r>
      <w:r w:rsidR="3C41A006" w:rsidRPr="0DB2FC89">
        <w:rPr>
          <w:rFonts w:ascii="Arial" w:eastAsia="Times New Roman" w:hAnsi="Arial" w:cs="Arial"/>
          <w:lang w:eastAsia="es-CO"/>
        </w:rPr>
        <w:t xml:space="preserve"> y en consecuencia se mantenga en firma la decisión</w:t>
      </w:r>
    </w:p>
    <w:p w14:paraId="149AEB91" w14:textId="4FC685E3" w:rsidR="0DB2FC89" w:rsidRDefault="0DB2FC89" w:rsidP="0DB2FC89">
      <w:pPr>
        <w:widowControl/>
        <w:spacing w:beforeAutospacing="1" w:afterAutospacing="1" w:line="360" w:lineRule="auto"/>
        <w:jc w:val="both"/>
        <w:rPr>
          <w:rFonts w:ascii="Arial" w:eastAsia="Times New Roman" w:hAnsi="Arial" w:cs="Arial"/>
          <w:lang w:eastAsia="es-CO"/>
        </w:rPr>
      </w:pPr>
    </w:p>
    <w:p w14:paraId="6EDD3D85" w14:textId="4750DF76" w:rsidR="00FB4D55" w:rsidRPr="00FB4D55" w:rsidRDefault="56E275CC" w:rsidP="0DB2FC89">
      <w:pPr>
        <w:widowControl/>
        <w:autoSpaceDE/>
        <w:autoSpaceDN/>
        <w:spacing w:before="100" w:beforeAutospacing="1" w:after="100" w:afterAutospacing="1" w:line="360" w:lineRule="auto"/>
        <w:jc w:val="both"/>
        <w:rPr>
          <w:rFonts w:ascii="Arial" w:eastAsia="Times New Roman" w:hAnsi="Arial" w:cs="Arial"/>
          <w:lang w:eastAsia="es-CO"/>
        </w:rPr>
      </w:pPr>
      <w:r w:rsidRPr="0DB2FC89">
        <w:rPr>
          <w:rFonts w:ascii="Arial" w:eastAsia="Times New Roman" w:hAnsi="Arial" w:cs="Arial"/>
          <w:b/>
          <w:bCs/>
          <w:lang w:eastAsia="es-CO"/>
        </w:rPr>
        <w:lastRenderedPageBreak/>
        <w:t>SEGUNDO.</w:t>
      </w:r>
      <w:r w:rsidR="002C64F2">
        <w:rPr>
          <w:rFonts w:ascii="Arial" w:eastAsia="Times New Roman" w:hAnsi="Arial" w:cs="Arial"/>
          <w:lang w:eastAsia="es-CO"/>
        </w:rPr>
        <w:t xml:space="preserve"> </w:t>
      </w:r>
      <w:r w:rsidR="002C64F2">
        <w:rPr>
          <w:rStyle w:val="Textoennegrita"/>
        </w:rPr>
        <w:t>SEGUNDO.</w:t>
      </w:r>
      <w:r w:rsidR="002C64F2">
        <w:t xml:space="preserve"> Que se </w:t>
      </w:r>
      <w:r w:rsidR="002C64F2">
        <w:rPr>
          <w:rStyle w:val="Textoennegrita"/>
        </w:rPr>
        <w:t xml:space="preserve">RECHACE EL RECURSO DE APELACIÓN </w:t>
      </w:r>
      <w:r w:rsidR="002C64F2">
        <w:rPr>
          <w:rStyle w:val="Textoennegrita"/>
        </w:rPr>
        <w:t>interpuesto de manera subsidiaria</w:t>
      </w:r>
      <w:r w:rsidR="002C64F2">
        <w:t>, por cuanto el auto recurrido no es susceptible de dicho recurso, conforme a lo previsto en el artículo 321 del Código General del Proceso.</w:t>
      </w:r>
    </w:p>
    <w:p w14:paraId="1B902EAB" w14:textId="31D65800" w:rsidR="001156B7" w:rsidRDefault="001156B7" w:rsidP="00FB4D55">
      <w:pPr>
        <w:pStyle w:val="Prrafodelista"/>
        <w:widowControl/>
        <w:adjustRightInd w:val="0"/>
        <w:spacing w:line="360" w:lineRule="auto"/>
        <w:jc w:val="both"/>
        <w:rPr>
          <w:rFonts w:ascii="Arial" w:eastAsia="Times New Roman" w:hAnsi="Arial" w:cs="Arial"/>
          <w:lang w:eastAsia="es-CO"/>
        </w:rPr>
      </w:pPr>
    </w:p>
    <w:p w14:paraId="055B270C" w14:textId="77777777" w:rsidR="001156B7" w:rsidRPr="00F32917" w:rsidRDefault="001156B7" w:rsidP="00F23F46">
      <w:pPr>
        <w:widowControl/>
        <w:adjustRightInd w:val="0"/>
        <w:spacing w:line="360" w:lineRule="auto"/>
        <w:jc w:val="both"/>
        <w:rPr>
          <w:rFonts w:ascii="Arial" w:eastAsiaTheme="minorHAnsi" w:hAnsi="Arial" w:cs="Arial"/>
          <w:color w:val="000000"/>
        </w:rPr>
      </w:pPr>
      <w:r w:rsidRPr="00F32917">
        <w:rPr>
          <w:rFonts w:ascii="Arial" w:eastAsia="Times New Roman" w:hAnsi="Arial" w:cs="Arial"/>
          <w:lang w:eastAsia="es-CO"/>
        </w:rPr>
        <w:t>Atentamente,</w:t>
      </w:r>
    </w:p>
    <w:p w14:paraId="14F5B16F" w14:textId="77777777" w:rsidR="001156B7" w:rsidRPr="00F32917" w:rsidRDefault="001156B7" w:rsidP="00F23F46">
      <w:pPr>
        <w:spacing w:line="360" w:lineRule="auto"/>
        <w:ind w:left="568"/>
        <w:jc w:val="both"/>
        <w:rPr>
          <w:rFonts w:ascii="Arial" w:eastAsia="Arial" w:hAnsi="Arial" w:cs="Arial"/>
          <w:lang w:eastAsia="es-CO"/>
        </w:rPr>
      </w:pPr>
      <w:r w:rsidRPr="00F32917">
        <w:rPr>
          <w:rFonts w:ascii="Arial" w:eastAsia="Arial" w:hAnsi="Arial" w:cs="Arial"/>
          <w:noProof/>
          <w:lang w:eastAsia="es-CO"/>
        </w:rPr>
        <w:drawing>
          <wp:anchor distT="0" distB="0" distL="114300" distR="114300" simplePos="0" relativeHeight="251659264" behindDoc="1" locked="0" layoutInCell="1" allowOverlap="0" wp14:anchorId="60F2FA33" wp14:editId="647557DB">
            <wp:simplePos x="0" y="0"/>
            <wp:positionH relativeFrom="column">
              <wp:posOffset>127635</wp:posOffset>
            </wp:positionH>
            <wp:positionV relativeFrom="paragraph">
              <wp:posOffset>8890</wp:posOffset>
            </wp:positionV>
            <wp:extent cx="2141220" cy="1361440"/>
            <wp:effectExtent l="0" t="0" r="0" b="0"/>
            <wp:wrapNone/>
            <wp:docPr id="5996"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9"/>
                    <a:stretch>
                      <a:fillRect/>
                    </a:stretch>
                  </pic:blipFill>
                  <pic:spPr>
                    <a:xfrm>
                      <a:off x="0" y="0"/>
                      <a:ext cx="2141220" cy="1361440"/>
                    </a:xfrm>
                    <a:prstGeom prst="rect">
                      <a:avLst/>
                    </a:prstGeom>
                  </pic:spPr>
                </pic:pic>
              </a:graphicData>
            </a:graphic>
          </wp:anchor>
        </w:drawing>
      </w:r>
      <w:r w:rsidRPr="00F32917">
        <w:rPr>
          <w:rFonts w:ascii="Arial" w:eastAsia="Arial" w:hAnsi="Arial" w:cs="Arial"/>
          <w:lang w:eastAsia="es-CO"/>
        </w:rPr>
        <w:t xml:space="preserve"> </w:t>
      </w:r>
    </w:p>
    <w:p w14:paraId="30A49A09" w14:textId="77777777" w:rsidR="001156B7" w:rsidRPr="00F32917" w:rsidRDefault="001156B7" w:rsidP="00F23F46">
      <w:pPr>
        <w:spacing w:line="360" w:lineRule="auto"/>
        <w:ind w:left="568"/>
        <w:jc w:val="both"/>
        <w:rPr>
          <w:rFonts w:ascii="Arial" w:eastAsia="Arial" w:hAnsi="Arial" w:cs="Arial"/>
          <w:lang w:eastAsia="es-CO"/>
        </w:rPr>
      </w:pPr>
      <w:r w:rsidRPr="00F32917">
        <w:rPr>
          <w:rFonts w:ascii="Arial" w:eastAsia="Arial" w:hAnsi="Arial" w:cs="Arial"/>
          <w:lang w:eastAsia="es-CO"/>
        </w:rPr>
        <w:t xml:space="preserve"> </w:t>
      </w:r>
    </w:p>
    <w:p w14:paraId="35B61347" w14:textId="77777777" w:rsidR="001156B7" w:rsidRPr="00087B6A" w:rsidRDefault="001156B7" w:rsidP="00F23F46">
      <w:pPr>
        <w:spacing w:line="360" w:lineRule="auto"/>
        <w:rPr>
          <w:rFonts w:ascii="Arial" w:eastAsia="Arial" w:hAnsi="Arial" w:cs="Arial"/>
          <w:b/>
          <w:lang w:eastAsia="es-CO"/>
        </w:rPr>
      </w:pPr>
    </w:p>
    <w:p w14:paraId="250E53A0" w14:textId="77777777" w:rsidR="001156B7" w:rsidRPr="00087B6A" w:rsidRDefault="001156B7" w:rsidP="00F23F46">
      <w:pPr>
        <w:spacing w:line="360" w:lineRule="auto"/>
        <w:rPr>
          <w:rFonts w:ascii="Arial" w:eastAsia="Arial" w:hAnsi="Arial" w:cs="Arial"/>
          <w:lang w:eastAsia="es-CO"/>
        </w:rPr>
      </w:pPr>
      <w:r w:rsidRPr="00087B6A">
        <w:rPr>
          <w:rFonts w:ascii="Arial" w:eastAsia="Arial" w:hAnsi="Arial" w:cs="Arial"/>
          <w:bCs/>
          <w:lang w:eastAsia="es-CO"/>
        </w:rPr>
        <w:t>________________________________</w:t>
      </w:r>
    </w:p>
    <w:p w14:paraId="31AAE9E2" w14:textId="77777777" w:rsidR="001156B7" w:rsidRPr="00087B6A" w:rsidRDefault="001156B7" w:rsidP="00F23F46">
      <w:pPr>
        <w:spacing w:line="360" w:lineRule="auto"/>
        <w:rPr>
          <w:rFonts w:ascii="Arial" w:eastAsia="Arial" w:hAnsi="Arial" w:cs="Arial"/>
          <w:lang w:eastAsia="es-CO"/>
        </w:rPr>
      </w:pPr>
      <w:r w:rsidRPr="00087B6A">
        <w:rPr>
          <w:rFonts w:ascii="Arial" w:eastAsia="Arial" w:hAnsi="Arial" w:cs="Arial"/>
          <w:b/>
          <w:lang w:eastAsia="es-CO"/>
        </w:rPr>
        <w:t>GUSTAVO ALBERTO HERRERA ÁVILA</w:t>
      </w:r>
      <w:r w:rsidRPr="00087B6A">
        <w:rPr>
          <w:rFonts w:ascii="Arial" w:eastAsia="Arial" w:hAnsi="Arial" w:cs="Arial"/>
          <w:lang w:eastAsia="es-CO"/>
        </w:rPr>
        <w:t xml:space="preserve"> </w:t>
      </w:r>
    </w:p>
    <w:p w14:paraId="04DB44E4" w14:textId="77777777" w:rsidR="001156B7" w:rsidRPr="00087B6A" w:rsidRDefault="001156B7" w:rsidP="00F23F46">
      <w:pPr>
        <w:spacing w:line="360" w:lineRule="auto"/>
        <w:ind w:right="773"/>
        <w:jc w:val="both"/>
        <w:rPr>
          <w:rFonts w:ascii="Arial" w:eastAsia="Arial" w:hAnsi="Arial" w:cs="Arial"/>
          <w:lang w:eastAsia="es-CO"/>
        </w:rPr>
      </w:pPr>
      <w:r w:rsidRPr="00087B6A">
        <w:rPr>
          <w:rFonts w:ascii="Arial" w:eastAsia="Arial" w:hAnsi="Arial" w:cs="Arial"/>
          <w:lang w:eastAsia="es-CO"/>
        </w:rPr>
        <w:t>C.C. No. 19.395.114 expedida en Bogotá D.C.</w:t>
      </w:r>
    </w:p>
    <w:p w14:paraId="6AEEA4BC" w14:textId="77777777" w:rsidR="001156B7" w:rsidRPr="00087B6A" w:rsidRDefault="001156B7" w:rsidP="00F23F46">
      <w:pPr>
        <w:tabs>
          <w:tab w:val="left" w:pos="851"/>
        </w:tabs>
        <w:spacing w:line="360" w:lineRule="auto"/>
        <w:ind w:right="50"/>
        <w:rPr>
          <w:rFonts w:ascii="Arial" w:eastAsia="Arial" w:hAnsi="Arial" w:cs="Arial"/>
          <w:lang w:eastAsia="es-CO"/>
        </w:rPr>
      </w:pPr>
      <w:r w:rsidRPr="00087B6A">
        <w:rPr>
          <w:rFonts w:ascii="Arial" w:eastAsia="Arial" w:hAnsi="Arial" w:cs="Arial"/>
          <w:lang w:eastAsia="es-CO"/>
        </w:rPr>
        <w:t>T. P. No. 39.116 del C. S. de la J.</w:t>
      </w:r>
    </w:p>
    <w:p w14:paraId="6032AC31" w14:textId="77777777" w:rsidR="001156B7" w:rsidRPr="00087B6A" w:rsidRDefault="001156B7" w:rsidP="00F23F46">
      <w:pPr>
        <w:spacing w:line="360" w:lineRule="auto"/>
        <w:rPr>
          <w:rFonts w:ascii="Arial" w:hAnsi="Arial" w:cs="Arial"/>
        </w:rPr>
      </w:pPr>
    </w:p>
    <w:p w14:paraId="1304C339" w14:textId="77777777" w:rsidR="001156B7" w:rsidRPr="00087B6A" w:rsidRDefault="001156B7" w:rsidP="00F23F46">
      <w:pPr>
        <w:spacing w:line="360" w:lineRule="auto"/>
        <w:rPr>
          <w:rFonts w:ascii="Arial" w:hAnsi="Arial" w:cs="Arial"/>
        </w:rPr>
      </w:pPr>
    </w:p>
    <w:p w14:paraId="38C21901" w14:textId="77777777" w:rsidR="001156B7" w:rsidRPr="00087B6A" w:rsidRDefault="001156B7" w:rsidP="00F23F46">
      <w:pPr>
        <w:spacing w:line="360" w:lineRule="auto"/>
        <w:rPr>
          <w:rFonts w:ascii="Arial" w:hAnsi="Arial" w:cs="Arial"/>
        </w:rPr>
      </w:pPr>
    </w:p>
    <w:p w14:paraId="09461727" w14:textId="77777777" w:rsidR="001156B7" w:rsidRDefault="001156B7" w:rsidP="00F23F46">
      <w:pPr>
        <w:spacing w:line="360" w:lineRule="auto"/>
      </w:pPr>
    </w:p>
    <w:p w14:paraId="6590FC14" w14:textId="77777777" w:rsidR="00BB7D53" w:rsidRDefault="00BB7D53" w:rsidP="00F23F46">
      <w:pPr>
        <w:spacing w:line="360" w:lineRule="auto"/>
      </w:pPr>
    </w:p>
    <w:sectPr w:rsidR="00BB7D53" w:rsidSect="006B018A">
      <w:headerReference w:type="default" r:id="rId10"/>
      <w:footerReference w:type="default" r:id="rId11"/>
      <w:pgSz w:w="12240" w:h="15840" w:code="1"/>
      <w:pgMar w:top="2410" w:right="1304" w:bottom="2410"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60F4" w14:textId="77777777" w:rsidR="008633B8" w:rsidRDefault="008633B8">
      <w:r>
        <w:separator/>
      </w:r>
    </w:p>
  </w:endnote>
  <w:endnote w:type="continuationSeparator" w:id="0">
    <w:p w14:paraId="1A737418" w14:textId="77777777" w:rsidR="008633B8" w:rsidRDefault="0086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8872" w14:textId="77777777" w:rsidR="00826749" w:rsidRDefault="008729AE" w:rsidP="008A1FE6">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2ACC6E78" wp14:editId="7FB6CAC1">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B86AE4" w14:textId="77777777" w:rsidR="00826749" w:rsidRPr="004A356B" w:rsidRDefault="008729AE" w:rsidP="008A1FE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w:t>
                          </w:r>
                          <w:r>
                            <w:rPr>
                              <w:rFonts w:ascii="Raleway" w:hAnsi="Raleway"/>
                              <w:color w:val="11213B"/>
                              <w:w w:val="105"/>
                              <w:sz w:val="14"/>
                              <w:szCs w:val="14"/>
                            </w:rPr>
                            <w:t>–</w:t>
                          </w:r>
                          <w:r w:rsidRPr="004A356B">
                            <w:rPr>
                              <w:rFonts w:ascii="Raleway" w:hAnsi="Raleway"/>
                              <w:color w:val="11213B"/>
                              <w:w w:val="105"/>
                              <w:sz w:val="14"/>
                              <w:szCs w:val="14"/>
                            </w:rPr>
                            <w:t xml:space="preserve"> Av</w:t>
                          </w:r>
                          <w:r>
                            <w:rPr>
                              <w:rFonts w:ascii="Raleway" w:hAnsi="Raleway"/>
                              <w:color w:val="11213B"/>
                              <w:w w:val="105"/>
                              <w:sz w:val="14"/>
                              <w:szCs w:val="14"/>
                            </w:rPr>
                            <w:t>.</w:t>
                          </w:r>
                          <w:r w:rsidRPr="004A356B">
                            <w:rPr>
                              <w:rFonts w:ascii="Raleway" w:hAnsi="Raleway"/>
                              <w:color w:val="11213B"/>
                              <w:w w:val="105"/>
                              <w:sz w:val="14"/>
                              <w:szCs w:val="14"/>
                            </w:rPr>
                            <w:t xml:space="preserve"> 6A Bis #35N-100, Of</w:t>
                          </w:r>
                          <w:r>
                            <w:rPr>
                              <w:rFonts w:ascii="Raleway" w:hAnsi="Raleway"/>
                              <w:color w:val="11213B"/>
                              <w:w w:val="105"/>
                              <w:sz w:val="14"/>
                              <w:szCs w:val="14"/>
                            </w:rPr>
                            <w:t>icina</w:t>
                          </w:r>
                          <w:r w:rsidRPr="004A356B">
                            <w:rPr>
                              <w:rFonts w:ascii="Raleway" w:hAnsi="Raleway"/>
                              <w:color w:val="11213B"/>
                              <w:w w:val="105"/>
                              <w:sz w:val="14"/>
                              <w:szCs w:val="14"/>
                            </w:rPr>
                            <w:t xml:space="preserve">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31E969BF" w14:textId="77777777" w:rsidR="00826749" w:rsidRPr="004A356B" w:rsidRDefault="008729AE" w:rsidP="008A1FE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5EDECBA">
            <v:rect id="Rectángulo 799899045" style="position:absolute;margin-left:142.5pt;margin-top:682.95pt;width:214.75pt;height:57.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2ACC6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GFmlQIAAHkFAAAOAAAAZHJzL2Uyb0RvYy54bWysVEtu2zAQ3RfoHQjuG8mf1LEQOTASpCgQ&#10;JEaSImuaIi0BFIclaUvubXqWXqxDSpbdJOiiqBf0fN98NDOXV22tyE5YV4HO6egspURoDkWlNzn9&#10;9nz76YIS55kumAItcroXjl4tPn64bEwmxlCCKoQlCKJd1piclt6bLEkcL0XN3BkYoVEpwdbMI2s3&#10;SWFZg+i1SsZp+jlpwBbGAhfOofSmU9JFxJdScP8gpROeqJxibj6+Nr7r8CaLS5ZtLDNlxfs02D9k&#10;UbNKY9AB6oZ5Rra2egNVV9yCA+nPONQJSFlxEWvAakbpq2qeSmZErAWb48zQJvf/YPn9bmVJVeR0&#10;Np9fzOfp9JwSzWr8VI/YvF8/9WargByV2LDGuAz9nszK9pxDMlTfSluHf6yLtLHJ+6HJovWEo3A8&#10;G88mY4zCUTebTKZII0xy9DbW+S8CahKInFrMI/aW7e6c70wPJiGYhttKKZSzTOk/BIgZJElIuEsx&#10;Un6vRGf9KCTWHpKKAeLUiWtlyY7hvDDOhfajTlWyQnTi8xR/fcqDRyxAaQQMyBITGrB7gDDRb7G7&#10;cnr74Cri0A7O6d8S65wHjxgZtB+c60qDfQ9AYVV95M7+0KSuNaFLvl23aBLINRR7HBIL3fY4w28r&#10;/DJ3zPkVs7guuFh4AvwDPlJBk1PoKUpKsD/ekwd7nGLUUtLg+uXUfd8yKyhRXzXO93w0nYZ9jcz0&#10;fDZGxp5q1qcava2vAb/YCI+N4ZEM9l4dSGmhfsFLsQxRUcU0x9g55d4emGvfnQW8NVwsl9EMd9Qw&#10;f6efDA/gocFh8p7bF2ZNP54eB/seDqvKsldT2tkGTw3LrQdZxRE+9rVvPe53nKH+FoUDcspHq+PF&#10;XPwGAAD//wMAUEsDBBQABgAIAAAAIQARb20/4gAAAA0BAAAPAAAAZHJzL2Rvd25yZXYueG1sTI/N&#10;TsMwEITvSLyDtUjcqJOSlBDiVICEEOoB0Za7Y7tJRLyOYuenb89yKsedGc1+U2wX27HJDL51KCBe&#10;RcAMKqdbrAUcD293GTAfJGrZOTQCzsbDtry+KmSu3YxfZtqHmlEJ+lwKaELoc869aoyVfuV6g+Sd&#10;3GBloHOouR7kTOW24+so2nArW6QPjezNa2PUz360Ar7d6WW2qsKP6fzZju+7QalsJ8TtzfL8BCyY&#10;JVzC8IdP6FASU+VG1J51AtZZSlsCGfeb9BEYRR7iJAVWkZRkcQK8LPj/FeUvAAAA//8DAFBLAQIt&#10;ABQABgAIAAAAIQC2gziS/gAAAOEBAAATAAAAAAAAAAAAAAAAAAAAAABbQ29udGVudF9UeXBlc10u&#10;eG1sUEsBAi0AFAAGAAgAAAAhADj9If/WAAAAlAEAAAsAAAAAAAAAAAAAAAAALwEAAF9yZWxzLy5y&#10;ZWxzUEsBAi0AFAAGAAgAAAAhAHwIYWaVAgAAeQUAAA4AAAAAAAAAAAAAAAAALgIAAGRycy9lMm9E&#10;b2MueG1sUEsBAi0AFAAGAAgAAAAhABFvbT/iAAAADQEAAA8AAAAAAAAAAAAAAAAA7wQAAGRycy9k&#10;b3ducmV2LnhtbFBLBQYAAAAABAAEAPMAAAD+BQAAAAA=&#10;">
              <v:textbox>
                <w:txbxContent>
                  <w:p w:rsidRPr="004A356B" w:rsidR="00826749" w:rsidP="008A1FE6" w:rsidRDefault="008729AE" w14:paraId="7CFE0451"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w:t>
                    </w:r>
                    <w:r>
                      <w:rPr>
                        <w:rFonts w:ascii="Raleway" w:hAnsi="Raleway"/>
                        <w:color w:val="11213B"/>
                        <w:w w:val="105"/>
                        <w:sz w:val="14"/>
                        <w:szCs w:val="14"/>
                      </w:rPr>
                      <w:t>–</w:t>
                    </w:r>
                    <w:r w:rsidRPr="004A356B">
                      <w:rPr>
                        <w:rFonts w:ascii="Raleway" w:hAnsi="Raleway"/>
                        <w:color w:val="11213B"/>
                        <w:w w:val="105"/>
                        <w:sz w:val="14"/>
                        <w:szCs w:val="14"/>
                      </w:rPr>
                      <w:t xml:space="preserve"> Av</w:t>
                    </w:r>
                    <w:r>
                      <w:rPr>
                        <w:rFonts w:ascii="Raleway" w:hAnsi="Raleway"/>
                        <w:color w:val="11213B"/>
                        <w:w w:val="105"/>
                        <w:sz w:val="14"/>
                        <w:szCs w:val="14"/>
                      </w:rPr>
                      <w:t>.</w:t>
                    </w:r>
                    <w:r w:rsidRPr="004A356B">
                      <w:rPr>
                        <w:rFonts w:ascii="Raleway" w:hAnsi="Raleway"/>
                        <w:color w:val="11213B"/>
                        <w:w w:val="105"/>
                        <w:sz w:val="14"/>
                        <w:szCs w:val="14"/>
                      </w:rPr>
                      <w:t xml:space="preserve"> 6A Bis #35N-100, Of</w:t>
                    </w:r>
                    <w:r>
                      <w:rPr>
                        <w:rFonts w:ascii="Raleway" w:hAnsi="Raleway"/>
                        <w:color w:val="11213B"/>
                        <w:w w:val="105"/>
                        <w:sz w:val="14"/>
                        <w:szCs w:val="14"/>
                      </w:rPr>
                      <w:t>icina</w:t>
                    </w:r>
                    <w:r w:rsidRPr="004A356B">
                      <w:rPr>
                        <w:rFonts w:ascii="Raleway" w:hAnsi="Raleway"/>
                        <w:color w:val="11213B"/>
                        <w:w w:val="105"/>
                        <w:sz w:val="14"/>
                        <w:szCs w:val="14"/>
                      </w:rPr>
                      <w:t xml:space="preserve"> 212, Cali, Valle del Cauca, Centro Empresarial Chipichape</w:t>
                    </w:r>
                    <w:r w:rsidRPr="004A356B">
                      <w:rPr>
                        <w:rFonts w:ascii="Raleway" w:hAnsi="Raleway"/>
                        <w:color w:val="11213B"/>
                        <w:w w:val="105"/>
                        <w:sz w:val="14"/>
                        <w:szCs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826749" w:rsidP="008A1FE6" w:rsidRDefault="008729AE" w14:paraId="72697990"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5408" behindDoc="1" locked="0" layoutInCell="1" allowOverlap="1" wp14:anchorId="228D542A" wp14:editId="22E28116">
          <wp:simplePos x="0" y="0"/>
          <wp:positionH relativeFrom="column">
            <wp:posOffset>4436110</wp:posOffset>
          </wp:positionH>
          <wp:positionV relativeFrom="paragraph">
            <wp:posOffset>-141605</wp:posOffset>
          </wp:positionV>
          <wp:extent cx="1466850" cy="905510"/>
          <wp:effectExtent l="0" t="0" r="0" b="8890"/>
          <wp:wrapNone/>
          <wp:docPr id="738818368" name="Imagen 73881836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61312" behindDoc="1" locked="0" layoutInCell="1" allowOverlap="1" wp14:anchorId="667EFAD0" wp14:editId="3068E4E4">
          <wp:simplePos x="0" y="0"/>
          <wp:positionH relativeFrom="column">
            <wp:posOffset>4491990</wp:posOffset>
          </wp:positionH>
          <wp:positionV relativeFrom="page">
            <wp:posOffset>11273790</wp:posOffset>
          </wp:positionV>
          <wp:extent cx="1466850" cy="905510"/>
          <wp:effectExtent l="0" t="0" r="0" b="8890"/>
          <wp:wrapNone/>
          <wp:docPr id="1493895797" name="Imagen 1493895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4321C4D0" wp14:editId="01882C12">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04DE56" w14:textId="77777777" w:rsidR="00826749" w:rsidRPr="004A356B" w:rsidRDefault="008729AE" w:rsidP="008A1FE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w:t>
                          </w:r>
                          <w:r>
                            <w:rPr>
                              <w:rFonts w:ascii="Raleway" w:hAnsi="Raleway"/>
                              <w:color w:val="11213B"/>
                              <w:w w:val="105"/>
                              <w:sz w:val="14"/>
                              <w:szCs w:val="14"/>
                            </w:rPr>
                            <w:t>–</w:t>
                          </w:r>
                          <w:r w:rsidRPr="004A356B">
                            <w:rPr>
                              <w:rFonts w:ascii="Raleway" w:hAnsi="Raleway"/>
                              <w:color w:val="11213B"/>
                              <w:w w:val="105"/>
                              <w:sz w:val="14"/>
                              <w:szCs w:val="14"/>
                            </w:rPr>
                            <w:t xml:space="preserve"> Av</w:t>
                          </w:r>
                          <w:r>
                            <w:rPr>
                              <w:rFonts w:ascii="Raleway" w:hAnsi="Raleway"/>
                              <w:color w:val="11213B"/>
                              <w:w w:val="105"/>
                              <w:sz w:val="14"/>
                              <w:szCs w:val="14"/>
                            </w:rPr>
                            <w:t>.</w:t>
                          </w:r>
                          <w:r w:rsidRPr="004A356B">
                            <w:rPr>
                              <w:rFonts w:ascii="Raleway" w:hAnsi="Raleway"/>
                              <w:color w:val="11213B"/>
                              <w:w w:val="105"/>
                              <w:sz w:val="14"/>
                              <w:szCs w:val="14"/>
                            </w:rPr>
                            <w:t xml:space="preserve"> 6A Bis #35N-100, Of</w:t>
                          </w:r>
                          <w:r>
                            <w:rPr>
                              <w:rFonts w:ascii="Raleway" w:hAnsi="Raleway"/>
                              <w:color w:val="11213B"/>
                              <w:w w:val="105"/>
                              <w:sz w:val="14"/>
                              <w:szCs w:val="14"/>
                            </w:rPr>
                            <w:t>icina</w:t>
                          </w:r>
                          <w:r w:rsidRPr="004A356B">
                            <w:rPr>
                              <w:rFonts w:ascii="Raleway" w:hAnsi="Raleway"/>
                              <w:color w:val="11213B"/>
                              <w:w w:val="105"/>
                              <w:sz w:val="14"/>
                              <w:szCs w:val="14"/>
                            </w:rPr>
                            <w:t xml:space="preserve">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AD286AC" w14:textId="77777777" w:rsidR="00826749" w:rsidRPr="004A356B" w:rsidRDefault="008729AE" w:rsidP="008A1FE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D620CCC">
            <v:rect id="Rectángulo 4"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7" filled="f" stroked="f" strokeweight="1pt" w14:anchorId="4321C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zHkAIAAHAFAAAOAAAAZHJzL2Uyb0RvYy54bWysVM1OGzEQvlfqO1i+l01CaNoVGxSBqCoh&#10;QEDF2fHa2ZVsj2s72U3fps/SF+vY3iwUUA9Vc3Ds+fnmZ7+Z07NeK7ITzrdgKjo9mlAiDIe6NZuK&#10;fnu4/PCJEh+YqZkCIyq6F56eLd+/O+1sKWbQgKqFIwhifNnZijYh2LIoPG+EZv4IrDColOA0C/h0&#10;m6J2rEN0rYrZZPKx6MDV1gEX3qP0IivpMuFLKXi4kdKLQFRFMbeQTpfOdTyL5SkrN47ZpuVDGuwf&#10;stCsNRh0hLpggZGta19B6ZY78CDDEQddgJQtF6kGrGY6eVHNfcOsSLVgc7wd2+T/Hyy/3t060tYV&#10;nVNimMZPdIdN+/XTbLYKyDw2qLO+RLt7e+uGl8drrLaXTsd/rIP0qan7samiD4SjcLaYLY5nJ5Rw&#10;1C2Oj+d4R5jiyds6H74I0CReKuowfuol2135kE0PJjGYgctWKZSzUpk/BIgZJUVMOKeYbmGvRLa+&#10;ExJrjUmlAIll4lw5smPID8a5MGGaVQ2rRRafTPA3pDx6pAKUQcCILDGhEXsAiAx+jZ3LGeyjq0gk&#10;HZ0nf0ssO48eKTKYMDrr1oB7C0BhVUPkbH9oUm5N7FLo133iQbKMkjXUe+SGgzw03vLLFj/QFfPh&#10;ljmcEpwnnPxwg4dU0FUUhhslDbgfb8mjPZIXtZR0OHUV9d+3zAlK1FeDtP48nc/jmKbH/GQxw4d7&#10;rlk/15itPgf8cFPcMZana7QP6nCVDvQjLohVjIoqZjjGrigP7vA4D3kb4IrhYrVKZjialoUrc295&#10;BI99jgR86B+ZswNLA/L7Gg4TysoXZM220dPAahtAtonJT30dvgCOdaLSsILi3nj+TlZPi3L5GwAA&#10;//8DAFBLAwQUAAYACAAAACEApcisSeAAAAANAQAADwAAAGRycy9kb3ducmV2LnhtbEyPS0/DMBCE&#10;70j8B2uRuFGHCJFH41SAhBDqAVHo3bHdJCJeR7bz6L9ne4Lb7s5o9ptqt9qBzcaH3qGA+00CzKBy&#10;usdWwPfX610OLESJWg4OjYCzCbCrr68qWWq34KeZD7FlFIKhlAK6GMeS86A6Y2XYuNEgaSfnrYy0&#10;+pZrLxcKtwNPk+SRW9kjfejkaF46o34OkxVwdKfnxaoG3+fzRz+97b1S+V6I25v1aQssmjX+meGC&#10;T+hQE1PjJtSBDQLSokjJSkKWXyayZGmeAWvoVCQPGfC64v9b1L8AAAD//wMAUEsBAi0AFAAGAAgA&#10;AAAhALaDOJL+AAAA4QEAABMAAAAAAAAAAAAAAAAAAAAAAFtDb250ZW50X1R5cGVzXS54bWxQSwEC&#10;LQAUAAYACAAAACEAOP0h/9YAAACUAQAACwAAAAAAAAAAAAAAAAAvAQAAX3JlbHMvLnJlbHNQSwEC&#10;LQAUAAYACAAAACEAqzq8x5ACAABwBQAADgAAAAAAAAAAAAAAAAAuAgAAZHJzL2Uyb0RvYy54bWxQ&#10;SwECLQAUAAYACAAAACEApcisSeAAAAANAQAADwAAAAAAAAAAAAAAAADqBAAAZHJzL2Rvd25yZXYu&#10;eG1sUEsFBgAAAAAEAAQA8wAAAPcFAAAAAA==&#10;">
              <v:textbox>
                <w:txbxContent>
                  <w:p w:rsidRPr="004A356B" w:rsidR="00826749" w:rsidP="008A1FE6" w:rsidRDefault="008729AE" w14:paraId="156C7214"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w:t>
                    </w:r>
                    <w:r>
                      <w:rPr>
                        <w:rFonts w:ascii="Raleway" w:hAnsi="Raleway"/>
                        <w:color w:val="11213B"/>
                        <w:w w:val="105"/>
                        <w:sz w:val="14"/>
                        <w:szCs w:val="14"/>
                      </w:rPr>
                      <w:t>–</w:t>
                    </w:r>
                    <w:r w:rsidRPr="004A356B">
                      <w:rPr>
                        <w:rFonts w:ascii="Raleway" w:hAnsi="Raleway"/>
                        <w:color w:val="11213B"/>
                        <w:w w:val="105"/>
                        <w:sz w:val="14"/>
                        <w:szCs w:val="14"/>
                      </w:rPr>
                      <w:t xml:space="preserve"> Av</w:t>
                    </w:r>
                    <w:r>
                      <w:rPr>
                        <w:rFonts w:ascii="Raleway" w:hAnsi="Raleway"/>
                        <w:color w:val="11213B"/>
                        <w:w w:val="105"/>
                        <w:sz w:val="14"/>
                        <w:szCs w:val="14"/>
                      </w:rPr>
                      <w:t>.</w:t>
                    </w:r>
                    <w:r w:rsidRPr="004A356B">
                      <w:rPr>
                        <w:rFonts w:ascii="Raleway" w:hAnsi="Raleway"/>
                        <w:color w:val="11213B"/>
                        <w:w w:val="105"/>
                        <w:sz w:val="14"/>
                        <w:szCs w:val="14"/>
                      </w:rPr>
                      <w:t xml:space="preserve"> 6A Bis #35N-100, Of</w:t>
                    </w:r>
                    <w:r>
                      <w:rPr>
                        <w:rFonts w:ascii="Raleway" w:hAnsi="Raleway"/>
                        <w:color w:val="11213B"/>
                        <w:w w:val="105"/>
                        <w:sz w:val="14"/>
                        <w:szCs w:val="14"/>
                      </w:rPr>
                      <w:t>icina</w:t>
                    </w:r>
                    <w:r w:rsidRPr="004A356B">
                      <w:rPr>
                        <w:rFonts w:ascii="Raleway" w:hAnsi="Raleway"/>
                        <w:color w:val="11213B"/>
                        <w:w w:val="105"/>
                        <w:sz w:val="14"/>
                        <w:szCs w:val="14"/>
                      </w:rPr>
                      <w:t xml:space="preserve"> 212, Cali, Valle del Cauca, Centro Empresarial Chipichape</w:t>
                    </w:r>
                    <w:r w:rsidRPr="004A356B">
                      <w:rPr>
                        <w:rFonts w:ascii="Raleway" w:hAnsi="Raleway"/>
                        <w:color w:val="11213B"/>
                        <w:w w:val="105"/>
                        <w:sz w:val="14"/>
                        <w:szCs w:val="14"/>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826749" w:rsidP="008A1FE6" w:rsidRDefault="008729AE" w14:paraId="2D7AB875"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9264" behindDoc="1" locked="0" layoutInCell="1" allowOverlap="1" wp14:anchorId="600F4D1C" wp14:editId="460E0935">
          <wp:simplePos x="0" y="0"/>
          <wp:positionH relativeFrom="page">
            <wp:align>left</wp:align>
          </wp:positionH>
          <wp:positionV relativeFrom="page">
            <wp:align>bottom</wp:align>
          </wp:positionV>
          <wp:extent cx="7767778" cy="1868509"/>
          <wp:effectExtent l="0" t="0" r="5080" b="0"/>
          <wp:wrapNone/>
          <wp:docPr id="582169523" name="Imagen 582169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E25F59" w14:textId="77777777" w:rsidR="00826749" w:rsidRDefault="008633B8" w:rsidP="008A1FE6">
    <w:pPr>
      <w:ind w:left="7080" w:firstLine="708"/>
      <w:rPr>
        <w:color w:val="222A35" w:themeColor="text2" w:themeShade="80"/>
      </w:rPr>
    </w:pPr>
  </w:p>
  <w:p w14:paraId="1C709C52" w14:textId="77777777" w:rsidR="00826749" w:rsidRDefault="008729AE" w:rsidP="008A1FE6">
    <w:pPr>
      <w:ind w:left="7080" w:firstLine="708"/>
      <w:rPr>
        <w:color w:val="222A35" w:themeColor="text2" w:themeShade="80"/>
      </w:rPr>
    </w:pPr>
    <w:r>
      <w:rPr>
        <w:noProof/>
      </w:rPr>
      <mc:AlternateContent>
        <mc:Choice Requires="wps">
          <w:drawing>
            <wp:anchor distT="0" distB="0" distL="114300" distR="114300" simplePos="0" relativeHeight="251666432" behindDoc="1" locked="0" layoutInCell="1" allowOverlap="1" wp14:anchorId="238419FC" wp14:editId="1DE5A952">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82132B" w14:textId="77777777" w:rsidR="00826749" w:rsidRPr="004A356B" w:rsidRDefault="008729AE" w:rsidP="008A1FE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sz w:val="20"/>
                              <w:szCs w:val="20"/>
                            </w:rPr>
                            <w:t>CSER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3B1AFCD">
            <v:rect id="Rectángulo 1508856763" style="position:absolute;left:0;text-align:left;margin-left:14.2pt;margin-top:730.6pt;width:65.8pt;height:31.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8" filled="f" stroked="f" strokeweight="1pt" w14:anchorId="238419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knAIAAIEFAAAOAAAAZHJzL2Uyb0RvYy54bWysVN1O2zAUvp+0d7B8P5K2tJSIFFVFTJMQ&#10;IGDi2nXsJpLj49luk+5t9ix7MY6dNHSAdjGtF6l9fj6fn++ci8u2VmQnrKtA53R0klIiNIei0puc&#10;fn+6/jKnxHmmC6ZAi5zuhaOXi8+fLhqTiTGUoAphCYJolzUmp6X3JksSx0tRM3cCRmhUSrA183i1&#10;m6SwrEH0WiXjNJ0lDdjCWODCOZRedUq6iPhSCu7vpHTCE5VTjM3Hr43fdfgmiwuWbSwzZcX7MNg/&#10;RFGzSuOjA9QV84xsbfUOqq64BQfSn3CoE5Cy4iLmgNmM0jfZPJbMiJgLFseZoUzu/8Hy2929JVWB&#10;vZum8/l0djabUKJZjb16wOr9/qU3WwXkSIsla4zL0PPR3Nv+5vAY8m+lrcM/ZkbaWOb9UGbResJR&#10;OJ9MZzNsBkfV5Hw2P5uGNiSvzsY6/1VATcIhpxbjiMVluxvnO9ODSXhLw3WlFMpZpvQfAsQMkiTE&#10;20UYT36vRGf9ICQmjzGN4wORdmKlLNkxJAzjXGg/6lQlK0Qnnqb460MePGICSiNgQJYY0IDdAwRK&#10;v8fu0untg6uIrB2c078F1jkPHvFl0H5wrisN9iMAhVn1L3f2hyJ1pQlV8u26jcQYB8sgWUOxR7JY&#10;6KbIGX5dYYNumPP3zOLYYE9xFfg7/EgFTU6hP1FSgv35kTzYI5tRS0mDY5hT92PLrKBEfdPI8/PR&#10;6WmY23g5nZ6N8WKPNetjjd7WK8DGjXDpGB6Pwd6rw1FaqJ9xYyzDq6himuPbOeXeHi4r360H3Dlc&#10;LJfRDGfVMH+jHw0P4KHOgYBP7TOzpmepR3rfwmFkWfaGrJ1t8NSw3HqQVWTya137DuCcRyr1Oyks&#10;kuN7tHrdnIsXAAAA//8DAFBLAwQUAAYACAAAACEAtvSuduAAAAAMAQAADwAAAGRycy9kb3ducmV2&#10;LnhtbEyPzU7DMBCE70i8g7VI3KjTUEIU4lSAhBDqAVHau2O7SUS8jmznp2/P9gS33Z3R7DfldrE9&#10;m4wPnUMB61UCzKByusNGwOH77S4HFqJELXuHRsDZBNhW11elLLSb8ctM+9gwCsFQSAFtjEPBeVCt&#10;sTKs3GCQtJPzVkZafcO1lzOF256nSZJxKzukD60czGtr1M9+tAKO7vQyW1Xjx3T+7Mb3nVcq3wlx&#10;e7M8PwGLZol/ZrjgEzpUxFS7EXVgvYA035CT7ptsnQK7OLKE2tU0PKT3j8Crkv8vUf0CAAD//wMA&#10;UEsBAi0AFAAGAAgAAAAhALaDOJL+AAAA4QEAABMAAAAAAAAAAAAAAAAAAAAAAFtDb250ZW50X1R5&#10;cGVzXS54bWxQSwECLQAUAAYACAAAACEAOP0h/9YAAACUAQAACwAAAAAAAAAAAAAAAAAvAQAAX3Jl&#10;bHMvLnJlbHNQSwECLQAUAAYACAAAACEAubs/pJwCAACBBQAADgAAAAAAAAAAAAAAAAAuAgAAZHJz&#10;L2Uyb0RvYy54bWxQSwECLQAUAAYACAAAACEAtvSuduAAAAAMAQAADwAAAAAAAAAAAAAAAAD2BAAA&#10;ZHJzL2Rvd25yZXYueG1sUEsFBgAAAAAEAAQA8wAAAAMGAAAAAA==&#10;">
              <v:textbox>
                <w:txbxContent>
                  <w:p w:rsidRPr="004A356B" w:rsidR="00826749" w:rsidP="008A1FE6" w:rsidRDefault="008729AE" w14:paraId="5864CF92" w14:textId="77777777">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sz w:val="20"/>
                        <w:szCs w:val="20"/>
                      </w:rPr>
                      <w:t>CSER</w:t>
                    </w:r>
                  </w:p>
                </w:txbxContent>
              </v:textbox>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0E9D814A" wp14:editId="4B75A6D5">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1CE286" w14:textId="77777777" w:rsidR="00826749" w:rsidRPr="004A356B" w:rsidRDefault="008729AE" w:rsidP="008A1FE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A5B272D">
            <v:rect id="Rectángulo 5" style="position:absolute;left:0;text-align:left;margin-left:15.7pt;margin-top:942.5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9" filled="f" stroked="f" strokeweight="1pt" w14:anchorId="0E9D81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zqlA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c7l98BcWOWgOhmxnv5FVFD3Qt&#10;fLgTSENCb0qDH27pow00OYf+xFkJ+POj+2hPvUtazhoaupz7HxuBijPzzVJXn46PjuKUJuFoejwh&#10;AV9rVq81dlNfAD3cmFaMk+kY7YPZHzVC/UT7YRmjkkpYSbFzLgPuhYvQLQPaMFItl8mMJtOJcG0f&#10;nIzgkefYgI/tk0DXd2mg9r6B/YCK+Ztm7Wyjp4XlJoCuUidHpjte+xegqU6t1G+guDZey8nqZU8u&#10;ngEAAP//AwBQSwMEFAAGAAgAAAAhALkw/ITfAAAADAEAAA8AAABkcnMvZG93bnJldi54bWxMj0tP&#10;wzAQhO9I/AdrkbhRp/RBCHEqQEII9YAocHfsbRIRr6PYefTfsz3BbXZ3NPtNvptdK0bsQ+NJwXKR&#10;gEAy3jZUKfj6fLlJQYSoyerWEyo4YYBdcXmR68z6iT5wPMRKcAiFTCuoY+wyKYOp0emw8B0S346+&#10;dzry2FfS9nricNfK2yTZSqcb4g+17vC5RvNzGJyCb398mpwp6W08vTfD6743Jt0rdX01Pz6AiDjH&#10;PzOc8RkdCmYq/UA2iFbBarlmJ+/TdMOlzo7tikXJ4n59twFZ5PJ/ieIXAAD//wMAUEsBAi0AFAAG&#10;AAgAAAAhALaDOJL+AAAA4QEAABMAAAAAAAAAAAAAAAAAAAAAAFtDb250ZW50X1R5cGVzXS54bWxQ&#10;SwECLQAUAAYACAAAACEAOP0h/9YAAACUAQAACwAAAAAAAAAAAAAAAAAvAQAAX3JlbHMvLnJlbHNQ&#10;SwECLQAUAAYACAAAACEATNqs6pQCAABvBQAADgAAAAAAAAAAAAAAAAAuAgAAZHJzL2Uyb0RvYy54&#10;bWxQSwECLQAUAAYACAAAACEAuTD8hN8AAAAMAQAADwAAAAAAAAAAAAAAAADuBAAAZHJzL2Rvd25y&#10;ZXYueG1sUEsFBgAAAAAEAAQA8wAAAPoFAAAAAA==&#10;">
              <v:textbox>
                <w:txbxContent>
                  <w:p w:rsidRPr="004A356B" w:rsidR="00826749" w:rsidP="008A1FE6" w:rsidRDefault="008729AE" w14:paraId="6744DCF1" w14:textId="77777777">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rPr>
                      <w:t>ANZA</w:t>
                    </w:r>
                  </w:p>
                </w:txbxContent>
              </v:textbox>
              <w10:wrap anchorx="page" anchory="page"/>
            </v:rect>
          </w:pict>
        </mc:Fallback>
      </mc:AlternateContent>
    </w:r>
  </w:p>
  <w:p w14:paraId="2729B81A" w14:textId="77777777" w:rsidR="00826749" w:rsidRDefault="008633B8" w:rsidP="008A1FE6">
    <w:pPr>
      <w:rPr>
        <w:color w:val="222A35" w:themeColor="text2" w:themeShade="80"/>
      </w:rPr>
    </w:pPr>
  </w:p>
  <w:p w14:paraId="06888DC6" w14:textId="77777777" w:rsidR="00826749" w:rsidRPr="00194DAC" w:rsidRDefault="008729AE" w:rsidP="008A1FE6">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p>
  <w:p w14:paraId="3FB38D9E" w14:textId="77777777" w:rsidR="00826749" w:rsidRDefault="008633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AA0E" w14:textId="77777777" w:rsidR="008633B8" w:rsidRDefault="008633B8">
      <w:r>
        <w:separator/>
      </w:r>
    </w:p>
  </w:footnote>
  <w:footnote w:type="continuationSeparator" w:id="0">
    <w:p w14:paraId="30B51825" w14:textId="77777777" w:rsidR="008633B8" w:rsidRDefault="008633B8">
      <w:r>
        <w:continuationSeparator/>
      </w:r>
    </w:p>
  </w:footnote>
  <w:footnote w:id="1">
    <w:p w14:paraId="248300EA" w14:textId="5D3896A4" w:rsidR="00EE26B9" w:rsidRPr="00EE26B9" w:rsidRDefault="00EE26B9">
      <w:pPr>
        <w:pStyle w:val="Textonotapie"/>
        <w:rPr>
          <w:lang w:val="es-ES"/>
        </w:rPr>
      </w:pPr>
      <w:r>
        <w:rPr>
          <w:rStyle w:val="Refdenotaalpie"/>
        </w:rPr>
        <w:footnoteRef/>
      </w:r>
      <w:r>
        <w:t xml:space="preserve"> Sentencia SC4904-2021 de la Corte Suprema de Justicia -Sala de Casación Civil.</w:t>
      </w:r>
      <w:r w:rsidR="0012297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D47B" w14:textId="77777777" w:rsidR="00826749" w:rsidRDefault="008729AE">
    <w:pPr>
      <w:pStyle w:val="Encabezado"/>
    </w:pPr>
    <w:r>
      <w:rPr>
        <w:noProof/>
        <w:color w:val="222A35" w:themeColor="text2" w:themeShade="80"/>
      </w:rPr>
      <w:drawing>
        <wp:anchor distT="0" distB="0" distL="114300" distR="114300" simplePos="0" relativeHeight="251660288" behindDoc="1" locked="0" layoutInCell="1" allowOverlap="1" wp14:anchorId="27586E47" wp14:editId="068B5870">
          <wp:simplePos x="0" y="0"/>
          <wp:positionH relativeFrom="column">
            <wp:posOffset>-242732</wp:posOffset>
          </wp:positionH>
          <wp:positionV relativeFrom="page">
            <wp:posOffset>456565</wp:posOffset>
          </wp:positionV>
          <wp:extent cx="2635250" cy="796925"/>
          <wp:effectExtent l="0" t="0" r="0" b="0"/>
          <wp:wrapNone/>
          <wp:docPr id="1586696092" name="Imagen 158669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2300E"/>
    <w:multiLevelType w:val="multilevel"/>
    <w:tmpl w:val="B0B23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B5760"/>
    <w:multiLevelType w:val="hybridMultilevel"/>
    <w:tmpl w:val="89CE400A"/>
    <w:lvl w:ilvl="0" w:tplc="2D989F1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F72BA2"/>
    <w:multiLevelType w:val="hybridMultilevel"/>
    <w:tmpl w:val="1602885C"/>
    <w:lvl w:ilvl="0" w:tplc="B19EB11A">
      <w:start w:val="1"/>
      <w:numFmt w:val="decimal"/>
      <w:lvlText w:val="%1."/>
      <w:lvlJc w:val="left"/>
      <w:pPr>
        <w:ind w:left="720" w:hanging="360"/>
      </w:pPr>
      <w:rPr>
        <w:rFonts w:ascii="Verdana" w:eastAsiaTheme="minorHAnsi" w:hAnsi="Verdana" w:cs="Verdana"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134C31"/>
    <w:multiLevelType w:val="multilevel"/>
    <w:tmpl w:val="9612B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63D86"/>
    <w:multiLevelType w:val="hybridMultilevel"/>
    <w:tmpl w:val="88A6AC06"/>
    <w:lvl w:ilvl="0" w:tplc="0A0CE50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D37137"/>
    <w:multiLevelType w:val="hybridMultilevel"/>
    <w:tmpl w:val="92206CF0"/>
    <w:lvl w:ilvl="0" w:tplc="F80478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6306DD"/>
    <w:multiLevelType w:val="multilevel"/>
    <w:tmpl w:val="ED2A1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8D766B"/>
    <w:multiLevelType w:val="hybridMultilevel"/>
    <w:tmpl w:val="091E0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BB6268"/>
    <w:multiLevelType w:val="hybridMultilevel"/>
    <w:tmpl w:val="D5605350"/>
    <w:lvl w:ilvl="0" w:tplc="CC08E46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7F429F3"/>
    <w:multiLevelType w:val="hybridMultilevel"/>
    <w:tmpl w:val="B75853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7"/>
  </w:num>
  <w:num w:numId="5">
    <w:abstractNumId w:val="5"/>
  </w:num>
  <w:num w:numId="6">
    <w:abstractNumId w:val="3"/>
  </w:num>
  <w:num w:numId="7">
    <w:abstractNumId w:val="0"/>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B7"/>
    <w:rsid w:val="00077D62"/>
    <w:rsid w:val="000D0AF6"/>
    <w:rsid w:val="000D5200"/>
    <w:rsid w:val="000F4767"/>
    <w:rsid w:val="001156B7"/>
    <w:rsid w:val="0012297D"/>
    <w:rsid w:val="001F1381"/>
    <w:rsid w:val="00216377"/>
    <w:rsid w:val="00217907"/>
    <w:rsid w:val="002277D1"/>
    <w:rsid w:val="00283AC2"/>
    <w:rsid w:val="002C64F2"/>
    <w:rsid w:val="00376DF2"/>
    <w:rsid w:val="003D00A1"/>
    <w:rsid w:val="00421FDC"/>
    <w:rsid w:val="004A5658"/>
    <w:rsid w:val="004D3EBE"/>
    <w:rsid w:val="004E7467"/>
    <w:rsid w:val="005004C5"/>
    <w:rsid w:val="005441CD"/>
    <w:rsid w:val="00554E1A"/>
    <w:rsid w:val="00592CF5"/>
    <w:rsid w:val="005C2ED7"/>
    <w:rsid w:val="006D507E"/>
    <w:rsid w:val="007376D7"/>
    <w:rsid w:val="00750B15"/>
    <w:rsid w:val="0077721A"/>
    <w:rsid w:val="00795C35"/>
    <w:rsid w:val="007B6FB8"/>
    <w:rsid w:val="007C7850"/>
    <w:rsid w:val="007F4E88"/>
    <w:rsid w:val="00846982"/>
    <w:rsid w:val="00860761"/>
    <w:rsid w:val="008633B8"/>
    <w:rsid w:val="008729AE"/>
    <w:rsid w:val="009054ED"/>
    <w:rsid w:val="00925517"/>
    <w:rsid w:val="009C188E"/>
    <w:rsid w:val="00A568A2"/>
    <w:rsid w:val="00AE4F65"/>
    <w:rsid w:val="00B22D6D"/>
    <w:rsid w:val="00B50FE8"/>
    <w:rsid w:val="00BB7D53"/>
    <w:rsid w:val="00C5671E"/>
    <w:rsid w:val="00C9122F"/>
    <w:rsid w:val="00E1507E"/>
    <w:rsid w:val="00E63542"/>
    <w:rsid w:val="00E80915"/>
    <w:rsid w:val="00EA7BF8"/>
    <w:rsid w:val="00EB79EE"/>
    <w:rsid w:val="00EE26B9"/>
    <w:rsid w:val="00F179BA"/>
    <w:rsid w:val="00F23F46"/>
    <w:rsid w:val="00F304DA"/>
    <w:rsid w:val="00F3347A"/>
    <w:rsid w:val="00F659C5"/>
    <w:rsid w:val="00F678D1"/>
    <w:rsid w:val="00F83B8B"/>
    <w:rsid w:val="00F93428"/>
    <w:rsid w:val="00F93BD0"/>
    <w:rsid w:val="00FB4D55"/>
    <w:rsid w:val="04075AC2"/>
    <w:rsid w:val="06ED29FD"/>
    <w:rsid w:val="081D84BE"/>
    <w:rsid w:val="0A607D09"/>
    <w:rsid w:val="0CE94F42"/>
    <w:rsid w:val="0DB2FC89"/>
    <w:rsid w:val="0E2AC840"/>
    <w:rsid w:val="10A0CFFC"/>
    <w:rsid w:val="113D2B37"/>
    <w:rsid w:val="1274C8F8"/>
    <w:rsid w:val="12923D9B"/>
    <w:rsid w:val="12DF1FBE"/>
    <w:rsid w:val="152860D5"/>
    <w:rsid w:val="156912DF"/>
    <w:rsid w:val="16D437C9"/>
    <w:rsid w:val="179C3C82"/>
    <w:rsid w:val="17B8BD4B"/>
    <w:rsid w:val="17BE7143"/>
    <w:rsid w:val="196BA309"/>
    <w:rsid w:val="19EF7C79"/>
    <w:rsid w:val="1A650301"/>
    <w:rsid w:val="1AECA18B"/>
    <w:rsid w:val="1B492CB5"/>
    <w:rsid w:val="1DC54DA4"/>
    <w:rsid w:val="1DF0FBBC"/>
    <w:rsid w:val="1E54F4FF"/>
    <w:rsid w:val="22E525DE"/>
    <w:rsid w:val="230C349C"/>
    <w:rsid w:val="27E349AC"/>
    <w:rsid w:val="298FEBA7"/>
    <w:rsid w:val="29CCED38"/>
    <w:rsid w:val="2CC192E7"/>
    <w:rsid w:val="2D024FAE"/>
    <w:rsid w:val="2F62F477"/>
    <w:rsid w:val="30A00C39"/>
    <w:rsid w:val="34C5272F"/>
    <w:rsid w:val="34EFB361"/>
    <w:rsid w:val="37ADFB1E"/>
    <w:rsid w:val="3A8D6AAF"/>
    <w:rsid w:val="3C41A006"/>
    <w:rsid w:val="3C595A6E"/>
    <w:rsid w:val="3CF4FFE2"/>
    <w:rsid w:val="3DD21001"/>
    <w:rsid w:val="3E457A8E"/>
    <w:rsid w:val="41CE6C7F"/>
    <w:rsid w:val="41D583DB"/>
    <w:rsid w:val="421BE3A9"/>
    <w:rsid w:val="4316C04D"/>
    <w:rsid w:val="43409957"/>
    <w:rsid w:val="4620FFE9"/>
    <w:rsid w:val="48182CE2"/>
    <w:rsid w:val="4B38B64A"/>
    <w:rsid w:val="4D119450"/>
    <w:rsid w:val="4D5EA00D"/>
    <w:rsid w:val="4FAB2F19"/>
    <w:rsid w:val="512BCE1B"/>
    <w:rsid w:val="52949D66"/>
    <w:rsid w:val="5360A6D8"/>
    <w:rsid w:val="547C3D4B"/>
    <w:rsid w:val="5594C873"/>
    <w:rsid w:val="56E275CC"/>
    <w:rsid w:val="5A2E89DC"/>
    <w:rsid w:val="5B7114D0"/>
    <w:rsid w:val="5B72ADA4"/>
    <w:rsid w:val="5BA0B31A"/>
    <w:rsid w:val="5C451D03"/>
    <w:rsid w:val="61408DED"/>
    <w:rsid w:val="616A0A2F"/>
    <w:rsid w:val="636CA590"/>
    <w:rsid w:val="64682475"/>
    <w:rsid w:val="648DF64F"/>
    <w:rsid w:val="64BF04A4"/>
    <w:rsid w:val="660B21C6"/>
    <w:rsid w:val="66728BB2"/>
    <w:rsid w:val="66864E20"/>
    <w:rsid w:val="674E3DDB"/>
    <w:rsid w:val="6880E39A"/>
    <w:rsid w:val="69F132BA"/>
    <w:rsid w:val="6B31556A"/>
    <w:rsid w:val="6B866898"/>
    <w:rsid w:val="6BC4D5CA"/>
    <w:rsid w:val="6C3DCCC8"/>
    <w:rsid w:val="6F678ECC"/>
    <w:rsid w:val="7038B822"/>
    <w:rsid w:val="70B557FF"/>
    <w:rsid w:val="7489D6D8"/>
    <w:rsid w:val="753DCCDF"/>
    <w:rsid w:val="7790A3AB"/>
    <w:rsid w:val="77E14EC2"/>
    <w:rsid w:val="7920F324"/>
    <w:rsid w:val="792D5E78"/>
    <w:rsid w:val="793E840C"/>
    <w:rsid w:val="7A51B1AC"/>
    <w:rsid w:val="7A7EFCD0"/>
    <w:rsid w:val="7B6A3822"/>
    <w:rsid w:val="7FBB43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6519"/>
  <w15:chartTrackingRefBased/>
  <w15:docId w15:val="{1299A15F-CA7D-40DA-B9EB-EF75B24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6B7"/>
    <w:pPr>
      <w:widowControl w:val="0"/>
      <w:autoSpaceDE w:val="0"/>
      <w:autoSpaceDN w:val="0"/>
      <w:spacing w:after="0" w:line="240" w:lineRule="auto"/>
    </w:pPr>
    <w:rPr>
      <w:rFonts w:ascii="Arial MT" w:eastAsia="Arial MT" w:hAnsi="Arial MT" w:cs="Arial MT"/>
    </w:rPr>
  </w:style>
  <w:style w:type="paragraph" w:styleId="Ttulo3">
    <w:name w:val="heading 3"/>
    <w:basedOn w:val="Normal"/>
    <w:next w:val="Normal"/>
    <w:link w:val="Ttulo3Car"/>
    <w:uiPriority w:val="9"/>
    <w:semiHidden/>
    <w:unhideWhenUsed/>
    <w:qFormat/>
    <w:rsid w:val="00F179B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750B15"/>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1156B7"/>
    <w:pPr>
      <w:ind w:left="720"/>
      <w:contextualSpacing/>
    </w:pPr>
  </w:style>
  <w:style w:type="paragraph" w:styleId="Encabezado">
    <w:name w:val="header"/>
    <w:basedOn w:val="Normal"/>
    <w:link w:val="EncabezadoCar"/>
    <w:uiPriority w:val="99"/>
    <w:unhideWhenUsed/>
    <w:rsid w:val="001156B7"/>
    <w:pPr>
      <w:tabs>
        <w:tab w:val="center" w:pos="4419"/>
        <w:tab w:val="right" w:pos="8838"/>
      </w:tabs>
    </w:pPr>
  </w:style>
  <w:style w:type="character" w:customStyle="1" w:styleId="EncabezadoCar">
    <w:name w:val="Encabezado Car"/>
    <w:basedOn w:val="Fuentedeprrafopredeter"/>
    <w:link w:val="Encabezado"/>
    <w:uiPriority w:val="99"/>
    <w:rsid w:val="001156B7"/>
    <w:rPr>
      <w:rFonts w:ascii="Arial MT" w:eastAsia="Arial MT" w:hAnsi="Arial MT" w:cs="Arial MT"/>
    </w:rPr>
  </w:style>
  <w:style w:type="paragraph" w:styleId="Piedepgina">
    <w:name w:val="footer"/>
    <w:basedOn w:val="Normal"/>
    <w:link w:val="PiedepginaCar"/>
    <w:uiPriority w:val="99"/>
    <w:unhideWhenUsed/>
    <w:qFormat/>
    <w:rsid w:val="001156B7"/>
    <w:pPr>
      <w:tabs>
        <w:tab w:val="center" w:pos="4419"/>
        <w:tab w:val="right" w:pos="8838"/>
      </w:tabs>
    </w:pPr>
  </w:style>
  <w:style w:type="character" w:customStyle="1" w:styleId="PiedepginaCar">
    <w:name w:val="Pie de página Car"/>
    <w:basedOn w:val="Fuentedeprrafopredeter"/>
    <w:link w:val="Piedepgina"/>
    <w:uiPriority w:val="99"/>
    <w:rsid w:val="001156B7"/>
    <w:rPr>
      <w:rFonts w:ascii="Arial MT" w:eastAsia="Arial MT" w:hAnsi="Arial MT" w:cs="Arial MT"/>
    </w:rPr>
  </w:style>
  <w:style w:type="table" w:styleId="Tablaconcuadrcula">
    <w:name w:val="Table Grid"/>
    <w:basedOn w:val="Tablanormal"/>
    <w:uiPriority w:val="39"/>
    <w:rsid w:val="00115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1156B7"/>
    <w:rPr>
      <w:rFonts w:ascii="Arial MT" w:eastAsia="Arial MT" w:hAnsi="Arial MT" w:cs="Arial MT"/>
    </w:rPr>
  </w:style>
  <w:style w:type="character" w:styleId="Textoennegrita">
    <w:name w:val="Strong"/>
    <w:uiPriority w:val="22"/>
    <w:qFormat/>
    <w:rsid w:val="001156B7"/>
    <w:rPr>
      <w:b/>
      <w:bCs/>
    </w:rPr>
  </w:style>
  <w:style w:type="character" w:styleId="Hipervnculo">
    <w:name w:val="Hyperlink"/>
    <w:basedOn w:val="Fuentedeprrafopredeter"/>
    <w:uiPriority w:val="99"/>
    <w:unhideWhenUsed/>
    <w:rsid w:val="001156B7"/>
    <w:rPr>
      <w:color w:val="0563C1" w:themeColor="hyperlink"/>
      <w:u w:val="single"/>
    </w:rPr>
  </w:style>
  <w:style w:type="character" w:customStyle="1" w:styleId="Ttulo4Car">
    <w:name w:val="Título 4 Car"/>
    <w:basedOn w:val="Fuentedeprrafopredeter"/>
    <w:link w:val="Ttulo4"/>
    <w:uiPriority w:val="9"/>
    <w:rsid w:val="00750B15"/>
    <w:rPr>
      <w:rFonts w:ascii="Times New Roman" w:eastAsia="Times New Roman" w:hAnsi="Times New Roman" w:cs="Times New Roman"/>
      <w:b/>
      <w:bCs/>
      <w:sz w:val="24"/>
      <w:szCs w:val="24"/>
      <w:lang w:eastAsia="es-CO"/>
    </w:rPr>
  </w:style>
  <w:style w:type="character" w:customStyle="1" w:styleId="Ttulo3Car">
    <w:name w:val="Título 3 Car"/>
    <w:basedOn w:val="Fuentedeprrafopredeter"/>
    <w:link w:val="Ttulo3"/>
    <w:uiPriority w:val="9"/>
    <w:semiHidden/>
    <w:rsid w:val="00F179BA"/>
    <w:rPr>
      <w:rFonts w:asciiTheme="majorHAnsi" w:eastAsiaTheme="majorEastAsia" w:hAnsiTheme="majorHAnsi" w:cstheme="majorBidi"/>
      <w:color w:val="1F3763" w:themeColor="accent1" w:themeShade="7F"/>
      <w:sz w:val="24"/>
      <w:szCs w:val="24"/>
    </w:rPr>
  </w:style>
  <w:style w:type="character" w:styleId="nfasis">
    <w:name w:val="Emphasis"/>
    <w:basedOn w:val="Fuentedeprrafopredeter"/>
    <w:uiPriority w:val="20"/>
    <w:qFormat/>
    <w:rsid w:val="00F179BA"/>
    <w:rPr>
      <w:i/>
      <w:iCs/>
    </w:rPr>
  </w:style>
  <w:style w:type="paragraph" w:styleId="Textonotapie">
    <w:name w:val="footnote text"/>
    <w:basedOn w:val="Normal"/>
    <w:link w:val="TextonotapieCar"/>
    <w:uiPriority w:val="99"/>
    <w:semiHidden/>
    <w:unhideWhenUsed/>
    <w:rsid w:val="00EE26B9"/>
    <w:rPr>
      <w:sz w:val="20"/>
      <w:szCs w:val="20"/>
    </w:rPr>
  </w:style>
  <w:style w:type="character" w:customStyle="1" w:styleId="TextonotapieCar">
    <w:name w:val="Texto nota pie Car"/>
    <w:basedOn w:val="Fuentedeprrafopredeter"/>
    <w:link w:val="Textonotapie"/>
    <w:uiPriority w:val="99"/>
    <w:semiHidden/>
    <w:rsid w:val="00EE26B9"/>
    <w:rPr>
      <w:rFonts w:ascii="Arial MT" w:eastAsia="Arial MT" w:hAnsi="Arial MT" w:cs="Arial MT"/>
      <w:sz w:val="20"/>
      <w:szCs w:val="20"/>
    </w:rPr>
  </w:style>
  <w:style w:type="character" w:styleId="Refdenotaalpie">
    <w:name w:val="footnote reference"/>
    <w:basedOn w:val="Fuentedeprrafopredeter"/>
    <w:uiPriority w:val="99"/>
    <w:semiHidden/>
    <w:unhideWhenUsed/>
    <w:rsid w:val="00EE26B9"/>
    <w:rPr>
      <w:vertAlign w:val="superscript"/>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Arial MT" w:eastAsia="Arial MT" w:hAnsi="Arial MT" w:cs="Arial MT"/>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4862">
      <w:bodyDiv w:val="1"/>
      <w:marLeft w:val="0"/>
      <w:marRight w:val="0"/>
      <w:marTop w:val="0"/>
      <w:marBottom w:val="0"/>
      <w:divBdr>
        <w:top w:val="none" w:sz="0" w:space="0" w:color="auto"/>
        <w:left w:val="none" w:sz="0" w:space="0" w:color="auto"/>
        <w:bottom w:val="none" w:sz="0" w:space="0" w:color="auto"/>
        <w:right w:val="none" w:sz="0" w:space="0" w:color="auto"/>
      </w:divBdr>
    </w:div>
    <w:div w:id="222523804">
      <w:bodyDiv w:val="1"/>
      <w:marLeft w:val="0"/>
      <w:marRight w:val="0"/>
      <w:marTop w:val="0"/>
      <w:marBottom w:val="0"/>
      <w:divBdr>
        <w:top w:val="none" w:sz="0" w:space="0" w:color="auto"/>
        <w:left w:val="none" w:sz="0" w:space="0" w:color="auto"/>
        <w:bottom w:val="none" w:sz="0" w:space="0" w:color="auto"/>
        <w:right w:val="none" w:sz="0" w:space="0" w:color="auto"/>
      </w:divBdr>
    </w:div>
    <w:div w:id="285548988">
      <w:bodyDiv w:val="1"/>
      <w:marLeft w:val="0"/>
      <w:marRight w:val="0"/>
      <w:marTop w:val="0"/>
      <w:marBottom w:val="0"/>
      <w:divBdr>
        <w:top w:val="none" w:sz="0" w:space="0" w:color="auto"/>
        <w:left w:val="none" w:sz="0" w:space="0" w:color="auto"/>
        <w:bottom w:val="none" w:sz="0" w:space="0" w:color="auto"/>
        <w:right w:val="none" w:sz="0" w:space="0" w:color="auto"/>
      </w:divBdr>
    </w:div>
    <w:div w:id="876696343">
      <w:bodyDiv w:val="1"/>
      <w:marLeft w:val="0"/>
      <w:marRight w:val="0"/>
      <w:marTop w:val="0"/>
      <w:marBottom w:val="0"/>
      <w:divBdr>
        <w:top w:val="none" w:sz="0" w:space="0" w:color="auto"/>
        <w:left w:val="none" w:sz="0" w:space="0" w:color="auto"/>
        <w:bottom w:val="none" w:sz="0" w:space="0" w:color="auto"/>
        <w:right w:val="none" w:sz="0" w:space="0" w:color="auto"/>
      </w:divBdr>
    </w:div>
    <w:div w:id="1000547602">
      <w:bodyDiv w:val="1"/>
      <w:marLeft w:val="0"/>
      <w:marRight w:val="0"/>
      <w:marTop w:val="0"/>
      <w:marBottom w:val="0"/>
      <w:divBdr>
        <w:top w:val="none" w:sz="0" w:space="0" w:color="auto"/>
        <w:left w:val="none" w:sz="0" w:space="0" w:color="auto"/>
        <w:bottom w:val="none" w:sz="0" w:space="0" w:color="auto"/>
        <w:right w:val="none" w:sz="0" w:space="0" w:color="auto"/>
      </w:divBdr>
    </w:div>
    <w:div w:id="1272585268">
      <w:bodyDiv w:val="1"/>
      <w:marLeft w:val="0"/>
      <w:marRight w:val="0"/>
      <w:marTop w:val="0"/>
      <w:marBottom w:val="0"/>
      <w:divBdr>
        <w:top w:val="none" w:sz="0" w:space="0" w:color="auto"/>
        <w:left w:val="none" w:sz="0" w:space="0" w:color="auto"/>
        <w:bottom w:val="none" w:sz="0" w:space="0" w:color="auto"/>
        <w:right w:val="none" w:sz="0" w:space="0" w:color="auto"/>
      </w:divBdr>
      <w:divsChild>
        <w:div w:id="896621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991271">
      <w:bodyDiv w:val="1"/>
      <w:marLeft w:val="0"/>
      <w:marRight w:val="0"/>
      <w:marTop w:val="0"/>
      <w:marBottom w:val="0"/>
      <w:divBdr>
        <w:top w:val="none" w:sz="0" w:space="0" w:color="auto"/>
        <w:left w:val="none" w:sz="0" w:space="0" w:color="auto"/>
        <w:bottom w:val="none" w:sz="0" w:space="0" w:color="auto"/>
        <w:right w:val="none" w:sz="0" w:space="0" w:color="auto"/>
      </w:divBdr>
    </w:div>
    <w:div w:id="1742605409">
      <w:bodyDiv w:val="1"/>
      <w:marLeft w:val="0"/>
      <w:marRight w:val="0"/>
      <w:marTop w:val="0"/>
      <w:marBottom w:val="0"/>
      <w:divBdr>
        <w:top w:val="none" w:sz="0" w:space="0" w:color="auto"/>
        <w:left w:val="none" w:sz="0" w:space="0" w:color="auto"/>
        <w:bottom w:val="none" w:sz="0" w:space="0" w:color="auto"/>
        <w:right w:val="none" w:sz="0" w:space="0" w:color="auto"/>
      </w:divBdr>
    </w:div>
    <w:div w:id="1944336900">
      <w:bodyDiv w:val="1"/>
      <w:marLeft w:val="0"/>
      <w:marRight w:val="0"/>
      <w:marTop w:val="0"/>
      <w:marBottom w:val="0"/>
      <w:divBdr>
        <w:top w:val="none" w:sz="0" w:space="0" w:color="auto"/>
        <w:left w:val="none" w:sz="0" w:space="0" w:color="auto"/>
        <w:bottom w:val="none" w:sz="0" w:space="0" w:color="auto"/>
        <w:right w:val="none" w:sz="0" w:space="0" w:color="auto"/>
      </w:divBdr>
    </w:div>
    <w:div w:id="21328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ivmcu3@cendoj.ramajudicial.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460D6-231F-46C0-B133-BE670209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1821</Words>
  <Characters>10016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Estrada</dc:creator>
  <cp:keywords/>
  <dc:description/>
  <cp:lastModifiedBy>Clara Estrada</cp:lastModifiedBy>
  <cp:revision>2</cp:revision>
  <cp:lastPrinted>2025-03-28T20:18:00Z</cp:lastPrinted>
  <dcterms:created xsi:type="dcterms:W3CDTF">2025-03-28T20:21:00Z</dcterms:created>
  <dcterms:modified xsi:type="dcterms:W3CDTF">2025-03-28T20:21:00Z</dcterms:modified>
</cp:coreProperties>
</file>