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6E3F4" w14:textId="7B34D5E3" w:rsidR="009F527E" w:rsidRPr="00CA110B" w:rsidRDefault="00CA110B" w:rsidP="00CA110B">
      <w:pPr>
        <w:jc w:val="center"/>
        <w:rPr>
          <w:b/>
          <w:bCs/>
          <w:lang w:val="es-AR"/>
        </w:rPr>
      </w:pPr>
      <w:r>
        <w:rPr>
          <w:b/>
          <w:bCs/>
          <w:lang w:val="es-AR"/>
        </w:rPr>
        <w:t>CALIFICACIÓN DE CONTINGENCIA</w:t>
      </w:r>
    </w:p>
    <w:p w14:paraId="0EC3C60F" w14:textId="77777777" w:rsidR="009F527E" w:rsidRPr="009F527E" w:rsidRDefault="009F527E" w:rsidP="009F527E">
      <w:pPr>
        <w:rPr>
          <w:lang w:val="es-AR"/>
        </w:rPr>
      </w:pPr>
      <w:r w:rsidRPr="009F527E">
        <w:rPr>
          <w:lang w:val="es-AR"/>
        </w:rPr>
        <w:t> </w:t>
      </w:r>
    </w:p>
    <w:p w14:paraId="0D6F10CB" w14:textId="1EACC42A" w:rsidR="009F527E" w:rsidRDefault="00CA110B" w:rsidP="00E15C0B">
      <w:pPr>
        <w:pBdr>
          <w:bottom w:val="single" w:sz="12" w:space="1" w:color="auto"/>
        </w:pBdr>
        <w:jc w:val="both"/>
        <w:rPr>
          <w:lang w:val="es-AR"/>
        </w:rPr>
      </w:pPr>
      <w:r>
        <w:rPr>
          <w:lang w:val="es-AR"/>
        </w:rPr>
        <w:t xml:space="preserve">A través del presente, me permito presentar </w:t>
      </w:r>
      <w:r w:rsidR="000D2431">
        <w:rPr>
          <w:lang w:val="es-AR"/>
        </w:rPr>
        <w:t xml:space="preserve">la </w:t>
      </w:r>
      <w:r>
        <w:rPr>
          <w:lang w:val="es-AR"/>
        </w:rPr>
        <w:t xml:space="preserve">calificación de la </w:t>
      </w:r>
      <w:r w:rsidR="00EE4F88">
        <w:rPr>
          <w:lang w:val="es-AR"/>
        </w:rPr>
        <w:t>contingencia</w:t>
      </w:r>
      <w:r>
        <w:rPr>
          <w:lang w:val="es-AR"/>
        </w:rPr>
        <w:t xml:space="preserve"> </w:t>
      </w:r>
      <w:r w:rsidR="00EE4F88">
        <w:rPr>
          <w:lang w:val="es-AR"/>
        </w:rPr>
        <w:t xml:space="preserve">respecto de la demanda </w:t>
      </w:r>
      <w:r>
        <w:rPr>
          <w:lang w:val="es-AR"/>
        </w:rPr>
        <w:t xml:space="preserve">presentada por </w:t>
      </w:r>
      <w:r w:rsidR="00F019DB">
        <w:rPr>
          <w:lang w:val="es-AR"/>
        </w:rPr>
        <w:t xml:space="preserve">Carlos Darío Gómez Ceballos </w:t>
      </w:r>
      <w:r>
        <w:rPr>
          <w:lang w:val="es-AR"/>
        </w:rPr>
        <w:t>y otros</w:t>
      </w:r>
      <w:r w:rsidR="00F019DB">
        <w:rPr>
          <w:lang w:val="es-AR"/>
        </w:rPr>
        <w:t xml:space="preserve"> </w:t>
      </w:r>
      <w:r>
        <w:rPr>
          <w:lang w:val="es-AR"/>
        </w:rPr>
        <w:t xml:space="preserve"> en contra de </w:t>
      </w:r>
      <w:r w:rsidR="00F019DB">
        <w:rPr>
          <w:lang w:val="es-AR"/>
        </w:rPr>
        <w:t xml:space="preserve">COMFANDI y el SERVICIO OCCIDENTAL DE SALUD SOS EPS, siendo este último quien vinculo a la Clínica Palmira al proceso en calidad de llamada en garantía: esta calificación de la contingencia se hace </w:t>
      </w:r>
      <w:r>
        <w:rPr>
          <w:lang w:val="es-AR"/>
        </w:rPr>
        <w:t xml:space="preserve">de conformidad con los medios de prueba documentales que </w:t>
      </w:r>
      <w:r w:rsidR="006830E2">
        <w:rPr>
          <w:lang w:val="es-AR"/>
        </w:rPr>
        <w:t>obran en el expediente</w:t>
      </w:r>
      <w:r>
        <w:rPr>
          <w:lang w:val="es-AR"/>
        </w:rPr>
        <w:t xml:space="preserve">, y </w:t>
      </w:r>
      <w:r w:rsidR="00D22F47">
        <w:rPr>
          <w:lang w:val="es-AR"/>
        </w:rPr>
        <w:t>con los argumentos expuestos en la contestación</w:t>
      </w:r>
      <w:r w:rsidR="00F019DB">
        <w:rPr>
          <w:lang w:val="es-AR"/>
        </w:rPr>
        <w:t xml:space="preserve"> a la demanda y al llamamiento en garantía</w:t>
      </w:r>
      <w:r w:rsidR="00D22F47">
        <w:rPr>
          <w:lang w:val="es-AR"/>
        </w:rPr>
        <w:t xml:space="preserve">, así mismo, se presenta </w:t>
      </w:r>
      <w:r w:rsidR="006830E2">
        <w:rPr>
          <w:lang w:val="es-AR"/>
        </w:rPr>
        <w:t xml:space="preserve">la </w:t>
      </w:r>
      <w:r w:rsidR="00D22F47">
        <w:rPr>
          <w:lang w:val="es-AR"/>
        </w:rPr>
        <w:t xml:space="preserve">liquidación objetiva de las pretensiones. </w:t>
      </w:r>
    </w:p>
    <w:p w14:paraId="746D8361" w14:textId="77777777" w:rsidR="003E409B" w:rsidRPr="009F527E" w:rsidRDefault="003E409B" w:rsidP="00E15C0B">
      <w:pPr>
        <w:pBdr>
          <w:bottom w:val="single" w:sz="12" w:space="1" w:color="auto"/>
        </w:pBdr>
        <w:jc w:val="both"/>
        <w:rPr>
          <w:lang w:val="es-AR"/>
        </w:rPr>
      </w:pPr>
    </w:p>
    <w:p w14:paraId="5822BC81" w14:textId="77777777" w:rsidR="003E409B" w:rsidRDefault="003E409B" w:rsidP="009F527E">
      <w:pPr>
        <w:rPr>
          <w:lang w:val="es-AR"/>
        </w:rPr>
      </w:pPr>
    </w:p>
    <w:p w14:paraId="756444B9" w14:textId="47F69F6D" w:rsidR="009F527E" w:rsidRPr="00F5378D" w:rsidRDefault="003E409B" w:rsidP="00F5378D">
      <w:pPr>
        <w:jc w:val="center"/>
        <w:rPr>
          <w:b/>
          <w:bCs/>
          <w:lang w:val="es-AR"/>
        </w:rPr>
      </w:pPr>
      <w:r>
        <w:rPr>
          <w:b/>
          <w:bCs/>
          <w:lang w:val="es-AR"/>
        </w:rPr>
        <w:t>CONTEXTO DEL CASO</w:t>
      </w:r>
    </w:p>
    <w:p w14:paraId="22AD67A4" w14:textId="77777777" w:rsidR="009F527E" w:rsidRDefault="009F527E" w:rsidP="009F527E">
      <w:pPr>
        <w:rPr>
          <w:b/>
          <w:bCs/>
          <w:lang w:val="es-AR"/>
        </w:rPr>
      </w:pPr>
      <w:r w:rsidRPr="009F527E">
        <w:rPr>
          <w:b/>
          <w:bCs/>
          <w:lang w:val="es-AR"/>
        </w:rPr>
        <w:t>DEMANDANTES:</w:t>
      </w:r>
    </w:p>
    <w:tbl>
      <w:tblPr>
        <w:tblStyle w:val="Tablaconcuadrcula"/>
        <w:tblW w:w="0" w:type="auto"/>
        <w:tblLook w:val="04A0" w:firstRow="1" w:lastRow="0" w:firstColumn="1" w:lastColumn="0" w:noHBand="0" w:noVBand="1"/>
      </w:tblPr>
      <w:tblGrid>
        <w:gridCol w:w="2254"/>
        <w:gridCol w:w="2254"/>
        <w:gridCol w:w="2254"/>
        <w:gridCol w:w="2254"/>
      </w:tblGrid>
      <w:tr w:rsidR="00B91597" w14:paraId="6BDFDE07" w14:textId="77777777" w:rsidTr="00B91597">
        <w:tc>
          <w:tcPr>
            <w:tcW w:w="2254" w:type="dxa"/>
          </w:tcPr>
          <w:p w14:paraId="1180C7CB" w14:textId="304A0A95" w:rsidR="00B91597" w:rsidRPr="00B91597" w:rsidRDefault="00B91597" w:rsidP="009F527E">
            <w:pPr>
              <w:rPr>
                <w:b/>
                <w:bCs/>
                <w:lang w:val="es-AR"/>
              </w:rPr>
            </w:pPr>
            <w:r>
              <w:rPr>
                <w:b/>
                <w:bCs/>
                <w:lang w:val="es-AR"/>
              </w:rPr>
              <w:t>Nombre</w:t>
            </w:r>
          </w:p>
        </w:tc>
        <w:tc>
          <w:tcPr>
            <w:tcW w:w="2254" w:type="dxa"/>
          </w:tcPr>
          <w:p w14:paraId="147D72D7" w14:textId="392242DC" w:rsidR="00B91597" w:rsidRPr="00B91597" w:rsidRDefault="00B91597" w:rsidP="009F527E">
            <w:pPr>
              <w:rPr>
                <w:b/>
                <w:bCs/>
                <w:lang w:val="es-AR"/>
              </w:rPr>
            </w:pPr>
            <w:r>
              <w:rPr>
                <w:b/>
                <w:bCs/>
                <w:lang w:val="es-AR"/>
              </w:rPr>
              <w:t xml:space="preserve">Calidad en la que </w:t>
            </w:r>
            <w:r w:rsidR="00047B1E">
              <w:rPr>
                <w:b/>
                <w:bCs/>
                <w:lang w:val="es-AR"/>
              </w:rPr>
              <w:t>actúa</w:t>
            </w:r>
          </w:p>
        </w:tc>
        <w:tc>
          <w:tcPr>
            <w:tcW w:w="2254" w:type="dxa"/>
          </w:tcPr>
          <w:p w14:paraId="2BAB6F82" w14:textId="6CE96A49" w:rsidR="00B91597" w:rsidRPr="00B91597" w:rsidRDefault="00B91597" w:rsidP="009F527E">
            <w:pPr>
              <w:rPr>
                <w:b/>
                <w:bCs/>
                <w:lang w:val="es-AR"/>
              </w:rPr>
            </w:pPr>
            <w:r>
              <w:rPr>
                <w:b/>
                <w:bCs/>
                <w:lang w:val="es-AR"/>
              </w:rPr>
              <w:t>Documento de identidad</w:t>
            </w:r>
          </w:p>
        </w:tc>
        <w:tc>
          <w:tcPr>
            <w:tcW w:w="2254" w:type="dxa"/>
          </w:tcPr>
          <w:p w14:paraId="6AE19A0D" w14:textId="3D8FD1A7" w:rsidR="00B91597" w:rsidRPr="00B91597" w:rsidRDefault="00B91597" w:rsidP="009F527E">
            <w:pPr>
              <w:rPr>
                <w:b/>
                <w:bCs/>
                <w:lang w:val="es-AR"/>
              </w:rPr>
            </w:pPr>
            <w:r>
              <w:rPr>
                <w:b/>
                <w:bCs/>
                <w:lang w:val="es-AR"/>
              </w:rPr>
              <w:t>Numero de documento de identidad</w:t>
            </w:r>
          </w:p>
        </w:tc>
      </w:tr>
      <w:tr w:rsidR="00B91597" w14:paraId="73040C97" w14:textId="77777777" w:rsidTr="00B91597">
        <w:tc>
          <w:tcPr>
            <w:tcW w:w="2254" w:type="dxa"/>
          </w:tcPr>
          <w:p w14:paraId="0655B5BF" w14:textId="02D89EA9" w:rsidR="00B91597" w:rsidRDefault="00F019DB" w:rsidP="009F527E">
            <w:pPr>
              <w:rPr>
                <w:lang w:val="es-AR"/>
              </w:rPr>
            </w:pPr>
            <w:r>
              <w:rPr>
                <w:lang w:val="es-AR"/>
              </w:rPr>
              <w:t xml:space="preserve">CARLOS </w:t>
            </w:r>
            <w:proofErr w:type="spellStart"/>
            <w:r>
              <w:rPr>
                <w:lang w:val="es-AR"/>
              </w:rPr>
              <w:t>DARIO</w:t>
            </w:r>
            <w:proofErr w:type="spellEnd"/>
            <w:r>
              <w:rPr>
                <w:lang w:val="es-AR"/>
              </w:rPr>
              <w:t xml:space="preserve"> GÓMEZ CEBALLOS</w:t>
            </w:r>
          </w:p>
        </w:tc>
        <w:tc>
          <w:tcPr>
            <w:tcW w:w="2254" w:type="dxa"/>
          </w:tcPr>
          <w:p w14:paraId="212A15F6" w14:textId="5FD85407" w:rsidR="00B91597" w:rsidRDefault="00F019DB" w:rsidP="009F527E">
            <w:pPr>
              <w:rPr>
                <w:lang w:val="es-AR"/>
              </w:rPr>
            </w:pPr>
            <w:r>
              <w:rPr>
                <w:lang w:val="es-AR"/>
              </w:rPr>
              <w:t>Hermano de la víctima</w:t>
            </w:r>
          </w:p>
        </w:tc>
        <w:tc>
          <w:tcPr>
            <w:tcW w:w="2254" w:type="dxa"/>
          </w:tcPr>
          <w:p w14:paraId="66995355" w14:textId="13BD2BE0" w:rsidR="00B91597" w:rsidRDefault="00A1577C" w:rsidP="009F527E">
            <w:pPr>
              <w:rPr>
                <w:lang w:val="es-AR"/>
              </w:rPr>
            </w:pPr>
            <w:r>
              <w:rPr>
                <w:lang w:val="es-AR"/>
              </w:rPr>
              <w:t>C.C.</w:t>
            </w:r>
          </w:p>
        </w:tc>
        <w:tc>
          <w:tcPr>
            <w:tcW w:w="2254" w:type="dxa"/>
          </w:tcPr>
          <w:p w14:paraId="231EE356" w14:textId="357E2441" w:rsidR="00B91597" w:rsidRDefault="00F019DB" w:rsidP="009F527E">
            <w:pPr>
              <w:rPr>
                <w:lang w:val="es-AR"/>
              </w:rPr>
            </w:pPr>
            <w:r>
              <w:rPr>
                <w:lang w:val="es-AR"/>
              </w:rPr>
              <w:t>6.404.155</w:t>
            </w:r>
          </w:p>
        </w:tc>
      </w:tr>
      <w:tr w:rsidR="00B91597" w14:paraId="10D4A53C" w14:textId="77777777" w:rsidTr="00B91597">
        <w:tc>
          <w:tcPr>
            <w:tcW w:w="2254" w:type="dxa"/>
          </w:tcPr>
          <w:p w14:paraId="7D63FF74" w14:textId="0E747F6F" w:rsidR="00B91597" w:rsidRDefault="00F019DB" w:rsidP="009F527E">
            <w:pPr>
              <w:rPr>
                <w:lang w:val="es-AR"/>
              </w:rPr>
            </w:pPr>
            <w:r>
              <w:rPr>
                <w:lang w:val="es-AR"/>
              </w:rPr>
              <w:t>SEGUNDO ALFONSO MERA BENAVIDES</w:t>
            </w:r>
          </w:p>
        </w:tc>
        <w:tc>
          <w:tcPr>
            <w:tcW w:w="2254" w:type="dxa"/>
          </w:tcPr>
          <w:p w14:paraId="004BF610" w14:textId="4954545F" w:rsidR="00B91597" w:rsidRDefault="00793AE4" w:rsidP="009F527E">
            <w:pPr>
              <w:rPr>
                <w:lang w:val="es-AR"/>
              </w:rPr>
            </w:pPr>
            <w:r>
              <w:rPr>
                <w:lang w:val="es-AR"/>
              </w:rPr>
              <w:t xml:space="preserve">Compañero permanente </w:t>
            </w:r>
          </w:p>
        </w:tc>
        <w:tc>
          <w:tcPr>
            <w:tcW w:w="2254" w:type="dxa"/>
          </w:tcPr>
          <w:p w14:paraId="7D2B6D18" w14:textId="5E7BB59C" w:rsidR="00B91597" w:rsidRDefault="00793AE4" w:rsidP="009F527E">
            <w:pPr>
              <w:rPr>
                <w:lang w:val="es-AR"/>
              </w:rPr>
            </w:pPr>
            <w:r>
              <w:rPr>
                <w:lang w:val="es-AR"/>
              </w:rPr>
              <w:t>C.C.</w:t>
            </w:r>
          </w:p>
        </w:tc>
        <w:tc>
          <w:tcPr>
            <w:tcW w:w="2254" w:type="dxa"/>
          </w:tcPr>
          <w:p w14:paraId="06053526" w14:textId="7475D856" w:rsidR="00B91597" w:rsidRDefault="00F019DB" w:rsidP="009F527E">
            <w:pPr>
              <w:rPr>
                <w:lang w:val="es-AR"/>
              </w:rPr>
            </w:pPr>
            <w:r>
              <w:rPr>
                <w:lang w:val="es-AR"/>
              </w:rPr>
              <w:t>6.401.233</w:t>
            </w:r>
          </w:p>
        </w:tc>
      </w:tr>
      <w:tr w:rsidR="00B91597" w14:paraId="73B4DCB6" w14:textId="77777777" w:rsidTr="00B91597">
        <w:tc>
          <w:tcPr>
            <w:tcW w:w="2254" w:type="dxa"/>
          </w:tcPr>
          <w:p w14:paraId="48D3ABA3" w14:textId="7DE13585" w:rsidR="00B91597" w:rsidRDefault="00F019DB" w:rsidP="009F527E">
            <w:pPr>
              <w:rPr>
                <w:lang w:val="es-AR"/>
              </w:rPr>
            </w:pPr>
            <w:r>
              <w:rPr>
                <w:lang w:val="es-AR"/>
              </w:rPr>
              <w:t>GLORIA JACQUELINE CASTRO GÓMEZ</w:t>
            </w:r>
          </w:p>
        </w:tc>
        <w:tc>
          <w:tcPr>
            <w:tcW w:w="2254" w:type="dxa"/>
          </w:tcPr>
          <w:p w14:paraId="7B6C78EF" w14:textId="7DAF7B06" w:rsidR="00B91597" w:rsidRDefault="00793AE4" w:rsidP="009F527E">
            <w:pPr>
              <w:rPr>
                <w:lang w:val="es-AR"/>
              </w:rPr>
            </w:pPr>
            <w:r>
              <w:rPr>
                <w:lang w:val="es-AR"/>
              </w:rPr>
              <w:t>hij</w:t>
            </w:r>
            <w:r w:rsidR="00F019DB">
              <w:rPr>
                <w:lang w:val="es-AR"/>
              </w:rPr>
              <w:t>a</w:t>
            </w:r>
          </w:p>
        </w:tc>
        <w:tc>
          <w:tcPr>
            <w:tcW w:w="2254" w:type="dxa"/>
          </w:tcPr>
          <w:p w14:paraId="0B68582C" w14:textId="0BF2E019" w:rsidR="00B91597" w:rsidRDefault="00F019DB" w:rsidP="009F527E">
            <w:pPr>
              <w:rPr>
                <w:lang w:val="es-AR"/>
              </w:rPr>
            </w:pPr>
            <w:r>
              <w:rPr>
                <w:lang w:val="es-AR"/>
              </w:rPr>
              <w:t>C.C.</w:t>
            </w:r>
          </w:p>
        </w:tc>
        <w:tc>
          <w:tcPr>
            <w:tcW w:w="2254" w:type="dxa"/>
          </w:tcPr>
          <w:p w14:paraId="3D0B4077" w14:textId="1AE1680A" w:rsidR="00B91597" w:rsidRDefault="00F019DB" w:rsidP="009F527E">
            <w:pPr>
              <w:rPr>
                <w:lang w:val="es-AR"/>
              </w:rPr>
            </w:pPr>
            <w:r>
              <w:rPr>
                <w:lang w:val="es-AR"/>
              </w:rPr>
              <w:t>66.885.948</w:t>
            </w:r>
          </w:p>
        </w:tc>
      </w:tr>
      <w:tr w:rsidR="00B91597" w14:paraId="1362128F" w14:textId="77777777" w:rsidTr="00B91597">
        <w:tc>
          <w:tcPr>
            <w:tcW w:w="2254" w:type="dxa"/>
          </w:tcPr>
          <w:p w14:paraId="7C8416E4" w14:textId="36068728" w:rsidR="00B91597" w:rsidRDefault="00F019DB" w:rsidP="009F527E">
            <w:pPr>
              <w:rPr>
                <w:lang w:val="es-AR"/>
              </w:rPr>
            </w:pPr>
            <w:r>
              <w:rPr>
                <w:lang w:val="es-AR"/>
              </w:rPr>
              <w:t>YAZMIN LICETH LOAIZA CASTRO</w:t>
            </w:r>
          </w:p>
        </w:tc>
        <w:tc>
          <w:tcPr>
            <w:tcW w:w="2254" w:type="dxa"/>
          </w:tcPr>
          <w:p w14:paraId="726F34DE" w14:textId="4A165B4C" w:rsidR="00B91597" w:rsidRDefault="00F019DB" w:rsidP="009F527E">
            <w:pPr>
              <w:rPr>
                <w:lang w:val="es-AR"/>
              </w:rPr>
            </w:pPr>
            <w:r>
              <w:rPr>
                <w:lang w:val="es-AR"/>
              </w:rPr>
              <w:t>Nieta</w:t>
            </w:r>
          </w:p>
        </w:tc>
        <w:tc>
          <w:tcPr>
            <w:tcW w:w="2254" w:type="dxa"/>
          </w:tcPr>
          <w:p w14:paraId="2F4C1539" w14:textId="1EB95DD0" w:rsidR="00B91597" w:rsidRDefault="00F019DB" w:rsidP="009F527E">
            <w:pPr>
              <w:rPr>
                <w:lang w:val="es-AR"/>
              </w:rPr>
            </w:pPr>
            <w:r>
              <w:rPr>
                <w:lang w:val="es-AR"/>
              </w:rPr>
              <w:t>C</w:t>
            </w:r>
            <w:r w:rsidR="00047B1E">
              <w:rPr>
                <w:lang w:val="es-AR"/>
              </w:rPr>
              <w:t>.C.</w:t>
            </w:r>
          </w:p>
        </w:tc>
        <w:tc>
          <w:tcPr>
            <w:tcW w:w="2254" w:type="dxa"/>
          </w:tcPr>
          <w:p w14:paraId="14D6E6D4" w14:textId="6A736D4C" w:rsidR="00B91597" w:rsidRDefault="00F019DB" w:rsidP="009F527E">
            <w:pPr>
              <w:rPr>
                <w:lang w:val="es-AR"/>
              </w:rPr>
            </w:pPr>
            <w:r>
              <w:rPr>
                <w:lang w:val="es-AR"/>
              </w:rPr>
              <w:t>1.010.052.786</w:t>
            </w:r>
          </w:p>
        </w:tc>
      </w:tr>
      <w:tr w:rsidR="00F019DB" w14:paraId="0D2157A9" w14:textId="77777777" w:rsidTr="00B91597">
        <w:tc>
          <w:tcPr>
            <w:tcW w:w="2254" w:type="dxa"/>
          </w:tcPr>
          <w:p w14:paraId="76103328" w14:textId="0580755F" w:rsidR="00F019DB" w:rsidRPr="00141927" w:rsidRDefault="00F019DB" w:rsidP="009F527E">
            <w:pPr>
              <w:rPr>
                <w:lang w:val="es-AR"/>
              </w:rPr>
            </w:pPr>
            <w:r w:rsidRPr="00141927">
              <w:rPr>
                <w:lang w:val="es-AR"/>
              </w:rPr>
              <w:t>KEIDY PORTILLO LOAIZA</w:t>
            </w:r>
            <w:r w:rsidR="00AF32C4" w:rsidRPr="00141927">
              <w:rPr>
                <w:rStyle w:val="Refdenotaalpie"/>
                <w:lang w:val="es-AR"/>
              </w:rPr>
              <w:footnoteReference w:id="1"/>
            </w:r>
          </w:p>
        </w:tc>
        <w:tc>
          <w:tcPr>
            <w:tcW w:w="2254" w:type="dxa"/>
          </w:tcPr>
          <w:p w14:paraId="66878DAD" w14:textId="06C0098D" w:rsidR="00F019DB" w:rsidRPr="00141927" w:rsidRDefault="00F019DB" w:rsidP="009F527E">
            <w:pPr>
              <w:rPr>
                <w:lang w:val="es-AR"/>
              </w:rPr>
            </w:pPr>
            <w:r w:rsidRPr="00141927">
              <w:rPr>
                <w:lang w:val="es-AR"/>
              </w:rPr>
              <w:t>Bisnieta</w:t>
            </w:r>
          </w:p>
        </w:tc>
        <w:tc>
          <w:tcPr>
            <w:tcW w:w="2254" w:type="dxa"/>
          </w:tcPr>
          <w:p w14:paraId="79530155" w14:textId="25DBF7C4" w:rsidR="00F019DB" w:rsidRPr="00141927" w:rsidRDefault="00F019DB" w:rsidP="009F527E">
            <w:pPr>
              <w:rPr>
                <w:lang w:val="es-AR"/>
              </w:rPr>
            </w:pPr>
            <w:r w:rsidRPr="00141927">
              <w:rPr>
                <w:lang w:val="es-AR"/>
              </w:rPr>
              <w:t>R.C.</w:t>
            </w:r>
          </w:p>
        </w:tc>
        <w:tc>
          <w:tcPr>
            <w:tcW w:w="2254" w:type="dxa"/>
          </w:tcPr>
          <w:p w14:paraId="006711C5" w14:textId="78531590" w:rsidR="00F019DB" w:rsidRPr="00141927" w:rsidRDefault="00F019DB" w:rsidP="009F527E">
            <w:pPr>
              <w:rPr>
                <w:lang w:val="es-AR"/>
              </w:rPr>
            </w:pPr>
            <w:r w:rsidRPr="00141927">
              <w:rPr>
                <w:lang w:val="es-AR"/>
              </w:rPr>
              <w:t>1.114.624.060</w:t>
            </w:r>
          </w:p>
        </w:tc>
      </w:tr>
      <w:tr w:rsidR="00F019DB" w14:paraId="0CAAB200" w14:textId="77777777" w:rsidTr="00B91597">
        <w:tc>
          <w:tcPr>
            <w:tcW w:w="2254" w:type="dxa"/>
          </w:tcPr>
          <w:p w14:paraId="0D335BB7" w14:textId="13A5067F" w:rsidR="00F019DB" w:rsidRPr="00141927" w:rsidRDefault="00F019DB" w:rsidP="009F527E">
            <w:pPr>
              <w:rPr>
                <w:lang w:val="es-AR"/>
              </w:rPr>
            </w:pPr>
            <w:r w:rsidRPr="00141927">
              <w:rPr>
                <w:lang w:val="es-AR"/>
              </w:rPr>
              <w:t>CRISTIÁN CAMILO PORTILLO LOAIZA</w:t>
            </w:r>
          </w:p>
        </w:tc>
        <w:tc>
          <w:tcPr>
            <w:tcW w:w="2254" w:type="dxa"/>
          </w:tcPr>
          <w:p w14:paraId="06522478" w14:textId="373B4B82" w:rsidR="00F019DB" w:rsidRPr="00141927" w:rsidRDefault="00F019DB" w:rsidP="009F527E">
            <w:pPr>
              <w:rPr>
                <w:lang w:val="es-AR"/>
              </w:rPr>
            </w:pPr>
            <w:r w:rsidRPr="00141927">
              <w:rPr>
                <w:lang w:val="es-AR"/>
              </w:rPr>
              <w:t>Bisnieto</w:t>
            </w:r>
          </w:p>
        </w:tc>
        <w:tc>
          <w:tcPr>
            <w:tcW w:w="2254" w:type="dxa"/>
          </w:tcPr>
          <w:p w14:paraId="184DD0C9" w14:textId="1FB63396" w:rsidR="00F019DB" w:rsidRPr="00141927" w:rsidRDefault="00F019DB" w:rsidP="009F527E">
            <w:pPr>
              <w:rPr>
                <w:lang w:val="es-AR"/>
              </w:rPr>
            </w:pPr>
            <w:r w:rsidRPr="00141927">
              <w:rPr>
                <w:lang w:val="es-AR"/>
              </w:rPr>
              <w:t>R.C.</w:t>
            </w:r>
          </w:p>
        </w:tc>
        <w:tc>
          <w:tcPr>
            <w:tcW w:w="2254" w:type="dxa"/>
          </w:tcPr>
          <w:p w14:paraId="7C4F638A" w14:textId="55950F4E" w:rsidR="00F019DB" w:rsidRPr="00141927" w:rsidRDefault="00F019DB" w:rsidP="009F527E">
            <w:pPr>
              <w:rPr>
                <w:lang w:val="es-AR"/>
              </w:rPr>
            </w:pPr>
            <w:r w:rsidRPr="00141927">
              <w:rPr>
                <w:lang w:val="es-AR"/>
              </w:rPr>
              <w:t>1.114.311.126</w:t>
            </w:r>
          </w:p>
        </w:tc>
      </w:tr>
      <w:tr w:rsidR="00F019DB" w14:paraId="30215BF9" w14:textId="77777777" w:rsidTr="00B91597">
        <w:tc>
          <w:tcPr>
            <w:tcW w:w="2254" w:type="dxa"/>
          </w:tcPr>
          <w:p w14:paraId="1FC8F6F2" w14:textId="7C3F269F" w:rsidR="00F019DB" w:rsidRPr="00141927" w:rsidRDefault="00F019DB" w:rsidP="009F527E">
            <w:pPr>
              <w:rPr>
                <w:lang w:val="es-AR"/>
              </w:rPr>
            </w:pPr>
            <w:r w:rsidRPr="00141927">
              <w:rPr>
                <w:lang w:val="es-AR"/>
              </w:rPr>
              <w:t xml:space="preserve">ROBERT </w:t>
            </w:r>
            <w:proofErr w:type="spellStart"/>
            <w:r w:rsidRPr="00141927">
              <w:rPr>
                <w:lang w:val="es-AR"/>
              </w:rPr>
              <w:t>LUILLY</w:t>
            </w:r>
            <w:proofErr w:type="spellEnd"/>
            <w:r w:rsidRPr="00141927">
              <w:rPr>
                <w:lang w:val="es-AR"/>
              </w:rPr>
              <w:t xml:space="preserve"> LOAIZA CASTRO</w:t>
            </w:r>
            <w:r w:rsidR="00AF32C4" w:rsidRPr="00141927">
              <w:rPr>
                <w:rStyle w:val="Refdenotaalpie"/>
                <w:lang w:val="es-AR"/>
              </w:rPr>
              <w:footnoteReference w:id="2"/>
            </w:r>
          </w:p>
        </w:tc>
        <w:tc>
          <w:tcPr>
            <w:tcW w:w="2254" w:type="dxa"/>
          </w:tcPr>
          <w:p w14:paraId="7BB66F16" w14:textId="4803EAFC" w:rsidR="00F019DB" w:rsidRPr="00141927" w:rsidRDefault="00F019DB" w:rsidP="009F527E">
            <w:pPr>
              <w:rPr>
                <w:lang w:val="es-AR"/>
              </w:rPr>
            </w:pPr>
            <w:r w:rsidRPr="00141927">
              <w:rPr>
                <w:lang w:val="es-AR"/>
              </w:rPr>
              <w:t>Nieto</w:t>
            </w:r>
          </w:p>
        </w:tc>
        <w:tc>
          <w:tcPr>
            <w:tcW w:w="2254" w:type="dxa"/>
          </w:tcPr>
          <w:p w14:paraId="20D0A2A5" w14:textId="4B19D765" w:rsidR="00F019DB" w:rsidRPr="00141927" w:rsidRDefault="00F019DB" w:rsidP="009F527E">
            <w:pPr>
              <w:rPr>
                <w:lang w:val="es-AR"/>
              </w:rPr>
            </w:pPr>
            <w:r w:rsidRPr="00141927">
              <w:rPr>
                <w:lang w:val="es-AR"/>
              </w:rPr>
              <w:t>C.C.</w:t>
            </w:r>
          </w:p>
        </w:tc>
        <w:tc>
          <w:tcPr>
            <w:tcW w:w="2254" w:type="dxa"/>
          </w:tcPr>
          <w:p w14:paraId="7EFC4CF5" w14:textId="01FE5AEE" w:rsidR="00F019DB" w:rsidRPr="00141927" w:rsidRDefault="00F019DB" w:rsidP="009F527E">
            <w:pPr>
              <w:rPr>
                <w:lang w:val="es-AR"/>
              </w:rPr>
            </w:pPr>
            <w:r w:rsidRPr="00141927">
              <w:rPr>
                <w:lang w:val="es-AR"/>
              </w:rPr>
              <w:t>1.112.227.578</w:t>
            </w:r>
          </w:p>
        </w:tc>
      </w:tr>
      <w:tr w:rsidR="00F019DB" w14:paraId="1C23E05A" w14:textId="77777777" w:rsidTr="00B91597">
        <w:tc>
          <w:tcPr>
            <w:tcW w:w="2254" w:type="dxa"/>
          </w:tcPr>
          <w:p w14:paraId="4A380B2F" w14:textId="07AC45B3" w:rsidR="00F019DB" w:rsidRDefault="00F019DB" w:rsidP="009F527E">
            <w:pPr>
              <w:rPr>
                <w:lang w:val="es-AR"/>
              </w:rPr>
            </w:pPr>
            <w:r>
              <w:rPr>
                <w:lang w:val="es-AR"/>
              </w:rPr>
              <w:t>KAREN LOAIZA CASTRO</w:t>
            </w:r>
          </w:p>
        </w:tc>
        <w:tc>
          <w:tcPr>
            <w:tcW w:w="2254" w:type="dxa"/>
          </w:tcPr>
          <w:p w14:paraId="6311D886" w14:textId="6DED99EA" w:rsidR="00F019DB" w:rsidRDefault="00F019DB" w:rsidP="009F527E">
            <w:pPr>
              <w:rPr>
                <w:lang w:val="es-AR"/>
              </w:rPr>
            </w:pPr>
            <w:r>
              <w:rPr>
                <w:lang w:val="es-AR"/>
              </w:rPr>
              <w:t>Nieta</w:t>
            </w:r>
          </w:p>
        </w:tc>
        <w:tc>
          <w:tcPr>
            <w:tcW w:w="2254" w:type="dxa"/>
          </w:tcPr>
          <w:p w14:paraId="3EAC6D56" w14:textId="76A9A9E6" w:rsidR="00F019DB" w:rsidRDefault="00F019DB" w:rsidP="009F527E">
            <w:pPr>
              <w:rPr>
                <w:lang w:val="es-AR"/>
              </w:rPr>
            </w:pPr>
            <w:r>
              <w:rPr>
                <w:lang w:val="es-AR"/>
              </w:rPr>
              <w:t>C.C.</w:t>
            </w:r>
          </w:p>
        </w:tc>
        <w:tc>
          <w:tcPr>
            <w:tcW w:w="2254" w:type="dxa"/>
          </w:tcPr>
          <w:p w14:paraId="77EB6237" w14:textId="70A2DFD3" w:rsidR="00F019DB" w:rsidRDefault="00F019DB" w:rsidP="009F527E">
            <w:pPr>
              <w:rPr>
                <w:lang w:val="es-AR"/>
              </w:rPr>
            </w:pPr>
            <w:r>
              <w:rPr>
                <w:lang w:val="es-AR"/>
              </w:rPr>
              <w:t>1.112.231.222</w:t>
            </w:r>
          </w:p>
        </w:tc>
      </w:tr>
    </w:tbl>
    <w:p w14:paraId="08B16DB8" w14:textId="77777777" w:rsidR="009F527E" w:rsidRPr="009F527E" w:rsidRDefault="009F527E" w:rsidP="009F527E">
      <w:pPr>
        <w:rPr>
          <w:lang w:val="es-AR"/>
        </w:rPr>
      </w:pPr>
      <w:r w:rsidRPr="009F527E">
        <w:rPr>
          <w:lang w:val="es-AR"/>
        </w:rPr>
        <w:t> </w:t>
      </w:r>
    </w:p>
    <w:p w14:paraId="19CAD6DB" w14:textId="77777777" w:rsidR="009F527E" w:rsidRPr="009F527E" w:rsidRDefault="009F527E" w:rsidP="009F527E">
      <w:pPr>
        <w:rPr>
          <w:lang w:val="es-AR"/>
        </w:rPr>
      </w:pPr>
      <w:r w:rsidRPr="009F527E">
        <w:rPr>
          <w:b/>
          <w:bCs/>
          <w:lang w:val="es-AR"/>
        </w:rPr>
        <w:lastRenderedPageBreak/>
        <w:t>DEMANDADOS:</w:t>
      </w:r>
    </w:p>
    <w:p w14:paraId="6816B09C" w14:textId="2716B700" w:rsidR="009F527E" w:rsidRDefault="006C4645" w:rsidP="009F527E">
      <w:pPr>
        <w:numPr>
          <w:ilvl w:val="0"/>
          <w:numId w:val="2"/>
        </w:numPr>
        <w:rPr>
          <w:lang w:val="es-AR"/>
        </w:rPr>
      </w:pPr>
      <w:r>
        <w:rPr>
          <w:lang w:val="es-AR"/>
        </w:rPr>
        <w:t>CAJA DE COMPENSACIÓN FAMILIAR COMFANDI</w:t>
      </w:r>
    </w:p>
    <w:p w14:paraId="4656ABE2" w14:textId="171B9824" w:rsidR="00984D84" w:rsidRPr="009F527E" w:rsidRDefault="006C4645" w:rsidP="009F527E">
      <w:pPr>
        <w:numPr>
          <w:ilvl w:val="0"/>
          <w:numId w:val="2"/>
        </w:numPr>
        <w:rPr>
          <w:lang w:val="es-AR"/>
        </w:rPr>
      </w:pPr>
      <w:r>
        <w:rPr>
          <w:lang w:val="es-AR"/>
        </w:rPr>
        <w:t>SERVICIO OCCIDENTAL DE SALUD SOS EPS</w:t>
      </w:r>
    </w:p>
    <w:p w14:paraId="238EF7D8" w14:textId="64335AC0" w:rsidR="009F527E" w:rsidRDefault="009F527E" w:rsidP="009F527E">
      <w:pPr>
        <w:rPr>
          <w:lang w:val="es-AR"/>
        </w:rPr>
      </w:pPr>
      <w:r w:rsidRPr="009F527E">
        <w:rPr>
          <w:b/>
          <w:bCs/>
          <w:lang w:val="es-AR"/>
        </w:rPr>
        <w:t> </w:t>
      </w:r>
    </w:p>
    <w:p w14:paraId="65436122" w14:textId="2A05E485" w:rsidR="006C4645" w:rsidRDefault="006C4645" w:rsidP="009F527E">
      <w:pPr>
        <w:rPr>
          <w:b/>
          <w:bCs/>
          <w:lang w:val="es-AR"/>
        </w:rPr>
      </w:pPr>
      <w:r>
        <w:rPr>
          <w:b/>
          <w:bCs/>
          <w:lang w:val="es-AR"/>
        </w:rPr>
        <w:t xml:space="preserve">Llamados en garantía: </w:t>
      </w:r>
    </w:p>
    <w:p w14:paraId="2CA1A69B" w14:textId="5A64956E" w:rsidR="00B95343" w:rsidRPr="00B95343" w:rsidRDefault="006C4645" w:rsidP="00B95343">
      <w:pPr>
        <w:pStyle w:val="Prrafodelista"/>
        <w:numPr>
          <w:ilvl w:val="0"/>
          <w:numId w:val="5"/>
        </w:numPr>
        <w:spacing w:before="240"/>
        <w:rPr>
          <w:b/>
          <w:bCs/>
          <w:lang w:val="es-AR"/>
        </w:rPr>
      </w:pPr>
      <w:r>
        <w:rPr>
          <w:lang w:val="es-AR"/>
        </w:rPr>
        <w:t>Seguros del Estado</w:t>
      </w:r>
    </w:p>
    <w:p w14:paraId="39D51552" w14:textId="77777777" w:rsidR="00B95343" w:rsidRPr="00B95343" w:rsidRDefault="00B95343" w:rsidP="00B95343">
      <w:pPr>
        <w:pStyle w:val="Prrafodelista"/>
        <w:spacing w:before="240"/>
        <w:rPr>
          <w:b/>
          <w:bCs/>
          <w:lang w:val="es-AR"/>
        </w:rPr>
      </w:pPr>
    </w:p>
    <w:p w14:paraId="0ED3AB75" w14:textId="32111039" w:rsidR="00B95343" w:rsidRPr="00B95343" w:rsidRDefault="006C4645" w:rsidP="00B95343">
      <w:pPr>
        <w:pStyle w:val="Prrafodelista"/>
        <w:numPr>
          <w:ilvl w:val="0"/>
          <w:numId w:val="5"/>
        </w:numPr>
        <w:rPr>
          <w:b/>
          <w:bCs/>
          <w:lang w:val="es-AR"/>
        </w:rPr>
      </w:pPr>
      <w:r w:rsidRPr="00B95343">
        <w:rPr>
          <w:lang w:val="es-AR"/>
        </w:rPr>
        <w:t>Caja de compensación familiar del valle del cauca – COMFANDI</w:t>
      </w:r>
    </w:p>
    <w:p w14:paraId="762E5974" w14:textId="77777777" w:rsidR="00B95343" w:rsidRPr="00B95343" w:rsidRDefault="00B95343" w:rsidP="00B95343">
      <w:pPr>
        <w:rPr>
          <w:b/>
          <w:bCs/>
          <w:lang w:val="es-AR"/>
        </w:rPr>
      </w:pPr>
    </w:p>
    <w:p w14:paraId="279B8CC1" w14:textId="147A595B" w:rsidR="006C4645" w:rsidRPr="006C4645" w:rsidRDefault="006C4645" w:rsidP="00B95343">
      <w:pPr>
        <w:pStyle w:val="Prrafodelista"/>
        <w:numPr>
          <w:ilvl w:val="0"/>
          <w:numId w:val="5"/>
        </w:numPr>
        <w:rPr>
          <w:b/>
          <w:bCs/>
          <w:lang w:val="es-AR"/>
        </w:rPr>
      </w:pPr>
      <w:r>
        <w:rPr>
          <w:b/>
          <w:bCs/>
          <w:u w:val="single"/>
          <w:lang w:val="es-AR"/>
        </w:rPr>
        <w:t>CLÍNICA PALMIRA S.A.</w:t>
      </w:r>
    </w:p>
    <w:p w14:paraId="2A3BA3F4" w14:textId="77777777" w:rsidR="006C4645" w:rsidRPr="006C4645" w:rsidRDefault="006C4645" w:rsidP="006C4645">
      <w:pPr>
        <w:pStyle w:val="Prrafodelista"/>
        <w:rPr>
          <w:b/>
          <w:bCs/>
          <w:lang w:val="es-AR"/>
        </w:rPr>
      </w:pPr>
    </w:p>
    <w:p w14:paraId="3EC6CDFE" w14:textId="08962941" w:rsidR="009F527E" w:rsidRPr="009F527E" w:rsidRDefault="009F527E" w:rsidP="009F527E">
      <w:pPr>
        <w:rPr>
          <w:lang w:val="es-AR"/>
        </w:rPr>
      </w:pPr>
      <w:r w:rsidRPr="009F527E">
        <w:rPr>
          <w:b/>
          <w:bCs/>
          <w:lang w:val="es-AR"/>
        </w:rPr>
        <w:t>Hechos</w:t>
      </w:r>
      <w:r w:rsidRPr="009F527E">
        <w:rPr>
          <w:lang w:val="es-AR"/>
        </w:rPr>
        <w:t xml:space="preserve">: </w:t>
      </w:r>
      <w:r w:rsidR="006C4645">
        <w:rPr>
          <w:lang w:val="es-AR"/>
        </w:rPr>
        <w:t>01 y 02 de julio de 2022</w:t>
      </w:r>
      <w:r w:rsidR="00600240">
        <w:rPr>
          <w:lang w:val="es-AR"/>
        </w:rPr>
        <w:t xml:space="preserve"> </w:t>
      </w:r>
    </w:p>
    <w:p w14:paraId="6BD96FC6" w14:textId="530A6E6A" w:rsidR="009F527E" w:rsidRPr="009F527E" w:rsidRDefault="009F527E" w:rsidP="009F527E">
      <w:pPr>
        <w:rPr>
          <w:lang w:val="es-AR"/>
        </w:rPr>
      </w:pPr>
      <w:r w:rsidRPr="009F527E">
        <w:rPr>
          <w:b/>
          <w:bCs/>
          <w:lang w:val="es-AR"/>
        </w:rPr>
        <w:t>Radicación demanda: </w:t>
      </w:r>
      <w:r w:rsidR="006C4645">
        <w:rPr>
          <w:lang w:val="es-AR"/>
        </w:rPr>
        <w:t>22 de marzo de 2024</w:t>
      </w:r>
      <w:r w:rsidR="00117A8C">
        <w:rPr>
          <w:lang w:val="es-AR"/>
        </w:rPr>
        <w:t xml:space="preserve"> </w:t>
      </w:r>
    </w:p>
    <w:p w14:paraId="0FA1EB5B" w14:textId="5FC8BCB4" w:rsidR="009F527E" w:rsidRPr="009F527E" w:rsidRDefault="009F527E" w:rsidP="00600240">
      <w:pPr>
        <w:jc w:val="both"/>
        <w:rPr>
          <w:lang w:val="es-AR"/>
        </w:rPr>
      </w:pPr>
      <w:r w:rsidRPr="009F527E">
        <w:rPr>
          <w:b/>
          <w:bCs/>
          <w:lang w:val="es-AR"/>
        </w:rPr>
        <w:t>Demanda admitida:</w:t>
      </w:r>
      <w:r w:rsidRPr="009F527E">
        <w:rPr>
          <w:lang w:val="es-AR"/>
        </w:rPr>
        <w:t> </w:t>
      </w:r>
      <w:r w:rsidR="006C4645">
        <w:rPr>
          <w:lang w:val="es-AR"/>
        </w:rPr>
        <w:t xml:space="preserve">15 de abril de 2024. </w:t>
      </w:r>
    </w:p>
    <w:p w14:paraId="2C409E15" w14:textId="77777777" w:rsidR="006C4645" w:rsidRDefault="006C4645" w:rsidP="001B0450">
      <w:pPr>
        <w:jc w:val="both"/>
        <w:rPr>
          <w:lang w:val="es-AR"/>
        </w:rPr>
      </w:pPr>
      <w:r>
        <w:rPr>
          <w:b/>
          <w:bCs/>
          <w:lang w:val="es-AR"/>
        </w:rPr>
        <w:t xml:space="preserve">Radicación del llamamiento en garantía: </w:t>
      </w:r>
      <w:r>
        <w:rPr>
          <w:lang w:val="es-AR"/>
        </w:rPr>
        <w:t>16 de mayo de 2024</w:t>
      </w:r>
    </w:p>
    <w:p w14:paraId="2454D59F" w14:textId="77777777" w:rsidR="006C4645" w:rsidRDefault="006C4645" w:rsidP="001B0450">
      <w:pPr>
        <w:jc w:val="both"/>
        <w:rPr>
          <w:lang w:val="es-AR"/>
        </w:rPr>
      </w:pPr>
      <w:r>
        <w:rPr>
          <w:b/>
          <w:bCs/>
          <w:lang w:val="es-AR"/>
        </w:rPr>
        <w:t xml:space="preserve">Admisión del llamamiento en garantía: </w:t>
      </w:r>
      <w:r>
        <w:rPr>
          <w:lang w:val="es-AR"/>
        </w:rPr>
        <w:t>5 de diciembre de 2024</w:t>
      </w:r>
    </w:p>
    <w:p w14:paraId="51CEAF3D" w14:textId="0ED0C96D" w:rsidR="009F527E" w:rsidRDefault="006C4645" w:rsidP="001B0450">
      <w:pPr>
        <w:jc w:val="both"/>
        <w:rPr>
          <w:lang w:val="es-AR"/>
        </w:rPr>
      </w:pPr>
      <w:r>
        <w:rPr>
          <w:b/>
          <w:bCs/>
          <w:lang w:val="es-AR"/>
        </w:rPr>
        <w:t xml:space="preserve">Contestación a la demanda y al llamamiento en garantía: </w:t>
      </w:r>
      <w:r>
        <w:rPr>
          <w:lang w:val="es-AR"/>
        </w:rPr>
        <w:t>2</w:t>
      </w:r>
      <w:r w:rsidR="00D80FB3">
        <w:rPr>
          <w:lang w:val="es-AR"/>
        </w:rPr>
        <w:t>7</w:t>
      </w:r>
      <w:r>
        <w:rPr>
          <w:lang w:val="es-AR"/>
        </w:rPr>
        <w:t xml:space="preserve"> de enero de 2025</w:t>
      </w:r>
      <w:r w:rsidR="007F74F2">
        <w:rPr>
          <w:b/>
          <w:bCs/>
          <w:lang w:val="es-AR"/>
        </w:rPr>
        <w:t xml:space="preserve"> </w:t>
      </w:r>
    </w:p>
    <w:p w14:paraId="63EA7E3E" w14:textId="77777777" w:rsidR="009F527E" w:rsidRPr="009F527E" w:rsidRDefault="009F527E" w:rsidP="009F527E">
      <w:pPr>
        <w:rPr>
          <w:lang w:val="es-AR"/>
        </w:rPr>
      </w:pPr>
      <w:r w:rsidRPr="009F527E">
        <w:rPr>
          <w:lang w:val="es-AR"/>
        </w:rPr>
        <w:t> </w:t>
      </w:r>
    </w:p>
    <w:p w14:paraId="35FA030D" w14:textId="77777777" w:rsidR="009F527E" w:rsidRDefault="009F527E" w:rsidP="005A7B68">
      <w:pPr>
        <w:jc w:val="center"/>
        <w:rPr>
          <w:b/>
          <w:bCs/>
          <w:lang w:val="es-AR"/>
        </w:rPr>
      </w:pPr>
      <w:r w:rsidRPr="009F527E">
        <w:rPr>
          <w:b/>
          <w:bCs/>
          <w:lang w:val="es-AR"/>
        </w:rPr>
        <w:t>HECHOS:</w:t>
      </w:r>
    </w:p>
    <w:p w14:paraId="6AFFA926" w14:textId="213E5BE4" w:rsidR="00740234" w:rsidRPr="00740234" w:rsidRDefault="00740234" w:rsidP="00740234">
      <w:pPr>
        <w:jc w:val="both"/>
        <w:rPr>
          <w:lang w:val="es-AR"/>
        </w:rPr>
      </w:pPr>
      <w:r>
        <w:rPr>
          <w:lang w:val="es-AR"/>
        </w:rPr>
        <w:t xml:space="preserve">La paciente Rosa Emilda Gómez Ceballos estaba programada para una colecistectomía laparoscopia el día 30 de junio de 2022 en la IPS COMFANDI, sin </w:t>
      </w:r>
      <w:r w:rsidR="00244657">
        <w:rPr>
          <w:lang w:val="es-AR"/>
        </w:rPr>
        <w:t>embargo,</w:t>
      </w:r>
      <w:r>
        <w:rPr>
          <w:lang w:val="es-AR"/>
        </w:rPr>
        <w:t xml:space="preserve"> el procedimiento quirúrgico no se realizó pues una vez abierta la cavidad de la paciente el cirujano encontró que esta presentaba un síndrome adherencial severo y que por tanto </w:t>
      </w:r>
      <w:r w:rsidR="00244657">
        <w:rPr>
          <w:lang w:val="es-AR"/>
        </w:rPr>
        <w:t xml:space="preserve">debía reprogramarse la cirugía en un centro médico de mayor complejidad. Así se lo hicieron saber a la familia de la paciente. </w:t>
      </w:r>
    </w:p>
    <w:p w14:paraId="247DCB7F" w14:textId="00E06615" w:rsidR="003557E6" w:rsidRDefault="00244657" w:rsidP="00B95343">
      <w:pPr>
        <w:jc w:val="both"/>
        <w:rPr>
          <w:lang w:val="es-AR"/>
        </w:rPr>
      </w:pPr>
      <w:r>
        <w:rPr>
          <w:lang w:val="es-AR"/>
        </w:rPr>
        <w:t>Unas 36 horas después de este procedimiento quirúrgico fallido, el</w:t>
      </w:r>
      <w:r w:rsidR="00B95343">
        <w:rPr>
          <w:lang w:val="es-AR"/>
        </w:rPr>
        <w:t xml:space="preserve"> día 01 de julio de 2022 la paciente Rosa Emilda Gómez Ceballos ingresó al servicio de urgencias de la Clínica Palmira directo al servicio de reanimación. Allí su acompañante manifestó que la paciente presentaba “un dolor que no se lo aguanta”, manifestó además que el día anterior a eso de las 7 am la paciente había acudido a la clínica Comfandi programada para una colecistectomía </w:t>
      </w:r>
      <w:r w:rsidR="003557E6">
        <w:rPr>
          <w:lang w:val="es-AR"/>
        </w:rPr>
        <w:t xml:space="preserve">laparoscópica, </w:t>
      </w:r>
      <w:r w:rsidR="003557E6" w:rsidRPr="009F527E">
        <w:rPr>
          <w:lang w:val="es-AR"/>
        </w:rPr>
        <w:t>sin</w:t>
      </w:r>
      <w:r w:rsidR="00B95343">
        <w:rPr>
          <w:lang w:val="es-AR"/>
        </w:rPr>
        <w:t xml:space="preserve"> </w:t>
      </w:r>
      <w:r w:rsidR="003557E6">
        <w:rPr>
          <w:lang w:val="es-AR"/>
        </w:rPr>
        <w:t>embargo,</w:t>
      </w:r>
      <w:r w:rsidR="00B95343">
        <w:rPr>
          <w:lang w:val="es-AR"/>
        </w:rPr>
        <w:t xml:space="preserve"> le </w:t>
      </w:r>
      <w:r w:rsidR="003557E6">
        <w:rPr>
          <w:lang w:val="es-AR"/>
        </w:rPr>
        <w:t>dieron</w:t>
      </w:r>
      <w:r w:rsidR="00B95343">
        <w:rPr>
          <w:lang w:val="es-AR"/>
        </w:rPr>
        <w:t xml:space="preserve"> egreso y le manifestaron que no </w:t>
      </w:r>
      <w:r w:rsidR="003557E6">
        <w:rPr>
          <w:lang w:val="es-AR"/>
        </w:rPr>
        <w:t>extraían</w:t>
      </w:r>
      <w:r w:rsidR="00B95343">
        <w:rPr>
          <w:lang w:val="es-AR"/>
        </w:rPr>
        <w:t xml:space="preserve"> la vesícula y debe ser reprogramada</w:t>
      </w:r>
      <w:r w:rsidR="003557E6">
        <w:rPr>
          <w:lang w:val="es-AR"/>
        </w:rPr>
        <w:t xml:space="preserve">, Posteriormente a </w:t>
      </w:r>
      <w:r w:rsidR="003557E6">
        <w:rPr>
          <w:lang w:val="es-AR"/>
        </w:rPr>
        <w:lastRenderedPageBreak/>
        <w:t xml:space="preserve">este procedimiento la paciente presentó decaimiento, temblor distal y dolor abdominal en incremento. </w:t>
      </w:r>
    </w:p>
    <w:p w14:paraId="647A9126" w14:textId="030D266C" w:rsidR="006D0D82" w:rsidRDefault="00F14E19" w:rsidP="00B95343">
      <w:pPr>
        <w:jc w:val="both"/>
        <w:rPr>
          <w:lang w:val="es-AR"/>
        </w:rPr>
      </w:pPr>
      <w:r>
        <w:rPr>
          <w:lang w:val="es-AR"/>
        </w:rPr>
        <w:t xml:space="preserve">El </w:t>
      </w:r>
      <w:r w:rsidR="003557E6">
        <w:rPr>
          <w:lang w:val="es-AR"/>
        </w:rPr>
        <w:t xml:space="preserve">Cirujano de turno evaluó a la paciente y ordenó su traslado hacia quirófano como urgencia vital por abdomen agudo. </w:t>
      </w:r>
      <w:r>
        <w:rPr>
          <w:lang w:val="es-AR"/>
        </w:rPr>
        <w:t>El mismo</w:t>
      </w:r>
      <w:r w:rsidR="00B95343">
        <w:rPr>
          <w:lang w:val="es-AR"/>
        </w:rPr>
        <w:t xml:space="preserve"> </w:t>
      </w:r>
      <w:r>
        <w:rPr>
          <w:lang w:val="es-AR"/>
        </w:rPr>
        <w:t>c</w:t>
      </w:r>
      <w:r w:rsidR="003557E6">
        <w:rPr>
          <w:lang w:val="es-AR"/>
        </w:rPr>
        <w:t>irujano ordenó laparotomía explora</w:t>
      </w:r>
      <w:r>
        <w:rPr>
          <w:lang w:val="es-AR"/>
        </w:rPr>
        <w:t>tori</w:t>
      </w:r>
      <w:r w:rsidR="003557E6">
        <w:rPr>
          <w:lang w:val="es-AR"/>
        </w:rPr>
        <w:t xml:space="preserve">a como urgencia vital, e indicó que con los hallazgos clínicos de abdomen agudo y antecedente quirúrgico reciente más antecedentes quirúrgicos abdominales múltiples de la paciente consideró evento relacionado. </w:t>
      </w:r>
    </w:p>
    <w:p w14:paraId="21B827E9" w14:textId="7F45E100" w:rsidR="009F527E" w:rsidRDefault="003557E6" w:rsidP="00B95343">
      <w:pPr>
        <w:jc w:val="both"/>
        <w:rPr>
          <w:lang w:val="es-AR"/>
        </w:rPr>
      </w:pPr>
      <w:r>
        <w:rPr>
          <w:lang w:val="es-AR"/>
        </w:rPr>
        <w:t xml:space="preserve"> </w:t>
      </w:r>
      <w:r w:rsidR="008418E2">
        <w:rPr>
          <w:lang w:val="es-AR"/>
        </w:rPr>
        <w:t xml:space="preserve">La paciente presentaba un </w:t>
      </w:r>
      <w:r w:rsidR="00722880">
        <w:rPr>
          <w:lang w:val="es-AR"/>
        </w:rPr>
        <w:t>diagnóstico</w:t>
      </w:r>
      <w:r w:rsidR="008418E2">
        <w:rPr>
          <w:lang w:val="es-AR"/>
        </w:rPr>
        <w:t xml:space="preserve"> </w:t>
      </w:r>
      <w:r w:rsidR="00722880">
        <w:rPr>
          <w:lang w:val="es-AR"/>
        </w:rPr>
        <w:t>preoperatorio</w:t>
      </w:r>
      <w:r w:rsidR="008418E2">
        <w:rPr>
          <w:lang w:val="es-AR"/>
        </w:rPr>
        <w:t xml:space="preserve"> de abdomen agudo y posterior a la laparotomía exploratoria se determinó como diagnostico peritonitis aguda. Durante el procedimiento </w:t>
      </w:r>
      <w:r w:rsidR="00722880">
        <w:rPr>
          <w:lang w:val="es-AR"/>
        </w:rPr>
        <w:t>quirúrgico</w:t>
      </w:r>
      <w:r w:rsidR="008418E2">
        <w:rPr>
          <w:lang w:val="es-AR"/>
        </w:rPr>
        <w:t xml:space="preserve"> </w:t>
      </w:r>
      <w:r w:rsidR="00722880">
        <w:rPr>
          <w:lang w:val="es-AR"/>
        </w:rPr>
        <w:t xml:space="preserve">según los hallazgos descritos en la historia clínica se encontró que la paciente presentaba un síndrome adherencial con peritonitis intestinal y membranas adherentes, y una pequeña perforación en borde antimesenterico de íleon terminal. Dado el tiempo de evolución (desde el </w:t>
      </w:r>
      <w:r w:rsidR="00740234">
        <w:rPr>
          <w:lang w:val="es-AR"/>
        </w:rPr>
        <w:t>procedimiento</w:t>
      </w:r>
      <w:r w:rsidR="00722880">
        <w:rPr>
          <w:lang w:val="es-AR"/>
        </w:rPr>
        <w:t xml:space="preserve"> quirúrgico realizado en otro centro médico) revisión de cavidad en 4-5 días o antes si las condiciones obligaban</w:t>
      </w:r>
      <w:r w:rsidR="00740234">
        <w:rPr>
          <w:lang w:val="es-AR"/>
        </w:rPr>
        <w:t>.</w:t>
      </w:r>
    </w:p>
    <w:p w14:paraId="401BCD66" w14:textId="1DE11671" w:rsidR="00740234" w:rsidRDefault="00740234" w:rsidP="00B95343">
      <w:pPr>
        <w:jc w:val="both"/>
        <w:rPr>
          <w:lang w:val="es-AR"/>
        </w:rPr>
      </w:pPr>
      <w:r>
        <w:rPr>
          <w:lang w:val="es-AR"/>
        </w:rPr>
        <w:t xml:space="preserve">En el servicio de UCI se proporciona atención con liquidaciones y monitoreo constante a la paciente, sin embargo, y a pesar de los esfuerzos del equipo médico esta falleció el día 02 de julio a las 9:05 pm como consecuencia de un choque séptico severo. </w:t>
      </w:r>
    </w:p>
    <w:p w14:paraId="3EA69292" w14:textId="77777777" w:rsidR="00244657" w:rsidRPr="009F527E" w:rsidRDefault="00244657" w:rsidP="00B95343">
      <w:pPr>
        <w:jc w:val="both"/>
        <w:rPr>
          <w:lang w:val="es-AR"/>
        </w:rPr>
      </w:pPr>
    </w:p>
    <w:p w14:paraId="6EAB97C5" w14:textId="77777777" w:rsidR="00BF5C3B" w:rsidRDefault="009F527E" w:rsidP="5B506F73">
      <w:pPr>
        <w:rPr>
          <w:b/>
          <w:bCs/>
          <w:lang w:val="es-AR"/>
        </w:rPr>
      </w:pPr>
      <w:r w:rsidRPr="5B506F73">
        <w:rPr>
          <w:b/>
          <w:bCs/>
          <w:lang w:val="es-AR"/>
        </w:rPr>
        <w:t>PRETENSIONES</w:t>
      </w:r>
      <w:r w:rsidR="00BF5C3B">
        <w:rPr>
          <w:b/>
          <w:bCs/>
          <w:lang w:val="es-AR"/>
        </w:rPr>
        <w:t xml:space="preserve"> DE LA DEMANDA</w:t>
      </w:r>
      <w:r w:rsidRPr="5B506F73">
        <w:rPr>
          <w:b/>
          <w:bCs/>
          <w:lang w:val="es-AR"/>
        </w:rPr>
        <w:t xml:space="preserve">: </w:t>
      </w:r>
    </w:p>
    <w:p w14:paraId="1513B1D9" w14:textId="1AFD8ADD" w:rsidR="009F527E" w:rsidRDefault="009F527E" w:rsidP="009F527E">
      <w:pPr>
        <w:rPr>
          <w:lang w:val="es-AR"/>
        </w:rPr>
      </w:pPr>
      <w:r w:rsidRPr="009F527E">
        <w:rPr>
          <w:lang w:val="es-AR"/>
        </w:rPr>
        <w:t xml:space="preserve">Daño moral: </w:t>
      </w:r>
      <w:r w:rsidR="00933C9B">
        <w:rPr>
          <w:lang w:val="es-AR"/>
        </w:rPr>
        <w:t>380 SMLMV ($494.000.000)</w:t>
      </w:r>
    </w:p>
    <w:p w14:paraId="3F146408" w14:textId="6EB23D3C" w:rsidR="00DB1A27" w:rsidRPr="009F527E" w:rsidRDefault="00DB1A27" w:rsidP="009F527E">
      <w:pPr>
        <w:rPr>
          <w:lang w:val="es-AR"/>
        </w:rPr>
      </w:pPr>
      <w:r>
        <w:rPr>
          <w:lang w:val="es-AR"/>
        </w:rPr>
        <w:t>Daño a la</w:t>
      </w:r>
      <w:r w:rsidR="00933C9B">
        <w:rPr>
          <w:lang w:val="es-AR"/>
        </w:rPr>
        <w:t xml:space="preserve"> vida en relación: 270 SMLMV ($351.000.000)</w:t>
      </w:r>
    </w:p>
    <w:p w14:paraId="061791AC" w14:textId="7CF37DE2" w:rsidR="00414B07" w:rsidRPr="00BF5C3B" w:rsidRDefault="00414B07" w:rsidP="009F527E">
      <w:pPr>
        <w:rPr>
          <w:b/>
          <w:bCs/>
          <w:lang w:val="es-AR"/>
        </w:rPr>
      </w:pPr>
      <w:r w:rsidRPr="00BF5C3B">
        <w:rPr>
          <w:b/>
          <w:bCs/>
          <w:lang w:val="es-AR"/>
        </w:rPr>
        <w:t xml:space="preserve">Total, pretensiones: </w:t>
      </w:r>
      <w:r w:rsidR="00755F15" w:rsidRPr="00BF5C3B">
        <w:rPr>
          <w:b/>
          <w:bCs/>
          <w:lang w:val="es-AR"/>
        </w:rPr>
        <w:t>$</w:t>
      </w:r>
      <w:r w:rsidR="00933C9B">
        <w:rPr>
          <w:b/>
          <w:bCs/>
          <w:lang w:val="es-AR"/>
        </w:rPr>
        <w:t>845.000.000</w:t>
      </w:r>
    </w:p>
    <w:p w14:paraId="5979D105" w14:textId="77777777" w:rsidR="009F527E" w:rsidRPr="009F527E" w:rsidRDefault="009F527E" w:rsidP="009F527E">
      <w:pPr>
        <w:rPr>
          <w:lang w:val="es-AR"/>
        </w:rPr>
      </w:pPr>
      <w:r w:rsidRPr="009F527E">
        <w:rPr>
          <w:lang w:val="es-AR"/>
        </w:rPr>
        <w:t> </w:t>
      </w:r>
    </w:p>
    <w:p w14:paraId="315498CA" w14:textId="77777777" w:rsidR="009F527E" w:rsidRPr="009F527E" w:rsidRDefault="009F527E" w:rsidP="009F527E">
      <w:pPr>
        <w:rPr>
          <w:lang w:val="es-AR"/>
        </w:rPr>
      </w:pPr>
      <w:r w:rsidRPr="009F527E">
        <w:rPr>
          <w:b/>
          <w:bCs/>
          <w:lang w:val="es-AR"/>
        </w:rPr>
        <w:t>VINCULACIÓN CLÍNICA PALMIRA: </w:t>
      </w:r>
    </w:p>
    <w:p w14:paraId="45185B34" w14:textId="0C5DBE5D" w:rsidR="00933C9B" w:rsidRDefault="003822D5" w:rsidP="009F527E">
      <w:pPr>
        <w:pBdr>
          <w:bottom w:val="single" w:sz="12" w:space="1" w:color="auto"/>
        </w:pBdr>
        <w:rPr>
          <w:lang w:val="es-AR"/>
        </w:rPr>
      </w:pPr>
      <w:r w:rsidRPr="5B506F73">
        <w:rPr>
          <w:lang w:val="es-AR"/>
        </w:rPr>
        <w:t xml:space="preserve">Vinculación </w:t>
      </w:r>
      <w:r w:rsidR="00933C9B">
        <w:rPr>
          <w:lang w:val="es-AR"/>
        </w:rPr>
        <w:t xml:space="preserve">indirecta- Llamada en garantía por el Servicio Occidental en Salud. </w:t>
      </w:r>
      <w:r w:rsidR="23E222EF" w:rsidRPr="5B506F73">
        <w:rPr>
          <w:lang w:val="es-AR"/>
        </w:rPr>
        <w:t xml:space="preserve"> </w:t>
      </w:r>
    </w:p>
    <w:p w14:paraId="239F2F7A" w14:textId="12F73552" w:rsidR="00933C9B" w:rsidRDefault="00933C9B" w:rsidP="00933C9B">
      <w:pPr>
        <w:pBdr>
          <w:bottom w:val="single" w:sz="12" w:space="1" w:color="auto"/>
        </w:pBdr>
        <w:jc w:val="both"/>
        <w:rPr>
          <w:lang w:val="es-AR"/>
        </w:rPr>
      </w:pPr>
      <w:r>
        <w:rPr>
          <w:lang w:val="es-AR"/>
        </w:rPr>
        <w:t xml:space="preserve">Como fundamento para realizar este llamamiento en garantía se hizo alusión a la relación jurídico negocial existente entre la Clínica y la EPS </w:t>
      </w:r>
      <w:r w:rsidR="00E47CF0">
        <w:rPr>
          <w:lang w:val="es-AR"/>
        </w:rPr>
        <w:t>debido al</w:t>
      </w:r>
      <w:r>
        <w:rPr>
          <w:lang w:val="es-AR"/>
        </w:rPr>
        <w:t xml:space="preserve"> contrato para la prestación de servicios asistenciales bajo la modalidad de evento identificado con el consecutivo No. 1343 con inicio de vigencia 01 de febrero de 2012 y prórroga automática manual. </w:t>
      </w:r>
    </w:p>
    <w:p w14:paraId="4139C0CD" w14:textId="308317DB" w:rsidR="00933C9B" w:rsidRDefault="00933C9B" w:rsidP="00933C9B">
      <w:pPr>
        <w:pBdr>
          <w:bottom w:val="single" w:sz="12" w:space="1" w:color="auto"/>
        </w:pBdr>
        <w:jc w:val="both"/>
        <w:rPr>
          <w:lang w:val="es-AR"/>
        </w:rPr>
      </w:pPr>
      <w:r>
        <w:rPr>
          <w:lang w:val="es-AR"/>
        </w:rPr>
        <w:t xml:space="preserve">Renglón seguido se cita la cláusula </w:t>
      </w:r>
      <w:r w:rsidR="00E47CF0">
        <w:rPr>
          <w:lang w:val="es-AR"/>
        </w:rPr>
        <w:t>decimosexta</w:t>
      </w:r>
      <w:r>
        <w:rPr>
          <w:lang w:val="es-AR"/>
        </w:rPr>
        <w:t xml:space="preserve"> de dicho contrato la cual hace alusión a la Responsabilidad legal derivada de la prestación de los servicios médicos, en donde se indica que el Contratista asume desde el ingreso a sus instalaciones de los </w:t>
      </w:r>
      <w:r w:rsidR="00E47CF0">
        <w:rPr>
          <w:lang w:val="es-AR"/>
        </w:rPr>
        <w:t>afiliados</w:t>
      </w:r>
      <w:r>
        <w:rPr>
          <w:lang w:val="es-AR"/>
        </w:rPr>
        <w:t xml:space="preserve"> de EL CONTRATANTE (la EPS) la </w:t>
      </w:r>
      <w:r w:rsidR="00E47CF0">
        <w:rPr>
          <w:lang w:val="es-AR"/>
        </w:rPr>
        <w:t>responsabilidad</w:t>
      </w:r>
      <w:r>
        <w:rPr>
          <w:lang w:val="es-AR"/>
        </w:rPr>
        <w:t xml:space="preserve"> plena en materia patrimonial extracontractual, penal, civil y administrativa. </w:t>
      </w:r>
      <w:r w:rsidR="00E47CF0">
        <w:rPr>
          <w:lang w:val="es-AR"/>
        </w:rPr>
        <w:t xml:space="preserve"> Y se citan además los parágrafos de la </w:t>
      </w:r>
      <w:r w:rsidR="00F14E19">
        <w:rPr>
          <w:lang w:val="es-AR"/>
        </w:rPr>
        <w:lastRenderedPageBreak/>
        <w:t>cláusula</w:t>
      </w:r>
      <w:r w:rsidR="00E47CF0">
        <w:rPr>
          <w:lang w:val="es-AR"/>
        </w:rPr>
        <w:t xml:space="preserve"> en comento las cuales indican que el contratante (EPS) no responderá por los perjuicios que puedan derivarse de la atención prestada por el contratis</w:t>
      </w:r>
      <w:r w:rsidR="00080B59">
        <w:rPr>
          <w:lang w:val="es-AR"/>
        </w:rPr>
        <w:t>ta</w:t>
      </w:r>
      <w:r w:rsidR="00E47CF0">
        <w:rPr>
          <w:lang w:val="es-AR"/>
        </w:rPr>
        <w:t xml:space="preserve">, y que el contratante podrá repetir contra el contratista si se prueba que este actuó o incurrió en culpa alguna. </w:t>
      </w:r>
    </w:p>
    <w:p w14:paraId="2C2FA7FF" w14:textId="77777777" w:rsidR="00077251" w:rsidRPr="009F527E" w:rsidRDefault="00077251" w:rsidP="009F527E">
      <w:pPr>
        <w:pBdr>
          <w:bottom w:val="single" w:sz="12" w:space="1" w:color="auto"/>
        </w:pBdr>
        <w:rPr>
          <w:lang w:val="es-AR"/>
        </w:rPr>
      </w:pPr>
    </w:p>
    <w:p w14:paraId="48384C38" w14:textId="77777777" w:rsidR="00077251" w:rsidRDefault="00077251">
      <w:pPr>
        <w:rPr>
          <w:lang w:val="es-AR"/>
        </w:rPr>
      </w:pPr>
    </w:p>
    <w:p w14:paraId="46A3BC85" w14:textId="3D6BED2E" w:rsidR="001D249A" w:rsidRDefault="001D249A" w:rsidP="001D249A">
      <w:pPr>
        <w:jc w:val="center"/>
        <w:rPr>
          <w:b/>
          <w:bCs/>
          <w:lang w:val="es-AR"/>
        </w:rPr>
      </w:pPr>
      <w:r>
        <w:rPr>
          <w:b/>
          <w:bCs/>
          <w:lang w:val="es-AR"/>
        </w:rPr>
        <w:t>CALIFICACIÓN CONTINGENCIA</w:t>
      </w:r>
    </w:p>
    <w:p w14:paraId="1A354508" w14:textId="77777777" w:rsidR="001D249A" w:rsidRDefault="001D249A" w:rsidP="001D249A">
      <w:pPr>
        <w:rPr>
          <w:b/>
          <w:bCs/>
          <w:lang w:val="es-AR"/>
        </w:rPr>
      </w:pPr>
    </w:p>
    <w:p w14:paraId="7FF5127B" w14:textId="07BDF498" w:rsidR="00FE4753" w:rsidRDefault="00D4451D" w:rsidP="00094A6E">
      <w:pPr>
        <w:pBdr>
          <w:bottom w:val="single" w:sz="12" w:space="1" w:color="auto"/>
        </w:pBdr>
        <w:jc w:val="both"/>
        <w:rPr>
          <w:lang w:val="es-AR"/>
        </w:rPr>
      </w:pPr>
      <w:r>
        <w:rPr>
          <w:lang w:val="es-AR"/>
        </w:rPr>
        <w:t xml:space="preserve">Revisada la demanda y el llamamiento en garantía, así como las pruebas que obran en el expediente, se puede calificar la contingencia en el presente asunto como </w:t>
      </w:r>
      <w:r>
        <w:rPr>
          <w:b/>
          <w:bCs/>
          <w:u w:val="single"/>
          <w:lang w:val="es-AR"/>
        </w:rPr>
        <w:t>REMOTA</w:t>
      </w:r>
      <w:r>
        <w:rPr>
          <w:lang w:val="es-AR"/>
        </w:rPr>
        <w:t xml:space="preserve">, esto toda vez que </w:t>
      </w:r>
      <w:r w:rsidR="00372293">
        <w:rPr>
          <w:lang w:val="es-AR"/>
        </w:rPr>
        <w:t xml:space="preserve">la paciente Rosa Emilda Gómez Ceballos ya presentaba un delicado estado clínico </w:t>
      </w:r>
      <w:r w:rsidR="00006428">
        <w:rPr>
          <w:lang w:val="es-AR"/>
        </w:rPr>
        <w:t>para l</w:t>
      </w:r>
      <w:r w:rsidR="00372293">
        <w:rPr>
          <w:lang w:val="es-AR"/>
        </w:rPr>
        <w:t xml:space="preserve">a </w:t>
      </w:r>
      <w:r w:rsidR="00006428">
        <w:rPr>
          <w:lang w:val="es-AR"/>
        </w:rPr>
        <w:t xml:space="preserve">fecha de </w:t>
      </w:r>
      <w:r w:rsidR="00372293">
        <w:rPr>
          <w:lang w:val="es-AR"/>
        </w:rPr>
        <w:t xml:space="preserve">su ingreso a la </w:t>
      </w:r>
      <w:r w:rsidR="00006428">
        <w:rPr>
          <w:lang w:val="es-AR"/>
        </w:rPr>
        <w:t xml:space="preserve">Clínica </w:t>
      </w:r>
      <w:r w:rsidR="00372293">
        <w:rPr>
          <w:lang w:val="es-AR"/>
        </w:rPr>
        <w:t>Palmira y como se puede inferir de la demanda</w:t>
      </w:r>
      <w:r w:rsidR="00006428">
        <w:rPr>
          <w:lang w:val="es-AR"/>
        </w:rPr>
        <w:t>,</w:t>
      </w:r>
      <w:r w:rsidR="00372293">
        <w:rPr>
          <w:lang w:val="es-AR"/>
        </w:rPr>
        <w:t xml:space="preserve"> la conducta objeto de reproche fue el procedimiento quirúrgico practicado en la clínica COMFANDI IPS, en el cual en nada tuvo que ver la Clínica Palmira, por lo anterior no existe un señalamiento concreto ni mucho menos prueba alguna que acredite y/o demuestre mala praxis, negligencia, impericia o culpa alguna atribuible a la clínica por los hechos materia de litigio. </w:t>
      </w:r>
    </w:p>
    <w:p w14:paraId="29F74E98" w14:textId="77777777" w:rsidR="00390C33" w:rsidRDefault="00DA3075" w:rsidP="00094A6E">
      <w:pPr>
        <w:pBdr>
          <w:bottom w:val="single" w:sz="12" w:space="1" w:color="auto"/>
        </w:pBdr>
        <w:jc w:val="both"/>
        <w:rPr>
          <w:lang w:val="es-AR"/>
        </w:rPr>
      </w:pPr>
      <w:r>
        <w:rPr>
          <w:lang w:val="es-AR"/>
        </w:rPr>
        <w:t xml:space="preserve">Lo primero que se tiene en cuenta para realizar la calificación de la contingencia en el presente asunto es que según los hechos de la demanda y la imputación que en ellos se hace, el error o falla médica está en cabeza de IPS COMFANDI, donde se realizó una colecistectomía laparoscópica fallida a la señora Rosa Emilda Gómez Ceballos, esto, pues al ingresar a la cavidad abdominal de la paciente se evidenció un síndrome adherencial severo, motivo por el cual no se dio continuidad al procedimiento quirúrgico pues este debía de ser realizado en un centro médico con una Unidad de Cuidados Intensivos donde se pudiera atender cualquier eventualidad que se presentara. </w:t>
      </w:r>
      <w:r w:rsidR="00390C33">
        <w:rPr>
          <w:lang w:val="es-AR"/>
        </w:rPr>
        <w:t>Lo que se alega en la demanda es que en el desarrollo de este procedimiento se generó una perforación intestinal a la paciente que la llevó a desarrollar la peritonitis aguda que a su vez la condujo al choque séptico severo y al fallecimiento.</w:t>
      </w:r>
    </w:p>
    <w:p w14:paraId="04CBA56A" w14:textId="77777777" w:rsidR="00390C33" w:rsidRDefault="00390C33" w:rsidP="00094A6E">
      <w:pPr>
        <w:pBdr>
          <w:bottom w:val="single" w:sz="12" w:space="1" w:color="auto"/>
        </w:pBdr>
        <w:jc w:val="both"/>
        <w:rPr>
          <w:lang w:val="es-AR"/>
        </w:rPr>
      </w:pPr>
      <w:r>
        <w:rPr>
          <w:lang w:val="es-AR"/>
        </w:rPr>
        <w:t xml:space="preserve">Ahora bien, en lo que respecta a la Clínica Palmira, la paciente ingresó el día 01 de julio de 2022 en un estado de salud tan crítico que fue derivada de inmediato al área de reanimación. Luego, la paciente fue valorada por el área de cirugía general y traslada al quirófano como urgencia vital. El doctor Diego Alberto Penilla Arana interviene a la paciente a través de una laparotomía exploratoria y encuentra un síndrome adherencial severo y una perforación intestinal. El diagnóstico después de la cirugía fue de peritonitis aguda. </w:t>
      </w:r>
    </w:p>
    <w:p w14:paraId="4353E4E5" w14:textId="1B7B523F" w:rsidR="00DA3075" w:rsidRDefault="00390C33" w:rsidP="00094A6E">
      <w:pPr>
        <w:pBdr>
          <w:bottom w:val="single" w:sz="12" w:space="1" w:color="auto"/>
        </w:pBdr>
        <w:jc w:val="both"/>
        <w:rPr>
          <w:lang w:val="es-AR"/>
        </w:rPr>
      </w:pPr>
      <w:r>
        <w:rPr>
          <w:lang w:val="es-AR"/>
        </w:rPr>
        <w:t xml:space="preserve">Después de este procedimiento quirúrgico la paciente fue trasladada a la Unidad de Cuidados Intensivos en donde recibió todo el tratamiento pertinente, y sin embargo </w:t>
      </w:r>
      <w:r>
        <w:rPr>
          <w:lang w:val="es-AR"/>
        </w:rPr>
        <w:lastRenderedPageBreak/>
        <w:t xml:space="preserve">siempre tuvo un pronostico reservado, a tal punto que previo a su muerte </w:t>
      </w:r>
      <w:r w:rsidR="00A33465">
        <w:rPr>
          <w:lang w:val="es-AR"/>
        </w:rPr>
        <w:t>los médicos</w:t>
      </w:r>
      <w:r>
        <w:rPr>
          <w:lang w:val="es-AR"/>
        </w:rPr>
        <w:t xml:space="preserve"> ya auguraban que su deceso se presentaría en cuestión de horas.  De la historia clínica </w:t>
      </w:r>
      <w:r w:rsidR="00A33465">
        <w:rPr>
          <w:lang w:val="es-AR"/>
        </w:rPr>
        <w:t xml:space="preserve">de la atención </w:t>
      </w:r>
      <w:r>
        <w:rPr>
          <w:lang w:val="es-AR"/>
        </w:rPr>
        <w:t xml:space="preserve">que se le brindó a la paciente en la Clínica Palmira se observa que esta atención fue oportuna en el tiempo, diligente y acorde con el estado de salud de la paciente. </w:t>
      </w:r>
    </w:p>
    <w:p w14:paraId="77966078" w14:textId="06F1F276" w:rsidR="00390C33" w:rsidRDefault="00390C33" w:rsidP="00094A6E">
      <w:pPr>
        <w:pBdr>
          <w:bottom w:val="single" w:sz="12" w:space="1" w:color="auto"/>
        </w:pBdr>
        <w:jc w:val="both"/>
        <w:rPr>
          <w:lang w:val="es-AR"/>
        </w:rPr>
      </w:pPr>
      <w:r>
        <w:rPr>
          <w:lang w:val="es-AR"/>
        </w:rPr>
        <w:t xml:space="preserve">Sin embargo, se reitera, de lo que se expone en la demanda y lo que se puede leer incluso en la historia clínica, la causa eficiente del daño, a saber, el fallecimiento de la paciente habría sido una posible irregularidad (perforación intestinal) que se dio en el marco de un procedimiento quirúrgico practicado a la demandante en la IPS COMFANDI, es decir, una actuación completamente ajena a la Clínica Palmira, y por tanto no se le puede imputar al centro médico ninguna responsabilidad por este hecho. </w:t>
      </w:r>
    </w:p>
    <w:p w14:paraId="19A11A06" w14:textId="600EC24D" w:rsidR="00390C33" w:rsidRPr="00390C33" w:rsidRDefault="00390C33" w:rsidP="00094A6E">
      <w:pPr>
        <w:pBdr>
          <w:bottom w:val="single" w:sz="12" w:space="1" w:color="auto"/>
        </w:pBdr>
        <w:jc w:val="both"/>
        <w:rPr>
          <w:lang w:val="es-AR"/>
        </w:rPr>
      </w:pPr>
      <w:r>
        <w:rPr>
          <w:lang w:val="es-AR"/>
        </w:rPr>
        <w:t xml:space="preserve">En conclusión, la contingencia se califica como </w:t>
      </w:r>
      <w:r>
        <w:rPr>
          <w:b/>
          <w:bCs/>
          <w:u w:val="single"/>
          <w:lang w:val="es-AR"/>
        </w:rPr>
        <w:t>REMOTA</w:t>
      </w:r>
      <w:r>
        <w:rPr>
          <w:lang w:val="es-AR"/>
        </w:rPr>
        <w:t xml:space="preserve"> en el presente asunto en tanto que la presunta falla o mala praxis médica se había presentado en un centro asistencial en el marco de un procedimiento quirúrgico en el cual no tuvo ninguna injerencia la </w:t>
      </w:r>
      <w:r w:rsidR="00A33465">
        <w:rPr>
          <w:lang w:val="es-AR"/>
        </w:rPr>
        <w:t xml:space="preserve">Clínica </w:t>
      </w:r>
      <w:r>
        <w:rPr>
          <w:lang w:val="es-AR"/>
        </w:rPr>
        <w:t xml:space="preserve">Palmira. </w:t>
      </w:r>
      <w:r w:rsidR="00C63CBD">
        <w:rPr>
          <w:lang w:val="es-AR"/>
        </w:rPr>
        <w:t xml:space="preserve">La paciente llegó a la clínica en un delicado estado de salud, y se puede acreditar con la historia clínica que se desplegaron todas las atenciones y labores medidas al alcance para lograr la recuperación de la señora Rosa Emilda Gómez Ceballos, punto donde es importante </w:t>
      </w:r>
      <w:r w:rsidR="00A33465">
        <w:rPr>
          <w:lang w:val="es-AR"/>
        </w:rPr>
        <w:t xml:space="preserve">destacar </w:t>
      </w:r>
      <w:r w:rsidR="00C63CBD">
        <w:rPr>
          <w:lang w:val="es-AR"/>
        </w:rPr>
        <w:t xml:space="preserve">que la actividad médica genera precisamente una obligación de medio y no resultado, por tanto, el solo hecho de que el resultado dañoso, a saber, el fallecimiento de la paciente se haya presentado en la Clínica Palmira por sí solo es insuficientemente para responsabilizar por este a la clínica, habida cuenta de que no existe prueba ni alegación alguna de mala praxis en cabeza de la Clínica Palmira. </w:t>
      </w:r>
    </w:p>
    <w:p w14:paraId="5C7FB4BA" w14:textId="77777777" w:rsidR="00372293" w:rsidRPr="00D4451D" w:rsidRDefault="00372293" w:rsidP="00094A6E">
      <w:pPr>
        <w:pBdr>
          <w:bottom w:val="single" w:sz="12" w:space="1" w:color="auto"/>
        </w:pBdr>
        <w:jc w:val="both"/>
        <w:rPr>
          <w:lang w:val="es-AR"/>
        </w:rPr>
      </w:pPr>
    </w:p>
    <w:p w14:paraId="6E7D6DAD" w14:textId="6F31FDDF" w:rsidR="00B03E20" w:rsidRDefault="00B03E20" w:rsidP="00B03E20">
      <w:pPr>
        <w:jc w:val="center"/>
        <w:rPr>
          <w:b/>
          <w:bCs/>
          <w:lang w:val="es-AR"/>
        </w:rPr>
      </w:pPr>
      <w:r>
        <w:rPr>
          <w:b/>
          <w:bCs/>
          <w:lang w:val="es-AR"/>
        </w:rPr>
        <w:t>OBJETIVACIÓN DE LAS PRETENSIONES</w:t>
      </w:r>
    </w:p>
    <w:p w14:paraId="508F4417" w14:textId="5AFE0E4E" w:rsidR="00B73DEE" w:rsidRDefault="00AE1160" w:rsidP="00AE1160">
      <w:pPr>
        <w:jc w:val="both"/>
        <w:rPr>
          <w:lang w:val="es-AR"/>
        </w:rPr>
      </w:pPr>
      <w:r>
        <w:rPr>
          <w:lang w:val="es-AR"/>
        </w:rPr>
        <w:t>Las pretensiones de la demanda objetivadas se estiman en $315.000.000 de conformidad con las consideraciones que a continuación se exponen:</w:t>
      </w:r>
    </w:p>
    <w:p w14:paraId="080CD6DB" w14:textId="23BAE9E2" w:rsidR="006059C0" w:rsidRPr="00AE1160" w:rsidRDefault="005D2B62" w:rsidP="00C63CBD">
      <w:pPr>
        <w:jc w:val="both"/>
        <w:rPr>
          <w:b/>
          <w:bCs/>
          <w:u w:val="single"/>
          <w:lang w:val="es-AR"/>
        </w:rPr>
      </w:pPr>
      <w:r>
        <w:rPr>
          <w:b/>
          <w:bCs/>
          <w:lang w:val="es-AR"/>
        </w:rPr>
        <w:t xml:space="preserve">Daño moral: </w:t>
      </w:r>
      <w:r w:rsidR="00C63CBD">
        <w:rPr>
          <w:lang w:val="es-AR"/>
        </w:rPr>
        <w:t xml:space="preserve">Dada la extensión del </w:t>
      </w:r>
      <w:r w:rsidR="00176156">
        <w:rPr>
          <w:lang w:val="es-AR"/>
        </w:rPr>
        <w:t xml:space="preserve">grupo desde ya se indica que se limitará el reconocimiento del daño moral a aquellos familiares o demandantes </w:t>
      </w:r>
      <w:r w:rsidR="000C6312">
        <w:rPr>
          <w:lang w:val="es-AR"/>
        </w:rPr>
        <w:t xml:space="preserve">que </w:t>
      </w:r>
      <w:r w:rsidR="00176156">
        <w:rPr>
          <w:lang w:val="es-AR"/>
        </w:rPr>
        <w:t xml:space="preserve">tengan parentesco con la señora Rosa Emilda Gómez Ceballos hasta en el segundo grado, es decir, su compañero permanente, hija, hermano y nietos. En cuanto al </w:t>
      </w:r>
      <w:r w:rsidR="000C6312">
        <w:rPr>
          <w:lang w:val="es-AR"/>
        </w:rPr>
        <w:t xml:space="preserve">monto </w:t>
      </w:r>
      <w:r w:rsidR="00176156">
        <w:rPr>
          <w:lang w:val="es-AR"/>
        </w:rPr>
        <w:t xml:space="preserve">a reconocer será de $60.000.000 acorde con el precedente de la Sentencia SC15996-2016 del 29 de noviembre de 2016. Es decir, $60.000.000 para </w:t>
      </w:r>
      <w:r w:rsidR="000C6312">
        <w:rPr>
          <w:lang w:val="es-AR"/>
        </w:rPr>
        <w:t xml:space="preserve">su </w:t>
      </w:r>
      <w:r w:rsidR="00176156">
        <w:rPr>
          <w:lang w:val="es-AR"/>
        </w:rPr>
        <w:t xml:space="preserve">compañero </w:t>
      </w:r>
      <w:proofErr w:type="gramStart"/>
      <w:r w:rsidR="00176156">
        <w:rPr>
          <w:lang w:val="es-AR"/>
        </w:rPr>
        <w:t xml:space="preserve">permanente </w:t>
      </w:r>
      <w:r w:rsidR="000C6312">
        <w:rPr>
          <w:lang w:val="es-AR"/>
        </w:rPr>
        <w:t>,</w:t>
      </w:r>
      <w:proofErr w:type="gramEnd"/>
      <w:r w:rsidR="000C6312">
        <w:rPr>
          <w:lang w:val="es-AR"/>
        </w:rPr>
        <w:t xml:space="preserve"> $60.000.000 para su </w:t>
      </w:r>
      <w:r w:rsidR="00176156">
        <w:rPr>
          <w:lang w:val="es-AR"/>
        </w:rPr>
        <w:t xml:space="preserve">hija, $30.000.000 para </w:t>
      </w:r>
      <w:r w:rsidR="000C6312">
        <w:rPr>
          <w:lang w:val="es-AR"/>
        </w:rPr>
        <w:t xml:space="preserve">su </w:t>
      </w:r>
      <w:r w:rsidR="00176156">
        <w:rPr>
          <w:lang w:val="es-AR"/>
        </w:rPr>
        <w:t xml:space="preserve">hermano y </w:t>
      </w:r>
      <w:r w:rsidR="000C6312">
        <w:rPr>
          <w:lang w:val="es-AR"/>
        </w:rPr>
        <w:t xml:space="preserve">$30.000.00 para cada uno de sus dos </w:t>
      </w:r>
      <w:r w:rsidR="00176156">
        <w:rPr>
          <w:lang w:val="es-AR"/>
        </w:rPr>
        <w:t xml:space="preserve">nietos. Así las cosas, el daño moral asciende a: </w:t>
      </w:r>
      <w:r w:rsidR="00AE1160">
        <w:rPr>
          <w:b/>
          <w:bCs/>
          <w:u w:val="single"/>
          <w:lang w:val="es-AR"/>
        </w:rPr>
        <w:t>$210.000.000</w:t>
      </w:r>
    </w:p>
    <w:p w14:paraId="510D9E45" w14:textId="5B106370" w:rsidR="00C63CBD" w:rsidRPr="00AE1160" w:rsidRDefault="00285902" w:rsidP="00C63CBD">
      <w:pPr>
        <w:jc w:val="both"/>
        <w:rPr>
          <w:lang w:val="es-AR"/>
        </w:rPr>
      </w:pPr>
      <w:r>
        <w:rPr>
          <w:b/>
          <w:bCs/>
          <w:lang w:val="es-AR"/>
        </w:rPr>
        <w:t xml:space="preserve">Daño vida de relación: </w:t>
      </w:r>
      <w:r w:rsidR="00AE1160">
        <w:rPr>
          <w:lang w:val="es-AR"/>
        </w:rPr>
        <w:t xml:space="preserve">El daño a la vida en relación se reconocerá en $30.000.000 para el compañero permanente </w:t>
      </w:r>
      <w:r w:rsidR="000C6312">
        <w:rPr>
          <w:lang w:val="es-AR"/>
        </w:rPr>
        <w:t xml:space="preserve">y $30.000.000 para la </w:t>
      </w:r>
      <w:r w:rsidR="00AE1160">
        <w:rPr>
          <w:lang w:val="es-AR"/>
        </w:rPr>
        <w:t xml:space="preserve">hija de la señora Rosa Emilda Gómez </w:t>
      </w:r>
      <w:r w:rsidR="00AE1160">
        <w:rPr>
          <w:lang w:val="es-AR"/>
        </w:rPr>
        <w:lastRenderedPageBreak/>
        <w:t xml:space="preserve">Ceballos, $15.000.000 para su hermano y </w:t>
      </w:r>
      <w:r w:rsidR="000C6312">
        <w:rPr>
          <w:lang w:val="es-AR"/>
        </w:rPr>
        <w:t xml:space="preserve">$15.000.000 para cada uno de sus dos </w:t>
      </w:r>
      <w:r w:rsidR="00AE1160">
        <w:rPr>
          <w:lang w:val="es-AR"/>
        </w:rPr>
        <w:t xml:space="preserve">nietos, para un total de </w:t>
      </w:r>
      <w:r w:rsidR="00AE1160" w:rsidRPr="00AE1160">
        <w:rPr>
          <w:b/>
          <w:bCs/>
          <w:u w:val="single"/>
          <w:lang w:val="es-AR"/>
        </w:rPr>
        <w:t>$105.000.000</w:t>
      </w:r>
    </w:p>
    <w:p w14:paraId="5DCE565D" w14:textId="68B9B010" w:rsidR="00A74756" w:rsidRPr="00A74756" w:rsidRDefault="00A74756" w:rsidP="00184022">
      <w:pPr>
        <w:jc w:val="both"/>
        <w:rPr>
          <w:lang w:val="es-AR"/>
        </w:rPr>
      </w:pPr>
    </w:p>
    <w:sectPr w:rsidR="00A74756" w:rsidRPr="00A7475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5C76D" w14:textId="77777777" w:rsidR="00AD218C" w:rsidRDefault="00AD218C" w:rsidP="00AF32C4">
      <w:pPr>
        <w:spacing w:after="0" w:line="240" w:lineRule="auto"/>
      </w:pPr>
      <w:r>
        <w:separator/>
      </w:r>
    </w:p>
  </w:endnote>
  <w:endnote w:type="continuationSeparator" w:id="0">
    <w:p w14:paraId="58FD5739" w14:textId="77777777" w:rsidR="00AD218C" w:rsidRDefault="00AD218C" w:rsidP="00AF3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9B872" w14:textId="77777777" w:rsidR="00AD218C" w:rsidRDefault="00AD218C" w:rsidP="00AF32C4">
      <w:pPr>
        <w:spacing w:after="0" w:line="240" w:lineRule="auto"/>
      </w:pPr>
      <w:r>
        <w:separator/>
      </w:r>
    </w:p>
  </w:footnote>
  <w:footnote w:type="continuationSeparator" w:id="0">
    <w:p w14:paraId="509DEEFA" w14:textId="77777777" w:rsidR="00AD218C" w:rsidRDefault="00AD218C" w:rsidP="00AF32C4">
      <w:pPr>
        <w:spacing w:after="0" w:line="240" w:lineRule="auto"/>
      </w:pPr>
      <w:r>
        <w:continuationSeparator/>
      </w:r>
    </w:p>
  </w:footnote>
  <w:footnote w:id="1">
    <w:p w14:paraId="2C2361EE" w14:textId="14951BFA" w:rsidR="00AF32C4" w:rsidRPr="00AF32C4" w:rsidRDefault="00AF32C4">
      <w:pPr>
        <w:pStyle w:val="Textonotapie"/>
      </w:pPr>
      <w:r>
        <w:rPr>
          <w:rStyle w:val="Refdenotaalpie"/>
        </w:rPr>
        <w:footnoteRef/>
      </w:r>
      <w:r>
        <w:t xml:space="preserve"> Menores de edad hijos de </w:t>
      </w:r>
      <w:proofErr w:type="spellStart"/>
      <w:r>
        <w:t>Yazmin</w:t>
      </w:r>
      <w:proofErr w:type="spellEnd"/>
      <w:r>
        <w:t xml:space="preserve"> Liceth Loaiza Castro. </w:t>
      </w:r>
      <w:r w:rsidR="000D2431">
        <w:t>No se tuvieron en cuenta para liquidación objetiva de las pretensiones</w:t>
      </w:r>
    </w:p>
  </w:footnote>
  <w:footnote w:id="2">
    <w:p w14:paraId="1DB9AD21" w14:textId="10682550" w:rsidR="00AF32C4" w:rsidRPr="00AF32C4" w:rsidRDefault="00AF32C4">
      <w:pPr>
        <w:pStyle w:val="Textonotapie"/>
        <w:rPr>
          <w:lang w:val="es-CO"/>
        </w:rPr>
      </w:pPr>
      <w:r>
        <w:rPr>
          <w:rStyle w:val="Refdenotaalpie"/>
        </w:rPr>
        <w:footnoteRef/>
      </w:r>
      <w:r>
        <w:t xml:space="preserve"> </w:t>
      </w:r>
      <w:r>
        <w:rPr>
          <w:lang w:val="es-CO"/>
        </w:rPr>
        <w:t xml:space="preserve">Frente a este demandante no se formularon pretensiones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F1315"/>
    <w:multiLevelType w:val="hybridMultilevel"/>
    <w:tmpl w:val="A02C296E"/>
    <w:lvl w:ilvl="0" w:tplc="2A72AC76">
      <w:start w:val="1"/>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C970B04"/>
    <w:multiLevelType w:val="multilevel"/>
    <w:tmpl w:val="C158BF38"/>
    <w:lvl w:ilvl="0">
      <w:start w:val="1"/>
      <w:numFmt w:val="decimal"/>
      <w:lvlText w:val="%1."/>
      <w:lvlJc w:val="left"/>
      <w:pPr>
        <w:tabs>
          <w:tab w:val="num" w:pos="720"/>
        </w:tabs>
        <w:ind w:left="720" w:hanging="360"/>
      </w:pPr>
    </w:lvl>
    <w:lvl w:ilvl="1">
      <w:numFmt w:val="bullet"/>
      <w:lvlText w:val="-"/>
      <w:lvlJc w:val="left"/>
      <w:pPr>
        <w:ind w:left="1440" w:hanging="360"/>
      </w:pPr>
      <w:rPr>
        <w:rFonts w:ascii="Aptos" w:eastAsiaTheme="minorHAnsi" w:hAnsi="Aptos"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BB2B9D"/>
    <w:multiLevelType w:val="multilevel"/>
    <w:tmpl w:val="B36A8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9E1F45"/>
    <w:multiLevelType w:val="multilevel"/>
    <w:tmpl w:val="81D42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C313B8"/>
    <w:multiLevelType w:val="multilevel"/>
    <w:tmpl w:val="6D944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0644014">
    <w:abstractNumId w:val="1"/>
  </w:num>
  <w:num w:numId="2" w16cid:durableId="634792472">
    <w:abstractNumId w:val="2"/>
  </w:num>
  <w:num w:numId="3" w16cid:durableId="315111635">
    <w:abstractNumId w:val="4"/>
  </w:num>
  <w:num w:numId="4" w16cid:durableId="1451824353">
    <w:abstractNumId w:val="3"/>
  </w:num>
  <w:num w:numId="5" w16cid:durableId="1391928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482852"/>
    <w:rsid w:val="00006428"/>
    <w:rsid w:val="00030B08"/>
    <w:rsid w:val="00047B1E"/>
    <w:rsid w:val="00071C55"/>
    <w:rsid w:val="00077251"/>
    <w:rsid w:val="00080B59"/>
    <w:rsid w:val="000822FF"/>
    <w:rsid w:val="00094A6E"/>
    <w:rsid w:val="000A57AE"/>
    <w:rsid w:val="000C6312"/>
    <w:rsid w:val="000D2431"/>
    <w:rsid w:val="000E146D"/>
    <w:rsid w:val="001015B3"/>
    <w:rsid w:val="00117A8C"/>
    <w:rsid w:val="001373DD"/>
    <w:rsid w:val="00140D0C"/>
    <w:rsid w:val="00141927"/>
    <w:rsid w:val="00162636"/>
    <w:rsid w:val="00176156"/>
    <w:rsid w:val="00176A92"/>
    <w:rsid w:val="00182FC5"/>
    <w:rsid w:val="00184022"/>
    <w:rsid w:val="00185C11"/>
    <w:rsid w:val="001B0450"/>
    <w:rsid w:val="001D249A"/>
    <w:rsid w:val="001E0E4D"/>
    <w:rsid w:val="001E7284"/>
    <w:rsid w:val="001F6413"/>
    <w:rsid w:val="00244657"/>
    <w:rsid w:val="00257CB2"/>
    <w:rsid w:val="00285902"/>
    <w:rsid w:val="00286DEA"/>
    <w:rsid w:val="002964A5"/>
    <w:rsid w:val="002D4680"/>
    <w:rsid w:val="002F015C"/>
    <w:rsid w:val="002F1673"/>
    <w:rsid w:val="00302CED"/>
    <w:rsid w:val="003406EC"/>
    <w:rsid w:val="00347524"/>
    <w:rsid w:val="003557E6"/>
    <w:rsid w:val="00356BC4"/>
    <w:rsid w:val="00372293"/>
    <w:rsid w:val="003822D5"/>
    <w:rsid w:val="00390C33"/>
    <w:rsid w:val="003A4AF8"/>
    <w:rsid w:val="003C120E"/>
    <w:rsid w:val="003C48BA"/>
    <w:rsid w:val="003E409B"/>
    <w:rsid w:val="003F3196"/>
    <w:rsid w:val="003F61B5"/>
    <w:rsid w:val="004059FE"/>
    <w:rsid w:val="00414B07"/>
    <w:rsid w:val="00421FE1"/>
    <w:rsid w:val="0047123C"/>
    <w:rsid w:val="004B7F1E"/>
    <w:rsid w:val="00520ED7"/>
    <w:rsid w:val="00560D57"/>
    <w:rsid w:val="00566AE2"/>
    <w:rsid w:val="005673B7"/>
    <w:rsid w:val="005A7B68"/>
    <w:rsid w:val="005C3A9A"/>
    <w:rsid w:val="005D2B62"/>
    <w:rsid w:val="00600240"/>
    <w:rsid w:val="006059C0"/>
    <w:rsid w:val="00613F38"/>
    <w:rsid w:val="00682301"/>
    <w:rsid w:val="006830E2"/>
    <w:rsid w:val="006B6923"/>
    <w:rsid w:val="006C4645"/>
    <w:rsid w:val="006D0D82"/>
    <w:rsid w:val="006D4272"/>
    <w:rsid w:val="006E0423"/>
    <w:rsid w:val="006E43A6"/>
    <w:rsid w:val="00722880"/>
    <w:rsid w:val="00740234"/>
    <w:rsid w:val="00755F15"/>
    <w:rsid w:val="00762C6F"/>
    <w:rsid w:val="00793AE4"/>
    <w:rsid w:val="007F74F2"/>
    <w:rsid w:val="008026D1"/>
    <w:rsid w:val="00813365"/>
    <w:rsid w:val="008418E2"/>
    <w:rsid w:val="0085485A"/>
    <w:rsid w:val="008617D0"/>
    <w:rsid w:val="00870B4A"/>
    <w:rsid w:val="0087351C"/>
    <w:rsid w:val="008C1ED1"/>
    <w:rsid w:val="00913AA5"/>
    <w:rsid w:val="009223C1"/>
    <w:rsid w:val="00933C9B"/>
    <w:rsid w:val="00960983"/>
    <w:rsid w:val="00984D84"/>
    <w:rsid w:val="009855CE"/>
    <w:rsid w:val="00994820"/>
    <w:rsid w:val="009B2689"/>
    <w:rsid w:val="009C2695"/>
    <w:rsid w:val="009C35BB"/>
    <w:rsid w:val="009F527E"/>
    <w:rsid w:val="00A1577C"/>
    <w:rsid w:val="00A1621D"/>
    <w:rsid w:val="00A23A4D"/>
    <w:rsid w:val="00A33465"/>
    <w:rsid w:val="00A74756"/>
    <w:rsid w:val="00A96EA1"/>
    <w:rsid w:val="00AA6645"/>
    <w:rsid w:val="00AD218C"/>
    <w:rsid w:val="00AE1160"/>
    <w:rsid w:val="00AF0B69"/>
    <w:rsid w:val="00AF32C4"/>
    <w:rsid w:val="00AF7290"/>
    <w:rsid w:val="00B03E20"/>
    <w:rsid w:val="00B32E6C"/>
    <w:rsid w:val="00B73DEE"/>
    <w:rsid w:val="00B91597"/>
    <w:rsid w:val="00B95343"/>
    <w:rsid w:val="00BF5C3B"/>
    <w:rsid w:val="00C012FD"/>
    <w:rsid w:val="00C22CCF"/>
    <w:rsid w:val="00C4333B"/>
    <w:rsid w:val="00C56253"/>
    <w:rsid w:val="00C63CBD"/>
    <w:rsid w:val="00C831D2"/>
    <w:rsid w:val="00CA110B"/>
    <w:rsid w:val="00CF2FA4"/>
    <w:rsid w:val="00CF30C8"/>
    <w:rsid w:val="00CF6D7F"/>
    <w:rsid w:val="00D22F47"/>
    <w:rsid w:val="00D428BD"/>
    <w:rsid w:val="00D4451D"/>
    <w:rsid w:val="00D4654E"/>
    <w:rsid w:val="00D77EE1"/>
    <w:rsid w:val="00D80FB3"/>
    <w:rsid w:val="00DA3075"/>
    <w:rsid w:val="00DB1A27"/>
    <w:rsid w:val="00DE5572"/>
    <w:rsid w:val="00DF33DB"/>
    <w:rsid w:val="00E03644"/>
    <w:rsid w:val="00E15044"/>
    <w:rsid w:val="00E15C0B"/>
    <w:rsid w:val="00E310B7"/>
    <w:rsid w:val="00E47CF0"/>
    <w:rsid w:val="00E673E8"/>
    <w:rsid w:val="00EC0D75"/>
    <w:rsid w:val="00EE4F88"/>
    <w:rsid w:val="00EE5593"/>
    <w:rsid w:val="00EF7E26"/>
    <w:rsid w:val="00F010DB"/>
    <w:rsid w:val="00F019DB"/>
    <w:rsid w:val="00F05F9D"/>
    <w:rsid w:val="00F14E19"/>
    <w:rsid w:val="00F44498"/>
    <w:rsid w:val="00F5378D"/>
    <w:rsid w:val="00F5383D"/>
    <w:rsid w:val="00F548CC"/>
    <w:rsid w:val="00F71FB5"/>
    <w:rsid w:val="00F84A1E"/>
    <w:rsid w:val="00FC127E"/>
    <w:rsid w:val="00FE4753"/>
    <w:rsid w:val="00FE64AA"/>
    <w:rsid w:val="0B341ABD"/>
    <w:rsid w:val="23E222EF"/>
    <w:rsid w:val="30516C72"/>
    <w:rsid w:val="3169CEB7"/>
    <w:rsid w:val="47CC114A"/>
    <w:rsid w:val="5B506F73"/>
    <w:rsid w:val="68482852"/>
    <w:rsid w:val="7A3EBD9D"/>
    <w:rsid w:val="7DC24983"/>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82852"/>
  <w15:chartTrackingRefBased/>
  <w15:docId w15:val="{30E59209-D78C-4D4D-AD43-26B5DA94A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527E"/>
    <w:rPr>
      <w:color w:val="467886" w:themeColor="hyperlink"/>
      <w:u w:val="single"/>
    </w:rPr>
  </w:style>
  <w:style w:type="character" w:styleId="Mencinsinresolver">
    <w:name w:val="Unresolved Mention"/>
    <w:basedOn w:val="Fuentedeprrafopredeter"/>
    <w:uiPriority w:val="99"/>
    <w:semiHidden/>
    <w:unhideWhenUsed/>
    <w:rsid w:val="009F527E"/>
    <w:rPr>
      <w:color w:val="605E5C"/>
      <w:shd w:val="clear" w:color="auto" w:fill="E1DFDD"/>
    </w:rPr>
  </w:style>
  <w:style w:type="paragraph" w:styleId="Prrafodelista">
    <w:name w:val="List Paragraph"/>
    <w:basedOn w:val="Normal"/>
    <w:uiPriority w:val="34"/>
    <w:qFormat/>
    <w:rsid w:val="00185C11"/>
    <w:pPr>
      <w:ind w:left="720"/>
      <w:contextualSpacing/>
    </w:pPr>
  </w:style>
  <w:style w:type="table" w:styleId="Tablaconcuadrcula">
    <w:name w:val="Table Grid"/>
    <w:basedOn w:val="Tablanormal"/>
    <w:uiPriority w:val="39"/>
    <w:rsid w:val="00B9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AF32C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F32C4"/>
    <w:rPr>
      <w:sz w:val="20"/>
      <w:szCs w:val="20"/>
    </w:rPr>
  </w:style>
  <w:style w:type="character" w:styleId="Refdenotaalpie">
    <w:name w:val="footnote reference"/>
    <w:basedOn w:val="Fuentedeprrafopredeter"/>
    <w:uiPriority w:val="99"/>
    <w:semiHidden/>
    <w:unhideWhenUsed/>
    <w:rsid w:val="00AF32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3338">
      <w:bodyDiv w:val="1"/>
      <w:marLeft w:val="0"/>
      <w:marRight w:val="0"/>
      <w:marTop w:val="0"/>
      <w:marBottom w:val="0"/>
      <w:divBdr>
        <w:top w:val="none" w:sz="0" w:space="0" w:color="auto"/>
        <w:left w:val="none" w:sz="0" w:space="0" w:color="auto"/>
        <w:bottom w:val="none" w:sz="0" w:space="0" w:color="auto"/>
        <w:right w:val="none" w:sz="0" w:space="0" w:color="auto"/>
      </w:divBdr>
      <w:divsChild>
        <w:div w:id="956258001">
          <w:marLeft w:val="720"/>
          <w:marRight w:val="0"/>
          <w:marTop w:val="0"/>
          <w:marBottom w:val="0"/>
          <w:divBdr>
            <w:top w:val="none" w:sz="0" w:space="0" w:color="auto"/>
            <w:left w:val="none" w:sz="0" w:space="0" w:color="auto"/>
            <w:bottom w:val="none" w:sz="0" w:space="0" w:color="auto"/>
            <w:right w:val="none" w:sz="0" w:space="0" w:color="auto"/>
          </w:divBdr>
        </w:div>
        <w:div w:id="1977908915">
          <w:marLeft w:val="720"/>
          <w:marRight w:val="0"/>
          <w:marTop w:val="0"/>
          <w:marBottom w:val="0"/>
          <w:divBdr>
            <w:top w:val="none" w:sz="0" w:space="0" w:color="auto"/>
            <w:left w:val="none" w:sz="0" w:space="0" w:color="auto"/>
            <w:bottom w:val="none" w:sz="0" w:space="0" w:color="auto"/>
            <w:right w:val="none" w:sz="0" w:space="0" w:color="auto"/>
          </w:divBdr>
        </w:div>
      </w:divsChild>
    </w:div>
    <w:div w:id="678585039">
      <w:bodyDiv w:val="1"/>
      <w:marLeft w:val="0"/>
      <w:marRight w:val="0"/>
      <w:marTop w:val="0"/>
      <w:marBottom w:val="0"/>
      <w:divBdr>
        <w:top w:val="none" w:sz="0" w:space="0" w:color="auto"/>
        <w:left w:val="none" w:sz="0" w:space="0" w:color="auto"/>
        <w:bottom w:val="none" w:sz="0" w:space="0" w:color="auto"/>
        <w:right w:val="none" w:sz="0" w:space="0" w:color="auto"/>
      </w:divBdr>
      <w:divsChild>
        <w:div w:id="144859419">
          <w:marLeft w:val="720"/>
          <w:marRight w:val="0"/>
          <w:marTop w:val="0"/>
          <w:marBottom w:val="0"/>
          <w:divBdr>
            <w:top w:val="none" w:sz="0" w:space="0" w:color="auto"/>
            <w:left w:val="none" w:sz="0" w:space="0" w:color="auto"/>
            <w:bottom w:val="none" w:sz="0" w:space="0" w:color="auto"/>
            <w:right w:val="none" w:sz="0" w:space="0" w:color="auto"/>
          </w:divBdr>
        </w:div>
        <w:div w:id="80920443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2F61E-9223-46DA-92BF-A99A066DB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Pages>
  <Words>1652</Words>
  <Characters>9092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Henao Gallego</dc:creator>
  <cp:keywords/>
  <dc:description/>
  <cp:lastModifiedBy>Juan Manuel Henao Gallego</cp:lastModifiedBy>
  <cp:revision>14</cp:revision>
  <dcterms:created xsi:type="dcterms:W3CDTF">2025-01-28T16:18:00Z</dcterms:created>
  <dcterms:modified xsi:type="dcterms:W3CDTF">2025-01-29T22:07:00Z</dcterms:modified>
</cp:coreProperties>
</file>