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B0BD3" w14:textId="77777777" w:rsidR="002E183A" w:rsidRPr="005B50D5" w:rsidRDefault="002E183A" w:rsidP="002760AB">
      <w:pPr>
        <w:spacing w:after="0" w:line="312" w:lineRule="auto"/>
        <w:jc w:val="both"/>
        <w:rPr>
          <w:rFonts w:ascii="Arial" w:hAnsi="Arial" w:cs="Arial"/>
        </w:rPr>
      </w:pPr>
      <w:bookmarkStart w:id="0" w:name="278"/>
      <w:bookmarkStart w:id="1" w:name="42"/>
      <w:bookmarkStart w:id="2" w:name="_Hlk22918831"/>
      <w:bookmarkEnd w:id="0"/>
      <w:bookmarkEnd w:id="1"/>
      <w:r w:rsidRPr="005B50D5">
        <w:rPr>
          <w:rFonts w:ascii="Arial" w:hAnsi="Arial" w:cs="Arial"/>
        </w:rPr>
        <w:t>Señores.</w:t>
      </w:r>
    </w:p>
    <w:p w14:paraId="448BBB7A" w14:textId="1ED18713" w:rsidR="005B50D5" w:rsidRPr="005B50D5" w:rsidRDefault="002E183A" w:rsidP="002760AB">
      <w:pPr>
        <w:spacing w:after="0" w:line="312" w:lineRule="auto"/>
        <w:jc w:val="both"/>
        <w:rPr>
          <w:rFonts w:ascii="Arial" w:hAnsi="Arial" w:cs="Arial"/>
          <w:b/>
          <w:bCs/>
        </w:rPr>
      </w:pPr>
      <w:r w:rsidRPr="005B50D5">
        <w:rPr>
          <w:rFonts w:ascii="Arial" w:hAnsi="Arial" w:cs="Arial"/>
          <w:b/>
          <w:bCs/>
        </w:rPr>
        <w:t xml:space="preserve">JUZGADO </w:t>
      </w:r>
      <w:r w:rsidR="000E5BC1" w:rsidRPr="005B50D5">
        <w:rPr>
          <w:rFonts w:ascii="Arial" w:hAnsi="Arial" w:cs="Arial"/>
          <w:b/>
          <w:bCs/>
        </w:rPr>
        <w:t>SEGUNDO</w:t>
      </w:r>
      <w:r w:rsidRPr="005B50D5">
        <w:rPr>
          <w:rFonts w:ascii="Arial" w:hAnsi="Arial" w:cs="Arial"/>
          <w:b/>
          <w:bCs/>
        </w:rPr>
        <w:t xml:space="preserve"> (</w:t>
      </w:r>
      <w:r w:rsidR="000E5BC1" w:rsidRPr="005B50D5">
        <w:rPr>
          <w:rFonts w:ascii="Arial" w:hAnsi="Arial" w:cs="Arial"/>
          <w:b/>
          <w:bCs/>
        </w:rPr>
        <w:t>02</w:t>
      </w:r>
      <w:r w:rsidRPr="005B50D5">
        <w:rPr>
          <w:rFonts w:ascii="Arial" w:hAnsi="Arial" w:cs="Arial"/>
          <w:b/>
          <w:bCs/>
        </w:rPr>
        <w:t xml:space="preserve">) ADMINISTRATIVO DEL CIRCUITO DE </w:t>
      </w:r>
      <w:r w:rsidR="000E5BC1" w:rsidRPr="005B50D5">
        <w:rPr>
          <w:rFonts w:ascii="Arial" w:hAnsi="Arial" w:cs="Arial"/>
          <w:b/>
          <w:bCs/>
        </w:rPr>
        <w:t>POPAYÁN</w:t>
      </w:r>
    </w:p>
    <w:p w14:paraId="7A185CA9" w14:textId="5F63001C" w:rsidR="002E183A" w:rsidRPr="005B50D5" w:rsidRDefault="005B50D5" w:rsidP="002760AB">
      <w:pPr>
        <w:spacing w:after="0" w:line="312" w:lineRule="auto"/>
        <w:jc w:val="both"/>
        <w:rPr>
          <w:rFonts w:ascii="Arial" w:hAnsi="Arial" w:cs="Arial"/>
          <w:b/>
          <w:bCs/>
        </w:rPr>
      </w:pPr>
      <w:hyperlink r:id="rId8" w:history="1">
        <w:r w:rsidRPr="005B50D5">
          <w:rPr>
            <w:rStyle w:val="Hipervnculo"/>
            <w:rFonts w:ascii="Arial" w:hAnsi="Arial" w:cs="Arial"/>
            <w:b/>
            <w:bCs/>
          </w:rPr>
          <w:t>j02admpayan@cendoj.ramajudicial.gov.co</w:t>
        </w:r>
      </w:hyperlink>
    </w:p>
    <w:p w14:paraId="5E0ECE45" w14:textId="77777777" w:rsidR="00FB3804" w:rsidRPr="005B50D5" w:rsidRDefault="00FB3804" w:rsidP="002760AB">
      <w:pPr>
        <w:spacing w:after="0" w:line="312" w:lineRule="auto"/>
        <w:jc w:val="both"/>
        <w:rPr>
          <w:rFonts w:ascii="Arial" w:hAnsi="Arial" w:cs="Arial"/>
          <w:b/>
          <w:bCs/>
        </w:rPr>
      </w:pPr>
    </w:p>
    <w:p w14:paraId="33F9BAD1" w14:textId="31A67B44" w:rsidR="002E183A" w:rsidRPr="005B50D5" w:rsidRDefault="002E183A" w:rsidP="002760AB">
      <w:pPr>
        <w:spacing w:after="0" w:line="312" w:lineRule="auto"/>
        <w:ind w:left="708"/>
        <w:jc w:val="both"/>
        <w:rPr>
          <w:rFonts w:ascii="Arial" w:hAnsi="Arial" w:cs="Arial"/>
        </w:rPr>
      </w:pPr>
      <w:r w:rsidRPr="005B50D5">
        <w:rPr>
          <w:rFonts w:ascii="Arial" w:hAnsi="Arial" w:cs="Arial"/>
          <w:b/>
          <w:bCs/>
        </w:rPr>
        <w:t>PROCESO</w:t>
      </w:r>
      <w:r w:rsidRPr="005B50D5">
        <w:rPr>
          <w:rFonts w:ascii="Arial" w:hAnsi="Arial" w:cs="Arial"/>
        </w:rPr>
        <w:t>:</w:t>
      </w:r>
      <w:r w:rsidRPr="005B50D5">
        <w:rPr>
          <w:rFonts w:ascii="Arial" w:hAnsi="Arial" w:cs="Arial"/>
        </w:rPr>
        <w:tab/>
      </w:r>
      <w:r w:rsidRPr="005B50D5">
        <w:rPr>
          <w:rFonts w:ascii="Arial" w:hAnsi="Arial" w:cs="Arial"/>
        </w:rPr>
        <w:tab/>
        <w:t xml:space="preserve"> REPARACIÓN DIRECTA  </w:t>
      </w:r>
    </w:p>
    <w:p w14:paraId="0E80B141" w14:textId="409907E4" w:rsidR="002E183A" w:rsidRPr="005B50D5" w:rsidRDefault="002E183A" w:rsidP="002760AB">
      <w:pPr>
        <w:spacing w:after="0" w:line="312" w:lineRule="auto"/>
        <w:ind w:left="708"/>
        <w:jc w:val="both"/>
        <w:rPr>
          <w:rFonts w:ascii="Arial" w:hAnsi="Arial" w:cs="Arial"/>
        </w:rPr>
      </w:pPr>
      <w:r w:rsidRPr="005B50D5">
        <w:rPr>
          <w:rFonts w:ascii="Arial" w:hAnsi="Arial" w:cs="Arial"/>
          <w:b/>
          <w:bCs/>
        </w:rPr>
        <w:t>RADICADO</w:t>
      </w:r>
      <w:r w:rsidRPr="005B50D5">
        <w:rPr>
          <w:rFonts w:ascii="Arial" w:hAnsi="Arial" w:cs="Arial"/>
        </w:rPr>
        <w:t xml:space="preserve">: </w:t>
      </w:r>
      <w:r w:rsidRPr="005B50D5">
        <w:rPr>
          <w:rFonts w:ascii="Arial" w:hAnsi="Arial" w:cs="Arial"/>
        </w:rPr>
        <w:tab/>
      </w:r>
      <w:r w:rsidRPr="005B50D5">
        <w:rPr>
          <w:rFonts w:ascii="Arial" w:hAnsi="Arial" w:cs="Arial"/>
        </w:rPr>
        <w:tab/>
        <w:t xml:space="preserve"> </w:t>
      </w:r>
      <w:r w:rsidR="00F75401" w:rsidRPr="005B50D5">
        <w:rPr>
          <w:rFonts w:ascii="Arial" w:hAnsi="Arial" w:cs="Arial"/>
        </w:rPr>
        <w:t>19001-33-33-002-</w:t>
      </w:r>
      <w:r w:rsidR="00F75401" w:rsidRPr="005B50D5">
        <w:rPr>
          <w:rFonts w:ascii="Arial" w:hAnsi="Arial" w:cs="Arial"/>
          <w:b/>
          <w:bCs/>
        </w:rPr>
        <w:t>2022-00264</w:t>
      </w:r>
      <w:r w:rsidR="00F75401" w:rsidRPr="005B50D5">
        <w:rPr>
          <w:rFonts w:ascii="Arial" w:hAnsi="Arial" w:cs="Arial"/>
        </w:rPr>
        <w:t>-00</w:t>
      </w:r>
    </w:p>
    <w:p w14:paraId="7A1CCF78" w14:textId="3D00D6B5" w:rsidR="002E183A" w:rsidRPr="005B50D5" w:rsidRDefault="002E183A" w:rsidP="002760AB">
      <w:pPr>
        <w:spacing w:after="0" w:line="312" w:lineRule="auto"/>
        <w:ind w:left="708"/>
        <w:jc w:val="both"/>
        <w:rPr>
          <w:rFonts w:ascii="Arial" w:hAnsi="Arial" w:cs="Arial"/>
        </w:rPr>
      </w:pPr>
      <w:r w:rsidRPr="005B50D5">
        <w:rPr>
          <w:rFonts w:ascii="Arial" w:hAnsi="Arial" w:cs="Arial"/>
          <w:b/>
          <w:bCs/>
        </w:rPr>
        <w:t>DEMANDANTES</w:t>
      </w:r>
      <w:r w:rsidRPr="005B50D5">
        <w:rPr>
          <w:rFonts w:ascii="Arial" w:hAnsi="Arial" w:cs="Arial"/>
        </w:rPr>
        <w:t xml:space="preserve">: </w:t>
      </w:r>
      <w:r w:rsidRPr="005B50D5">
        <w:rPr>
          <w:rFonts w:ascii="Arial" w:hAnsi="Arial" w:cs="Arial"/>
        </w:rPr>
        <w:tab/>
        <w:t xml:space="preserve"> </w:t>
      </w:r>
      <w:r w:rsidR="00F75401" w:rsidRPr="00A11387">
        <w:rPr>
          <w:rFonts w:ascii="Arial" w:hAnsi="Arial" w:cs="Arial"/>
        </w:rPr>
        <w:t>ROSA HELENA GUSTÍN BRAVO Y OTROS</w:t>
      </w:r>
    </w:p>
    <w:p w14:paraId="0BFA35F4" w14:textId="77777777" w:rsidR="00DA1834" w:rsidRPr="005B50D5" w:rsidRDefault="002E183A" w:rsidP="002760AB">
      <w:pPr>
        <w:spacing w:after="0" w:line="312" w:lineRule="auto"/>
        <w:ind w:left="708"/>
        <w:jc w:val="both"/>
        <w:rPr>
          <w:rFonts w:ascii="Arial" w:hAnsi="Arial" w:cs="Arial"/>
        </w:rPr>
      </w:pPr>
      <w:r w:rsidRPr="005B50D5">
        <w:rPr>
          <w:rFonts w:ascii="Arial" w:hAnsi="Arial" w:cs="Arial"/>
          <w:b/>
          <w:bCs/>
        </w:rPr>
        <w:t>DEMANDADOS</w:t>
      </w:r>
      <w:r w:rsidRPr="005B50D5">
        <w:rPr>
          <w:rFonts w:ascii="Arial" w:hAnsi="Arial" w:cs="Arial"/>
        </w:rPr>
        <w:t xml:space="preserve">: </w:t>
      </w:r>
      <w:r w:rsidRPr="005B50D5">
        <w:rPr>
          <w:rFonts w:ascii="Arial" w:hAnsi="Arial" w:cs="Arial"/>
        </w:rPr>
        <w:tab/>
        <w:t xml:space="preserve"> </w:t>
      </w:r>
      <w:r w:rsidR="00F75401" w:rsidRPr="005B50D5">
        <w:rPr>
          <w:rFonts w:ascii="Arial" w:hAnsi="Arial" w:cs="Arial"/>
        </w:rPr>
        <w:t>INSTITUTO NACIONAL DE VIAS (INVIAS)</w:t>
      </w:r>
      <w:r w:rsidR="00F75401" w:rsidRPr="005B50D5">
        <w:rPr>
          <w:rFonts w:ascii="Arial" w:hAnsi="Arial" w:cs="Arial"/>
        </w:rPr>
        <w:cr/>
      </w:r>
      <w:r w:rsidRPr="005B50D5">
        <w:rPr>
          <w:rFonts w:ascii="Arial" w:hAnsi="Arial" w:cs="Arial"/>
          <w:b/>
          <w:bCs/>
        </w:rPr>
        <w:t>LLAMADO EN GTÍA</w:t>
      </w:r>
      <w:r w:rsidRPr="005B50D5">
        <w:rPr>
          <w:rFonts w:ascii="Arial" w:hAnsi="Arial" w:cs="Arial"/>
        </w:rPr>
        <w:t xml:space="preserve">: </w:t>
      </w:r>
      <w:r w:rsidR="00BC7C10" w:rsidRPr="005B50D5">
        <w:rPr>
          <w:rFonts w:ascii="Arial" w:hAnsi="Arial" w:cs="Arial"/>
        </w:rPr>
        <w:t>MAPFRE SEGUROS GENERALES DE COLOMBIA S.A.</w:t>
      </w:r>
      <w:r w:rsidR="005A785F" w:rsidRPr="005B50D5">
        <w:rPr>
          <w:rFonts w:ascii="Arial" w:hAnsi="Arial" w:cs="Arial"/>
        </w:rPr>
        <w:t xml:space="preserve"> Y OTROS</w:t>
      </w:r>
    </w:p>
    <w:p w14:paraId="18F4905C" w14:textId="3DC2CB3D" w:rsidR="00DA1834" w:rsidRPr="005B50D5" w:rsidRDefault="00DA1834" w:rsidP="002760AB">
      <w:pPr>
        <w:spacing w:after="0" w:line="312" w:lineRule="auto"/>
        <w:ind w:left="708"/>
        <w:jc w:val="both"/>
        <w:rPr>
          <w:rFonts w:ascii="Arial" w:hAnsi="Arial" w:cs="Arial"/>
        </w:rPr>
      </w:pPr>
      <w:r w:rsidRPr="005B50D5">
        <w:rPr>
          <w:rFonts w:ascii="Arial" w:hAnsi="Arial" w:cs="Arial"/>
          <w:b/>
          <w:bCs/>
        </w:rPr>
        <w:t>REFERENCIA</w:t>
      </w:r>
      <w:r w:rsidRPr="005B50D5">
        <w:rPr>
          <w:rFonts w:ascii="Arial" w:hAnsi="Arial" w:cs="Arial"/>
        </w:rPr>
        <w:t xml:space="preserve">: </w:t>
      </w:r>
      <w:r w:rsidR="005B50D5" w:rsidRPr="005B50D5">
        <w:rPr>
          <w:rFonts w:ascii="Arial" w:hAnsi="Arial" w:cs="Arial"/>
        </w:rPr>
        <w:tab/>
      </w:r>
      <w:r w:rsidRPr="005B50D5">
        <w:rPr>
          <w:rFonts w:ascii="Arial" w:hAnsi="Arial" w:cs="Arial"/>
        </w:rPr>
        <w:t>RECURSO DE REPOSICIÓN EN SUBSIDIO DE APELACIÓN</w:t>
      </w:r>
    </w:p>
    <w:p w14:paraId="24B5BEB8" w14:textId="748E23A4" w:rsidR="002E183A" w:rsidRPr="005B50D5" w:rsidRDefault="005A785F" w:rsidP="002760AB">
      <w:pPr>
        <w:spacing w:after="0" w:line="312" w:lineRule="auto"/>
        <w:ind w:left="708"/>
        <w:jc w:val="both"/>
        <w:rPr>
          <w:rFonts w:ascii="Arial" w:hAnsi="Arial" w:cs="Arial"/>
        </w:rPr>
      </w:pPr>
      <w:r w:rsidRPr="005B50D5">
        <w:rPr>
          <w:rFonts w:ascii="Arial" w:hAnsi="Arial" w:cs="Arial"/>
        </w:rPr>
        <w:t xml:space="preserve"> </w:t>
      </w:r>
    </w:p>
    <w:p w14:paraId="33781713" w14:textId="2D6D5524" w:rsidR="002E183A" w:rsidRPr="005B50D5" w:rsidRDefault="002E183A" w:rsidP="002760AB">
      <w:pPr>
        <w:spacing w:after="0" w:line="312" w:lineRule="auto"/>
        <w:jc w:val="both"/>
        <w:rPr>
          <w:rFonts w:ascii="Arial" w:hAnsi="Arial" w:cs="Arial"/>
        </w:rPr>
      </w:pPr>
      <w:r w:rsidRPr="005B50D5">
        <w:rPr>
          <w:rFonts w:ascii="Arial" w:hAnsi="Arial" w:cs="Arial"/>
          <w:b/>
        </w:rPr>
        <w:t>GUSTAVO ALBERTO HERRERA ÁVILA</w:t>
      </w:r>
      <w:r w:rsidRPr="005B50D5">
        <w:rPr>
          <w:rFonts w:ascii="Arial" w:hAnsi="Arial" w:cs="Arial"/>
          <w:bCs/>
        </w:rPr>
        <w:t>,</w:t>
      </w:r>
      <w:r w:rsidRPr="005B50D5">
        <w:rPr>
          <w:rFonts w:ascii="Arial" w:hAnsi="Arial" w:cs="Arial"/>
          <w:b/>
        </w:rPr>
        <w:t xml:space="preserve"> </w:t>
      </w:r>
      <w:r w:rsidRPr="005B50D5">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FD4EB0" w:rsidRPr="005B50D5">
        <w:rPr>
          <w:rFonts w:ascii="Arial" w:hAnsi="Arial" w:cs="Arial"/>
        </w:rPr>
        <w:t>general</w:t>
      </w:r>
      <w:r w:rsidRPr="005B50D5">
        <w:rPr>
          <w:rFonts w:ascii="Arial" w:hAnsi="Arial" w:cs="Arial"/>
        </w:rPr>
        <w:t xml:space="preserve"> de </w:t>
      </w:r>
      <w:r w:rsidR="00FD4EB0" w:rsidRPr="005B50D5">
        <w:rPr>
          <w:rFonts w:ascii="Arial" w:hAnsi="Arial" w:cs="Arial"/>
          <w:b/>
          <w:bCs/>
        </w:rPr>
        <w:t>MAPFRE SEGUROS GENERALES DE COLOMBIA S.A.</w:t>
      </w:r>
      <w:r w:rsidRPr="005B50D5">
        <w:rPr>
          <w:rFonts w:ascii="Arial" w:hAnsi="Arial" w:cs="Arial"/>
          <w:b/>
          <w:bCs/>
        </w:rPr>
        <w:t xml:space="preserve">, </w:t>
      </w:r>
      <w:r w:rsidRPr="005B50D5">
        <w:rPr>
          <w:rFonts w:ascii="Arial" w:hAnsi="Arial" w:cs="Arial"/>
        </w:rPr>
        <w:t xml:space="preserve">conforme se acredita con </w:t>
      </w:r>
      <w:r w:rsidR="00FD4EB0" w:rsidRPr="005B50D5">
        <w:rPr>
          <w:rFonts w:ascii="Arial" w:hAnsi="Arial" w:cs="Arial"/>
        </w:rPr>
        <w:t>la documentación</w:t>
      </w:r>
      <w:r w:rsidRPr="005B50D5">
        <w:rPr>
          <w:rFonts w:ascii="Arial" w:hAnsi="Arial" w:cs="Arial"/>
        </w:rPr>
        <w:t xml:space="preserve"> </w:t>
      </w:r>
      <w:r w:rsidR="00283A86" w:rsidRPr="005B50D5">
        <w:rPr>
          <w:rFonts w:ascii="Arial" w:hAnsi="Arial" w:cs="Arial"/>
        </w:rPr>
        <w:t>que ya reposa en el plenario, e</w:t>
      </w:r>
      <w:r w:rsidRPr="005B50D5">
        <w:rPr>
          <w:rFonts w:ascii="Arial" w:hAnsi="Arial" w:cs="Arial"/>
        </w:rPr>
        <w:t xml:space="preserve">ncontrándome dentro del término legal previsto para el efecto, me dirijo a su despacho con el fin de presentar </w:t>
      </w:r>
      <w:r w:rsidRPr="005B50D5">
        <w:rPr>
          <w:rFonts w:ascii="Arial" w:hAnsi="Arial" w:cs="Arial"/>
          <w:b/>
          <w:bCs/>
        </w:rPr>
        <w:t>RECURSO DE REPOSICIÓN</w:t>
      </w:r>
      <w:r w:rsidR="00751D76" w:rsidRPr="005B50D5">
        <w:rPr>
          <w:rFonts w:ascii="Arial" w:hAnsi="Arial" w:cs="Arial"/>
          <w:b/>
          <w:bCs/>
        </w:rPr>
        <w:t xml:space="preserve"> </w:t>
      </w:r>
      <w:r w:rsidR="005B50D5" w:rsidRPr="005B50D5">
        <w:rPr>
          <w:rFonts w:ascii="Arial" w:hAnsi="Arial" w:cs="Arial"/>
          <w:b/>
          <w:bCs/>
        </w:rPr>
        <w:t xml:space="preserve">Y </w:t>
      </w:r>
      <w:r w:rsidR="00751D76" w:rsidRPr="005B50D5">
        <w:rPr>
          <w:rFonts w:ascii="Arial" w:hAnsi="Arial" w:cs="Arial"/>
          <w:b/>
          <w:bCs/>
        </w:rPr>
        <w:t>EN SUBSIDIO EL DE APELACIÓN</w:t>
      </w:r>
      <w:r w:rsidRPr="005B50D5">
        <w:rPr>
          <w:rFonts w:ascii="Arial" w:hAnsi="Arial" w:cs="Arial"/>
          <w:b/>
          <w:bCs/>
        </w:rPr>
        <w:t xml:space="preserve"> </w:t>
      </w:r>
      <w:r w:rsidRPr="005B50D5">
        <w:rPr>
          <w:rFonts w:ascii="Arial" w:hAnsi="Arial" w:cs="Arial"/>
        </w:rPr>
        <w:t xml:space="preserve">contra </w:t>
      </w:r>
      <w:r w:rsidR="00E44F0C" w:rsidRPr="005B50D5">
        <w:rPr>
          <w:rFonts w:ascii="Arial" w:hAnsi="Arial" w:cs="Arial"/>
        </w:rPr>
        <w:t xml:space="preserve">el </w:t>
      </w:r>
      <w:r w:rsidR="00751D76" w:rsidRPr="005B50D5">
        <w:rPr>
          <w:rFonts w:ascii="Arial" w:hAnsi="Arial" w:cs="Arial"/>
          <w:b/>
          <w:bCs/>
        </w:rPr>
        <w:t>AUTO No. 097 DEL 17 DE FEBRERO DE 2025</w:t>
      </w:r>
      <w:r w:rsidR="005B50D5" w:rsidRPr="005B50D5">
        <w:rPr>
          <w:rFonts w:ascii="Arial" w:hAnsi="Arial" w:cs="Arial"/>
          <w:b/>
          <w:bCs/>
        </w:rPr>
        <w:t>,</w:t>
      </w:r>
      <w:r w:rsidR="00751D76" w:rsidRPr="005B50D5">
        <w:rPr>
          <w:rFonts w:ascii="Arial" w:hAnsi="Arial" w:cs="Arial"/>
          <w:b/>
          <w:bCs/>
        </w:rPr>
        <w:t xml:space="preserve"> </w:t>
      </w:r>
      <w:r w:rsidR="00FC0F31" w:rsidRPr="005B50D5">
        <w:rPr>
          <w:rFonts w:ascii="Arial" w:hAnsi="Arial" w:cs="Arial"/>
        </w:rPr>
        <w:t>notificado por estado del 18 de febrero de 2025,</w:t>
      </w:r>
      <w:r w:rsidRPr="005B50D5">
        <w:rPr>
          <w:rFonts w:ascii="Arial" w:hAnsi="Arial" w:cs="Arial"/>
        </w:rPr>
        <w:t xml:space="preserve"> </w:t>
      </w:r>
      <w:r w:rsidR="005B50D5" w:rsidRPr="005B50D5">
        <w:rPr>
          <w:rFonts w:ascii="Arial" w:hAnsi="Arial" w:cs="Arial"/>
        </w:rPr>
        <w:t xml:space="preserve">mediante </w:t>
      </w:r>
      <w:r w:rsidR="00FC0F31" w:rsidRPr="005B50D5">
        <w:rPr>
          <w:rFonts w:ascii="Arial" w:hAnsi="Arial" w:cs="Arial"/>
        </w:rPr>
        <w:t xml:space="preserve">el cual </w:t>
      </w:r>
      <w:r w:rsidR="005B50D5" w:rsidRPr="005B50D5">
        <w:rPr>
          <w:rFonts w:ascii="Arial" w:hAnsi="Arial" w:cs="Arial"/>
        </w:rPr>
        <w:t xml:space="preserve">se </w:t>
      </w:r>
      <w:r w:rsidR="00FC0F31" w:rsidRPr="005B50D5">
        <w:rPr>
          <w:rFonts w:ascii="Arial" w:hAnsi="Arial" w:cs="Arial"/>
        </w:rPr>
        <w:t>negó la vinculación del CONSORCIO PA-BCS MOJARRAS</w:t>
      </w:r>
      <w:r w:rsidR="005B50D5" w:rsidRPr="005B50D5">
        <w:rPr>
          <w:rFonts w:ascii="Arial" w:hAnsi="Arial" w:cs="Arial"/>
        </w:rPr>
        <w:t xml:space="preserve"> como litisconsorte</w:t>
      </w:r>
      <w:r w:rsidR="00DF19DE" w:rsidRPr="005B50D5">
        <w:rPr>
          <w:rFonts w:ascii="Arial" w:hAnsi="Arial" w:cs="Arial"/>
        </w:rPr>
        <w:t xml:space="preserve">; </w:t>
      </w:r>
      <w:r w:rsidR="00FC0F31" w:rsidRPr="005B50D5">
        <w:rPr>
          <w:rFonts w:ascii="Arial" w:hAnsi="Arial" w:cs="Arial"/>
        </w:rPr>
        <w:t>y</w:t>
      </w:r>
      <w:r w:rsidRPr="005B50D5">
        <w:rPr>
          <w:rFonts w:ascii="Arial" w:hAnsi="Arial" w:cs="Arial"/>
        </w:rPr>
        <w:t xml:space="preserve"> que sustento en los siguientes términos:</w:t>
      </w:r>
    </w:p>
    <w:p w14:paraId="2BC06C8A" w14:textId="77777777" w:rsidR="002E183A" w:rsidRPr="005B50D5" w:rsidRDefault="002E183A" w:rsidP="002760AB">
      <w:pPr>
        <w:spacing w:after="0" w:line="312" w:lineRule="auto"/>
        <w:jc w:val="both"/>
        <w:rPr>
          <w:rFonts w:ascii="Arial" w:hAnsi="Arial" w:cs="Arial"/>
        </w:rPr>
      </w:pPr>
    </w:p>
    <w:p w14:paraId="2119FAF0" w14:textId="36A2D252" w:rsidR="002E183A" w:rsidRPr="005B50D5" w:rsidRDefault="002E183A" w:rsidP="002760AB">
      <w:pPr>
        <w:spacing w:after="0" w:line="312" w:lineRule="auto"/>
        <w:jc w:val="center"/>
        <w:rPr>
          <w:rFonts w:ascii="Arial" w:hAnsi="Arial" w:cs="Arial"/>
          <w:b/>
          <w:bCs/>
          <w:u w:val="single"/>
        </w:rPr>
      </w:pPr>
      <w:r w:rsidRPr="005B50D5">
        <w:rPr>
          <w:rFonts w:ascii="Arial" w:hAnsi="Arial" w:cs="Arial"/>
          <w:b/>
          <w:bCs/>
          <w:u w:val="single"/>
        </w:rPr>
        <w:t>CAPÍTULO I. OPORTUNIDAD</w:t>
      </w:r>
      <w:r w:rsidR="005B50D5" w:rsidRPr="005B50D5">
        <w:rPr>
          <w:rFonts w:ascii="Arial" w:hAnsi="Arial" w:cs="Arial"/>
          <w:b/>
          <w:bCs/>
          <w:u w:val="single"/>
        </w:rPr>
        <w:t xml:space="preserve"> Y PROCEDENCIA</w:t>
      </w:r>
    </w:p>
    <w:p w14:paraId="7CBC8427" w14:textId="77777777" w:rsidR="002E183A" w:rsidRPr="005B50D5" w:rsidRDefault="002E183A" w:rsidP="002760AB">
      <w:pPr>
        <w:spacing w:after="0" w:line="312" w:lineRule="auto"/>
        <w:jc w:val="both"/>
        <w:rPr>
          <w:rFonts w:ascii="Arial" w:hAnsi="Arial" w:cs="Arial"/>
        </w:rPr>
      </w:pPr>
    </w:p>
    <w:p w14:paraId="6726CA7F" w14:textId="7408178C" w:rsidR="002E183A" w:rsidRPr="005B50D5" w:rsidRDefault="005B50D5" w:rsidP="0089045F">
      <w:pPr>
        <w:spacing w:after="0" w:line="312" w:lineRule="auto"/>
        <w:jc w:val="both"/>
        <w:rPr>
          <w:rFonts w:ascii="Arial" w:hAnsi="Arial" w:cs="Arial"/>
        </w:rPr>
      </w:pPr>
      <w:r w:rsidRPr="005B50D5">
        <w:rPr>
          <w:rFonts w:ascii="Arial" w:hAnsi="Arial" w:cs="Arial"/>
        </w:rPr>
        <w:t>Resulta pertinente precisar que</w:t>
      </w:r>
      <w:r w:rsidR="002E183A" w:rsidRPr="005B50D5">
        <w:rPr>
          <w:rFonts w:ascii="Arial" w:hAnsi="Arial" w:cs="Arial"/>
        </w:rPr>
        <w:t xml:space="preserve"> el auto No. </w:t>
      </w:r>
      <w:r w:rsidR="003F6170" w:rsidRPr="005B50D5">
        <w:rPr>
          <w:rFonts w:ascii="Arial" w:hAnsi="Arial" w:cs="Arial"/>
        </w:rPr>
        <w:t>097</w:t>
      </w:r>
      <w:r w:rsidR="00555A8E" w:rsidRPr="005B50D5">
        <w:rPr>
          <w:rFonts w:ascii="Arial" w:hAnsi="Arial" w:cs="Arial"/>
        </w:rPr>
        <w:t xml:space="preserve"> del </w:t>
      </w:r>
      <w:r w:rsidR="003F6170" w:rsidRPr="005B50D5">
        <w:rPr>
          <w:rFonts w:ascii="Arial" w:hAnsi="Arial" w:cs="Arial"/>
        </w:rPr>
        <w:t>17</w:t>
      </w:r>
      <w:r w:rsidR="00555A8E" w:rsidRPr="005B50D5">
        <w:rPr>
          <w:rFonts w:ascii="Arial" w:hAnsi="Arial" w:cs="Arial"/>
        </w:rPr>
        <w:t xml:space="preserve"> de </w:t>
      </w:r>
      <w:r w:rsidR="003F6170" w:rsidRPr="005B50D5">
        <w:rPr>
          <w:rFonts w:ascii="Arial" w:hAnsi="Arial" w:cs="Arial"/>
        </w:rPr>
        <w:t>febrero</w:t>
      </w:r>
      <w:r w:rsidR="00555A8E" w:rsidRPr="005B50D5">
        <w:rPr>
          <w:rFonts w:ascii="Arial" w:hAnsi="Arial" w:cs="Arial"/>
        </w:rPr>
        <w:t xml:space="preserve"> de 202</w:t>
      </w:r>
      <w:r w:rsidR="003F6170" w:rsidRPr="005B50D5">
        <w:rPr>
          <w:rFonts w:ascii="Arial" w:hAnsi="Arial" w:cs="Arial"/>
        </w:rPr>
        <w:t>5</w:t>
      </w:r>
      <w:r w:rsidR="002E183A" w:rsidRPr="005B50D5">
        <w:rPr>
          <w:rFonts w:ascii="Arial" w:hAnsi="Arial" w:cs="Arial"/>
        </w:rPr>
        <w:t xml:space="preserve"> se notificó a través de estados electrónicos publicados en la página oficial del despacho el </w:t>
      </w:r>
      <w:r w:rsidR="003F6170" w:rsidRPr="005B50D5">
        <w:rPr>
          <w:rFonts w:ascii="Arial" w:hAnsi="Arial" w:cs="Arial"/>
        </w:rPr>
        <w:t>18</w:t>
      </w:r>
      <w:r w:rsidR="006F5D40" w:rsidRPr="005B50D5">
        <w:rPr>
          <w:rFonts w:ascii="Arial" w:hAnsi="Arial" w:cs="Arial"/>
        </w:rPr>
        <w:t xml:space="preserve"> de </w:t>
      </w:r>
      <w:r w:rsidR="003F6170" w:rsidRPr="005B50D5">
        <w:rPr>
          <w:rFonts w:ascii="Arial" w:hAnsi="Arial" w:cs="Arial"/>
        </w:rPr>
        <w:t>febrero</w:t>
      </w:r>
      <w:r w:rsidR="006F5D40" w:rsidRPr="005B50D5">
        <w:rPr>
          <w:rFonts w:ascii="Arial" w:hAnsi="Arial" w:cs="Arial"/>
        </w:rPr>
        <w:t xml:space="preserve"> de</w:t>
      </w:r>
      <w:r w:rsidR="002E183A" w:rsidRPr="005B50D5">
        <w:rPr>
          <w:rFonts w:ascii="Arial" w:hAnsi="Arial" w:cs="Arial"/>
        </w:rPr>
        <w:t xml:space="preserve"> 202</w:t>
      </w:r>
      <w:r w:rsidR="003F6170" w:rsidRPr="005B50D5">
        <w:rPr>
          <w:rFonts w:ascii="Arial" w:hAnsi="Arial" w:cs="Arial"/>
        </w:rPr>
        <w:t>5</w:t>
      </w:r>
      <w:r w:rsidR="005B3600" w:rsidRPr="005B50D5">
        <w:rPr>
          <w:rFonts w:ascii="Arial" w:hAnsi="Arial" w:cs="Arial"/>
        </w:rPr>
        <w:t xml:space="preserve">, </w:t>
      </w:r>
      <w:r w:rsidR="0089045F" w:rsidRPr="005B50D5">
        <w:rPr>
          <w:rFonts w:ascii="Arial" w:hAnsi="Arial" w:cs="Arial"/>
        </w:rPr>
        <w:t>véase</w:t>
      </w:r>
      <w:r w:rsidR="00AB68D3" w:rsidRPr="005B50D5">
        <w:rPr>
          <w:rFonts w:ascii="Arial" w:hAnsi="Arial" w:cs="Arial"/>
        </w:rPr>
        <w:t>:</w:t>
      </w:r>
    </w:p>
    <w:p w14:paraId="766CB307" w14:textId="77777777" w:rsidR="0089045F" w:rsidRPr="005B50D5" w:rsidRDefault="0089045F" w:rsidP="0089045F">
      <w:pPr>
        <w:spacing w:after="0" w:line="312" w:lineRule="auto"/>
        <w:jc w:val="both"/>
        <w:rPr>
          <w:rFonts w:ascii="Arial" w:hAnsi="Arial" w:cs="Arial"/>
        </w:rPr>
      </w:pPr>
    </w:p>
    <w:p w14:paraId="19FF702C" w14:textId="7A836C5A" w:rsidR="002E183A" w:rsidRPr="00A11387" w:rsidRDefault="0089045F" w:rsidP="0089045F">
      <w:pPr>
        <w:pStyle w:val="NormalWeb"/>
        <w:spacing w:before="0" w:beforeAutospacing="0" w:after="0" w:afterAutospacing="0" w:line="312" w:lineRule="auto"/>
        <w:jc w:val="center"/>
        <w:rPr>
          <w:rFonts w:ascii="Arial" w:eastAsiaTheme="minorHAnsi" w:hAnsi="Arial" w:cs="Arial"/>
          <w:i/>
          <w:iCs/>
          <w:sz w:val="22"/>
          <w:szCs w:val="22"/>
          <w:lang w:eastAsia="en-US"/>
        </w:rPr>
      </w:pPr>
      <w:r w:rsidRPr="00A11387">
        <w:rPr>
          <w:rFonts w:ascii="Arial" w:eastAsiaTheme="minorHAnsi" w:hAnsi="Arial" w:cs="Arial"/>
          <w:i/>
          <w:iCs/>
          <w:noProof/>
          <w:sz w:val="22"/>
          <w:szCs w:val="22"/>
          <w:lang w:eastAsia="en-US"/>
        </w:rPr>
        <w:drawing>
          <wp:inline distT="0" distB="0" distL="0" distR="0" wp14:anchorId="1EE0AF16" wp14:editId="44538EF0">
            <wp:extent cx="5724892" cy="822303"/>
            <wp:effectExtent l="0" t="0" r="0" b="0"/>
            <wp:docPr id="564864102" name="Imagen 1" descr="Interfaz de usuario gráfica, Texto, Aplicación,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64102" name="Imagen 1" descr="Interfaz de usuario gráfica, Texto, Aplicación, Chat o mensaje de texto&#10;&#10;El contenido generado por IA puede ser incorrecto."/>
                    <pic:cNvPicPr/>
                  </pic:nvPicPr>
                  <pic:blipFill>
                    <a:blip r:embed="rId9"/>
                    <a:stretch>
                      <a:fillRect/>
                    </a:stretch>
                  </pic:blipFill>
                  <pic:spPr>
                    <a:xfrm>
                      <a:off x="0" y="0"/>
                      <a:ext cx="5769914" cy="828770"/>
                    </a:xfrm>
                    <a:prstGeom prst="rect">
                      <a:avLst/>
                    </a:prstGeom>
                  </pic:spPr>
                </pic:pic>
              </a:graphicData>
            </a:graphic>
          </wp:inline>
        </w:drawing>
      </w:r>
    </w:p>
    <w:p w14:paraId="69896F2F" w14:textId="77777777" w:rsidR="002E183A" w:rsidRPr="005B50D5" w:rsidRDefault="002E183A" w:rsidP="0089045F">
      <w:pPr>
        <w:spacing w:after="0" w:line="312" w:lineRule="auto"/>
        <w:jc w:val="both"/>
        <w:rPr>
          <w:rFonts w:ascii="Arial" w:hAnsi="Arial" w:cs="Arial"/>
        </w:rPr>
      </w:pPr>
    </w:p>
    <w:p w14:paraId="777EF96F" w14:textId="3D3970DB" w:rsidR="002E183A" w:rsidRPr="005B50D5" w:rsidRDefault="00D267E0" w:rsidP="00D267E0">
      <w:pPr>
        <w:spacing w:after="0" w:line="312" w:lineRule="auto"/>
        <w:jc w:val="both"/>
        <w:rPr>
          <w:rFonts w:ascii="Arial" w:hAnsi="Arial" w:cs="Arial"/>
        </w:rPr>
      </w:pPr>
      <w:r w:rsidRPr="005B50D5">
        <w:rPr>
          <w:rFonts w:ascii="Arial" w:hAnsi="Arial" w:cs="Arial"/>
        </w:rPr>
        <w:t xml:space="preserve">En este sentido, de acuerdo con el artículo 322 del Código General del Proceso, los recursos deberán interponerse dentro de los tres (3) días siguientes a su notificación, por lo tanto, </w:t>
      </w:r>
      <w:r w:rsidRPr="005B50D5">
        <w:rPr>
          <w:rFonts w:ascii="Arial" w:hAnsi="Arial" w:cs="Arial"/>
        </w:rPr>
        <w:lastRenderedPageBreak/>
        <w:t>considerando que la providencia fue notificada el 1</w:t>
      </w:r>
      <w:r w:rsidR="00E232E3" w:rsidRPr="005B50D5">
        <w:rPr>
          <w:rFonts w:ascii="Arial" w:hAnsi="Arial" w:cs="Arial"/>
        </w:rPr>
        <w:t>8</w:t>
      </w:r>
      <w:r w:rsidRPr="005B50D5">
        <w:rPr>
          <w:rFonts w:ascii="Arial" w:hAnsi="Arial" w:cs="Arial"/>
        </w:rPr>
        <w:t xml:space="preserve"> de febrero de 2025, </w:t>
      </w:r>
      <w:r w:rsidR="00E65026" w:rsidRPr="005B50D5">
        <w:rPr>
          <w:rFonts w:ascii="Arial" w:hAnsi="Arial" w:cs="Arial"/>
        </w:rPr>
        <w:t xml:space="preserve">y que </w:t>
      </w:r>
      <w:r w:rsidRPr="005B50D5">
        <w:rPr>
          <w:rFonts w:ascii="Arial" w:hAnsi="Arial" w:cs="Arial"/>
        </w:rPr>
        <w:t>el término para interponer los recursos corrió desde el 1</w:t>
      </w:r>
      <w:r w:rsidR="00E232E3" w:rsidRPr="005B50D5">
        <w:rPr>
          <w:rFonts w:ascii="Arial" w:hAnsi="Arial" w:cs="Arial"/>
        </w:rPr>
        <w:t>9</w:t>
      </w:r>
      <w:r w:rsidRPr="005B50D5">
        <w:rPr>
          <w:rFonts w:ascii="Arial" w:hAnsi="Arial" w:cs="Arial"/>
        </w:rPr>
        <w:t xml:space="preserve"> febrero de 2025 hasta el </w:t>
      </w:r>
      <w:r w:rsidR="00E232E3" w:rsidRPr="005B50D5">
        <w:rPr>
          <w:rFonts w:ascii="Arial" w:hAnsi="Arial" w:cs="Arial"/>
        </w:rPr>
        <w:t>21</w:t>
      </w:r>
      <w:r w:rsidRPr="005B50D5">
        <w:rPr>
          <w:rFonts w:ascii="Arial" w:hAnsi="Arial" w:cs="Arial"/>
        </w:rPr>
        <w:t xml:space="preserve"> de febrero de 202</w:t>
      </w:r>
      <w:r w:rsidR="00E232E3" w:rsidRPr="005B50D5">
        <w:rPr>
          <w:rFonts w:ascii="Arial" w:hAnsi="Arial" w:cs="Arial"/>
        </w:rPr>
        <w:t>5</w:t>
      </w:r>
      <w:r w:rsidRPr="005B50D5">
        <w:rPr>
          <w:rFonts w:ascii="Arial" w:hAnsi="Arial" w:cs="Arial"/>
        </w:rPr>
        <w:t xml:space="preserve">, </w:t>
      </w:r>
      <w:r w:rsidR="00E65026" w:rsidRPr="005B50D5">
        <w:rPr>
          <w:rFonts w:ascii="Arial" w:hAnsi="Arial" w:cs="Arial"/>
        </w:rPr>
        <w:t>este</w:t>
      </w:r>
      <w:r w:rsidRPr="005B50D5">
        <w:rPr>
          <w:rFonts w:ascii="Arial" w:hAnsi="Arial" w:cs="Arial"/>
        </w:rPr>
        <w:t xml:space="preserve"> escrito se presenta dentro del término previsto.</w:t>
      </w:r>
    </w:p>
    <w:p w14:paraId="5154BF4D" w14:textId="3E1248F0" w:rsidR="002E183A" w:rsidRPr="005B50D5" w:rsidRDefault="002E183A" w:rsidP="002760AB">
      <w:pPr>
        <w:spacing w:after="0" w:line="312" w:lineRule="auto"/>
        <w:ind w:right="49"/>
        <w:jc w:val="both"/>
        <w:rPr>
          <w:rFonts w:ascii="Arial" w:hAnsi="Arial" w:cs="Arial"/>
        </w:rPr>
      </w:pPr>
    </w:p>
    <w:p w14:paraId="06F7C387" w14:textId="2BFC6E1E" w:rsidR="00B54A9C" w:rsidRPr="005B50D5" w:rsidRDefault="002E183A" w:rsidP="002760AB">
      <w:pPr>
        <w:spacing w:after="0" w:line="312" w:lineRule="auto"/>
        <w:jc w:val="both"/>
        <w:rPr>
          <w:rFonts w:ascii="Arial" w:hAnsi="Arial" w:cs="Arial"/>
        </w:rPr>
      </w:pPr>
      <w:r w:rsidRPr="005B50D5">
        <w:rPr>
          <w:rFonts w:ascii="Arial" w:hAnsi="Arial" w:cs="Arial"/>
        </w:rPr>
        <w:t>En atención a la aplicación del principio de integración normativa, establecido en el artículo 306 del Código de Procedimiento Administrativo y lo Contencioso Administrativo</w:t>
      </w:r>
      <w:r w:rsidR="005B50D5" w:rsidRPr="005B50D5">
        <w:rPr>
          <w:rFonts w:ascii="Arial" w:hAnsi="Arial" w:cs="Arial"/>
        </w:rPr>
        <w:t>,</w:t>
      </w:r>
      <w:r w:rsidRPr="005B50D5">
        <w:rPr>
          <w:rFonts w:ascii="Arial" w:hAnsi="Arial" w:cs="Arial"/>
        </w:rPr>
        <w:t xml:space="preserve"> debe tenerse en cuenta lo establecido en los artículos 318 a 322 del Código General del Proceso y lo señalado en el artículo 242 </w:t>
      </w:r>
      <w:r w:rsidR="00021B07" w:rsidRPr="005B50D5">
        <w:rPr>
          <w:rFonts w:ascii="Arial" w:hAnsi="Arial" w:cs="Arial"/>
        </w:rPr>
        <w:t xml:space="preserve">y en el numeral 6 del artículo </w:t>
      </w:r>
      <w:r w:rsidR="008430F9" w:rsidRPr="005B50D5">
        <w:rPr>
          <w:rFonts w:ascii="Arial" w:hAnsi="Arial" w:cs="Arial"/>
        </w:rPr>
        <w:t>2</w:t>
      </w:r>
      <w:r w:rsidR="00021B07" w:rsidRPr="005B50D5">
        <w:rPr>
          <w:rFonts w:ascii="Arial" w:hAnsi="Arial" w:cs="Arial"/>
        </w:rPr>
        <w:t xml:space="preserve">43 </w:t>
      </w:r>
      <w:r w:rsidRPr="005B50D5">
        <w:rPr>
          <w:rFonts w:ascii="Arial" w:hAnsi="Arial" w:cs="Arial"/>
        </w:rPr>
        <w:t>de la Ley 1437 de 2011</w:t>
      </w:r>
      <w:r w:rsidR="005B50D5" w:rsidRPr="005B50D5">
        <w:rPr>
          <w:rFonts w:ascii="Arial" w:hAnsi="Arial" w:cs="Arial"/>
        </w:rPr>
        <w:t>,</w:t>
      </w:r>
      <w:r w:rsidRPr="005B50D5">
        <w:rPr>
          <w:rFonts w:ascii="Arial" w:hAnsi="Arial" w:cs="Arial"/>
        </w:rPr>
        <w:t xml:space="preserve"> modificado</w:t>
      </w:r>
      <w:r w:rsidR="008430F9" w:rsidRPr="005B50D5">
        <w:rPr>
          <w:rFonts w:ascii="Arial" w:hAnsi="Arial" w:cs="Arial"/>
        </w:rPr>
        <w:t>s</w:t>
      </w:r>
      <w:r w:rsidRPr="005B50D5">
        <w:rPr>
          <w:rFonts w:ascii="Arial" w:hAnsi="Arial" w:cs="Arial"/>
        </w:rPr>
        <w:t xml:space="preserve"> por la Ley 2080 de 2021</w:t>
      </w:r>
      <w:r w:rsidR="005B50D5" w:rsidRPr="005B50D5">
        <w:rPr>
          <w:rFonts w:ascii="Arial" w:hAnsi="Arial" w:cs="Arial"/>
        </w:rPr>
        <w:t>, el cual establece:</w:t>
      </w:r>
    </w:p>
    <w:p w14:paraId="3B997D97" w14:textId="77777777" w:rsidR="00B54A9C" w:rsidRPr="005B50D5" w:rsidRDefault="00B54A9C" w:rsidP="002760AB">
      <w:pPr>
        <w:spacing w:after="0" w:line="312" w:lineRule="auto"/>
        <w:jc w:val="both"/>
        <w:rPr>
          <w:rFonts w:ascii="Arial" w:hAnsi="Arial" w:cs="Arial"/>
        </w:rPr>
      </w:pPr>
    </w:p>
    <w:p w14:paraId="1A3AFD9E" w14:textId="01DCD9DE" w:rsidR="00B54A9C" w:rsidRPr="005B50D5" w:rsidRDefault="00B54A9C" w:rsidP="00B54A9C">
      <w:pPr>
        <w:spacing w:after="0" w:line="312" w:lineRule="auto"/>
        <w:ind w:left="567" w:right="567"/>
        <w:jc w:val="both"/>
        <w:rPr>
          <w:rFonts w:ascii="Arial" w:hAnsi="Arial" w:cs="Arial"/>
          <w:i/>
          <w:iCs/>
          <w:sz w:val="20"/>
          <w:szCs w:val="20"/>
        </w:rPr>
      </w:pPr>
      <w:r w:rsidRPr="005B50D5">
        <w:rPr>
          <w:rFonts w:ascii="Arial" w:hAnsi="Arial" w:cs="Arial"/>
          <w:i/>
          <w:iCs/>
          <w:sz w:val="20"/>
          <w:szCs w:val="20"/>
        </w:rPr>
        <w:t>ARTÍCULO 243. APELACIÓN. Son apelables las sentencias de primera instancia y los siguientes autos proferidos en la misma instancia:</w:t>
      </w:r>
    </w:p>
    <w:p w14:paraId="358C692F" w14:textId="77777777" w:rsidR="00B54A9C" w:rsidRPr="005B50D5" w:rsidRDefault="00B54A9C" w:rsidP="00B54A9C">
      <w:pPr>
        <w:spacing w:after="0" w:line="312" w:lineRule="auto"/>
        <w:ind w:left="567" w:right="567"/>
        <w:jc w:val="both"/>
        <w:rPr>
          <w:rFonts w:ascii="Arial" w:hAnsi="Arial" w:cs="Arial"/>
          <w:i/>
          <w:iCs/>
          <w:sz w:val="20"/>
          <w:szCs w:val="20"/>
        </w:rPr>
      </w:pPr>
    </w:p>
    <w:p w14:paraId="6CD4F7EA" w14:textId="08E4F87C" w:rsidR="00B54A9C" w:rsidRPr="00A11387" w:rsidRDefault="00B54A9C" w:rsidP="00B54A9C">
      <w:pPr>
        <w:spacing w:after="0" w:line="312" w:lineRule="auto"/>
        <w:ind w:left="567" w:right="567"/>
        <w:jc w:val="both"/>
        <w:rPr>
          <w:rFonts w:ascii="Arial" w:hAnsi="Arial" w:cs="Arial"/>
          <w:b/>
          <w:bCs/>
          <w:i/>
          <w:iCs/>
          <w:sz w:val="20"/>
          <w:szCs w:val="20"/>
          <w:u w:val="single"/>
        </w:rPr>
      </w:pPr>
      <w:r w:rsidRPr="00A11387">
        <w:rPr>
          <w:rFonts w:ascii="Arial" w:hAnsi="Arial" w:cs="Arial"/>
          <w:b/>
          <w:bCs/>
          <w:i/>
          <w:iCs/>
          <w:sz w:val="20"/>
          <w:szCs w:val="20"/>
          <w:u w:val="single"/>
        </w:rPr>
        <w:t>6. El que niegue la intervención de terceros.</w:t>
      </w:r>
    </w:p>
    <w:p w14:paraId="44F5B11A" w14:textId="77777777" w:rsidR="00B54A9C" w:rsidRPr="005B50D5" w:rsidRDefault="00B54A9C" w:rsidP="002760AB">
      <w:pPr>
        <w:spacing w:after="0" w:line="312" w:lineRule="auto"/>
        <w:jc w:val="both"/>
        <w:rPr>
          <w:rFonts w:ascii="Arial" w:hAnsi="Arial" w:cs="Arial"/>
        </w:rPr>
      </w:pPr>
    </w:p>
    <w:p w14:paraId="3FF7507F" w14:textId="3C034805" w:rsidR="00CF53AD" w:rsidRPr="005B50D5" w:rsidRDefault="00B54A9C" w:rsidP="002760AB">
      <w:pPr>
        <w:spacing w:after="0" w:line="312" w:lineRule="auto"/>
        <w:jc w:val="both"/>
        <w:rPr>
          <w:rFonts w:ascii="Arial" w:hAnsi="Arial" w:cs="Arial"/>
        </w:rPr>
      </w:pPr>
      <w:r w:rsidRPr="005B50D5">
        <w:rPr>
          <w:rFonts w:ascii="Arial" w:hAnsi="Arial" w:cs="Arial"/>
        </w:rPr>
        <w:t>Atendiendo lo anterior</w:t>
      </w:r>
      <w:r w:rsidR="0062454D" w:rsidRPr="005B50D5">
        <w:rPr>
          <w:rFonts w:ascii="Arial" w:hAnsi="Arial" w:cs="Arial"/>
        </w:rPr>
        <w:t xml:space="preserve"> y a que el auto </w:t>
      </w:r>
      <w:r w:rsidR="005B50D5" w:rsidRPr="005B50D5">
        <w:rPr>
          <w:rFonts w:ascii="Arial" w:hAnsi="Arial" w:cs="Arial"/>
        </w:rPr>
        <w:t>objeto del recurso negó</w:t>
      </w:r>
      <w:r w:rsidR="0062454D" w:rsidRPr="005B50D5">
        <w:rPr>
          <w:rFonts w:ascii="Arial" w:hAnsi="Arial" w:cs="Arial"/>
        </w:rPr>
        <w:t xml:space="preserve"> la vinculación de un tercero</w:t>
      </w:r>
      <w:r w:rsidR="002E183A" w:rsidRPr="005B50D5">
        <w:rPr>
          <w:rFonts w:ascii="Arial" w:hAnsi="Arial" w:cs="Arial"/>
        </w:rPr>
        <w:t xml:space="preserve">, </w:t>
      </w:r>
      <w:r w:rsidR="005B50D5" w:rsidRPr="005B50D5">
        <w:rPr>
          <w:rFonts w:ascii="Arial" w:hAnsi="Arial" w:cs="Arial"/>
        </w:rPr>
        <w:t xml:space="preserve">resulta procedente </w:t>
      </w:r>
      <w:r w:rsidR="002E183A" w:rsidRPr="005B50D5">
        <w:rPr>
          <w:rFonts w:ascii="Arial" w:hAnsi="Arial" w:cs="Arial"/>
        </w:rPr>
        <w:t xml:space="preserve">elevar </w:t>
      </w:r>
      <w:r w:rsidR="00C07172" w:rsidRPr="005B50D5">
        <w:rPr>
          <w:rFonts w:ascii="Arial" w:hAnsi="Arial" w:cs="Arial"/>
          <w:b/>
          <w:bCs/>
        </w:rPr>
        <w:t>RECURSO DE REPOSICIÓN</w:t>
      </w:r>
      <w:r w:rsidR="008430F9" w:rsidRPr="005B50D5">
        <w:rPr>
          <w:rFonts w:ascii="Arial" w:hAnsi="Arial" w:cs="Arial"/>
          <w:b/>
          <w:bCs/>
        </w:rPr>
        <w:t xml:space="preserve"> </w:t>
      </w:r>
      <w:r w:rsidR="005B50D5" w:rsidRPr="005B50D5">
        <w:rPr>
          <w:rFonts w:ascii="Arial" w:hAnsi="Arial" w:cs="Arial"/>
          <w:b/>
          <w:bCs/>
        </w:rPr>
        <w:t xml:space="preserve">Y </w:t>
      </w:r>
      <w:r w:rsidR="008430F9" w:rsidRPr="005B50D5">
        <w:rPr>
          <w:rFonts w:ascii="Arial" w:hAnsi="Arial" w:cs="Arial"/>
          <w:b/>
          <w:bCs/>
        </w:rPr>
        <w:t>EN SUBSIDIO EL DE APELACIÓN</w:t>
      </w:r>
      <w:r w:rsidR="00C07172" w:rsidRPr="005B50D5">
        <w:rPr>
          <w:rFonts w:ascii="Arial" w:hAnsi="Arial" w:cs="Arial"/>
          <w:b/>
          <w:bCs/>
        </w:rPr>
        <w:t xml:space="preserve"> </w:t>
      </w:r>
      <w:r w:rsidR="00C07172" w:rsidRPr="005B50D5">
        <w:rPr>
          <w:rFonts w:ascii="Arial" w:hAnsi="Arial" w:cs="Arial"/>
        </w:rPr>
        <w:t xml:space="preserve">contra el </w:t>
      </w:r>
      <w:r w:rsidR="008430F9" w:rsidRPr="005B50D5">
        <w:rPr>
          <w:rFonts w:ascii="Arial" w:hAnsi="Arial" w:cs="Arial"/>
        </w:rPr>
        <w:t>auto No. 097 del 17 de febrero</w:t>
      </w:r>
      <w:r w:rsidR="005B50D5" w:rsidRPr="005B50D5">
        <w:rPr>
          <w:rFonts w:ascii="Arial" w:hAnsi="Arial" w:cs="Arial"/>
        </w:rPr>
        <w:t>,</w:t>
      </w:r>
      <w:r w:rsidR="008430F9" w:rsidRPr="005B50D5">
        <w:rPr>
          <w:rFonts w:ascii="Arial" w:hAnsi="Arial" w:cs="Arial"/>
        </w:rPr>
        <w:t xml:space="preserve"> el cual negó la vinculación del </w:t>
      </w:r>
      <w:r w:rsidR="00F26BB8" w:rsidRPr="005B50D5">
        <w:rPr>
          <w:rFonts w:ascii="Arial" w:hAnsi="Arial" w:cs="Arial"/>
        </w:rPr>
        <w:t>Consorcio PA-BCS Mojarras</w:t>
      </w:r>
      <w:r w:rsidR="00CF53AD" w:rsidRPr="005B50D5">
        <w:rPr>
          <w:rFonts w:ascii="Arial" w:hAnsi="Arial" w:cs="Arial"/>
        </w:rPr>
        <w:t xml:space="preserve">. </w:t>
      </w:r>
    </w:p>
    <w:p w14:paraId="31E9244B" w14:textId="77777777" w:rsidR="00CF53AD" w:rsidRPr="005B50D5" w:rsidRDefault="00CF53AD" w:rsidP="002760AB">
      <w:pPr>
        <w:spacing w:after="0" w:line="312" w:lineRule="auto"/>
        <w:jc w:val="both"/>
        <w:rPr>
          <w:rFonts w:ascii="Arial" w:hAnsi="Arial" w:cs="Arial"/>
        </w:rPr>
      </w:pPr>
    </w:p>
    <w:p w14:paraId="7F4CAAF9" w14:textId="7FF999EE" w:rsidR="002E183A" w:rsidRPr="005B50D5" w:rsidRDefault="002E183A" w:rsidP="002760AB">
      <w:pPr>
        <w:pStyle w:val="Standard"/>
        <w:tabs>
          <w:tab w:val="left" w:pos="426"/>
          <w:tab w:val="left" w:pos="2268"/>
        </w:tabs>
        <w:spacing w:after="0" w:line="312" w:lineRule="auto"/>
        <w:jc w:val="center"/>
        <w:rPr>
          <w:rFonts w:ascii="Arial" w:hAnsi="Arial" w:cs="Arial"/>
          <w:b/>
          <w:bCs/>
          <w:u w:val="single"/>
        </w:rPr>
      </w:pPr>
      <w:r w:rsidRPr="005B50D5">
        <w:rPr>
          <w:rFonts w:ascii="Arial" w:hAnsi="Arial" w:cs="Arial"/>
          <w:b/>
          <w:bCs/>
          <w:u w:val="single"/>
        </w:rPr>
        <w:t>CAP</w:t>
      </w:r>
      <w:r w:rsidR="00433B9C" w:rsidRPr="005B50D5">
        <w:rPr>
          <w:rFonts w:ascii="Arial" w:hAnsi="Arial" w:cs="Arial"/>
          <w:b/>
          <w:bCs/>
          <w:u w:val="single"/>
        </w:rPr>
        <w:t>Í</w:t>
      </w:r>
      <w:r w:rsidRPr="005B50D5">
        <w:rPr>
          <w:rFonts w:ascii="Arial" w:hAnsi="Arial" w:cs="Arial"/>
          <w:b/>
          <w:bCs/>
          <w:u w:val="single"/>
        </w:rPr>
        <w:t xml:space="preserve">TULO III. </w:t>
      </w:r>
      <w:r w:rsidR="00B54A9C" w:rsidRPr="005B50D5">
        <w:rPr>
          <w:rFonts w:ascii="Arial" w:hAnsi="Arial" w:cs="Arial"/>
          <w:b/>
          <w:bCs/>
          <w:u w:val="single"/>
        </w:rPr>
        <w:t xml:space="preserve">FUNDAMENTOS DEL RECURSO DE REPOSICIÓN </w:t>
      </w:r>
      <w:r w:rsidR="005B50D5" w:rsidRPr="005B50D5">
        <w:rPr>
          <w:rFonts w:ascii="Arial" w:hAnsi="Arial" w:cs="Arial"/>
          <w:b/>
          <w:bCs/>
          <w:u w:val="single"/>
        </w:rPr>
        <w:t xml:space="preserve">Y </w:t>
      </w:r>
      <w:r w:rsidR="00B54A9C" w:rsidRPr="005B50D5">
        <w:rPr>
          <w:rFonts w:ascii="Arial" w:hAnsi="Arial" w:cs="Arial"/>
          <w:b/>
          <w:bCs/>
          <w:u w:val="single"/>
        </w:rPr>
        <w:t>EN SUBSIDIO EL DE APELACIÓN</w:t>
      </w:r>
    </w:p>
    <w:p w14:paraId="3B4809F8" w14:textId="77777777" w:rsidR="002E183A" w:rsidRPr="005B50D5" w:rsidRDefault="002E183A" w:rsidP="002760AB">
      <w:pPr>
        <w:pStyle w:val="Standard"/>
        <w:tabs>
          <w:tab w:val="left" w:pos="426"/>
          <w:tab w:val="left" w:pos="2268"/>
        </w:tabs>
        <w:spacing w:after="0" w:line="312" w:lineRule="auto"/>
        <w:jc w:val="both"/>
        <w:rPr>
          <w:rFonts w:ascii="Arial" w:hAnsi="Arial" w:cs="Arial"/>
        </w:rPr>
      </w:pPr>
    </w:p>
    <w:p w14:paraId="1F3B4C5A" w14:textId="3609E415" w:rsidR="00297008" w:rsidRPr="005B50D5" w:rsidRDefault="002E183A" w:rsidP="00383206">
      <w:pPr>
        <w:pStyle w:val="Default"/>
        <w:spacing w:line="312" w:lineRule="auto"/>
        <w:ind w:right="49"/>
        <w:jc w:val="both"/>
        <w:rPr>
          <w:color w:val="auto"/>
          <w:sz w:val="22"/>
          <w:szCs w:val="22"/>
        </w:rPr>
      </w:pPr>
      <w:r w:rsidRPr="005B50D5">
        <w:rPr>
          <w:color w:val="auto"/>
          <w:sz w:val="22"/>
          <w:szCs w:val="22"/>
        </w:rPr>
        <w:t>No comparto la decisi</w:t>
      </w:r>
      <w:r w:rsidR="00D70442" w:rsidRPr="005B50D5">
        <w:rPr>
          <w:color w:val="auto"/>
          <w:sz w:val="22"/>
          <w:szCs w:val="22"/>
        </w:rPr>
        <w:t>ón</w:t>
      </w:r>
      <w:r w:rsidRPr="005B50D5">
        <w:rPr>
          <w:color w:val="auto"/>
          <w:sz w:val="22"/>
          <w:szCs w:val="22"/>
        </w:rPr>
        <w:t xml:space="preserve"> adoptada por el despacho en el sentido de</w:t>
      </w:r>
      <w:r w:rsidR="00B55EF8" w:rsidRPr="005B50D5">
        <w:rPr>
          <w:color w:val="auto"/>
          <w:sz w:val="22"/>
          <w:szCs w:val="22"/>
        </w:rPr>
        <w:t xml:space="preserve"> </w:t>
      </w:r>
      <w:r w:rsidR="00383206" w:rsidRPr="00A11387">
        <w:rPr>
          <w:sz w:val="22"/>
          <w:szCs w:val="22"/>
        </w:rPr>
        <w:t>negar la vinculación del Consorcio PA-BCS Mojarras como extremo pasivo de la acción, lo cual tuvo como sustento</w:t>
      </w:r>
      <w:r w:rsidR="005B50D5">
        <w:rPr>
          <w:sz w:val="22"/>
          <w:szCs w:val="22"/>
        </w:rPr>
        <w:t xml:space="preserve"> que, </w:t>
      </w:r>
      <w:r w:rsidR="00383206" w:rsidRPr="00A11387">
        <w:rPr>
          <w:sz w:val="22"/>
          <w:szCs w:val="22"/>
        </w:rPr>
        <w:t>en consideración del despacho</w:t>
      </w:r>
      <w:r w:rsidR="005B50D5">
        <w:rPr>
          <w:sz w:val="22"/>
          <w:szCs w:val="22"/>
        </w:rPr>
        <w:t>, i)</w:t>
      </w:r>
      <w:r w:rsidR="00383206" w:rsidRPr="00A11387">
        <w:rPr>
          <w:sz w:val="22"/>
          <w:szCs w:val="22"/>
        </w:rPr>
        <w:t xml:space="preserve"> se presentó el fenómeno de la caducidad respecto del consorcio llamado a comparecer</w:t>
      </w:r>
      <w:r w:rsidR="0099300E" w:rsidRPr="00A11387">
        <w:rPr>
          <w:sz w:val="22"/>
          <w:szCs w:val="22"/>
        </w:rPr>
        <w:t>,</w:t>
      </w:r>
      <w:r w:rsidR="00383206" w:rsidRPr="00A11387">
        <w:rPr>
          <w:sz w:val="22"/>
          <w:szCs w:val="22"/>
        </w:rPr>
        <w:t xml:space="preserve"> </w:t>
      </w:r>
      <w:proofErr w:type="spellStart"/>
      <w:r w:rsidR="005B50D5">
        <w:rPr>
          <w:sz w:val="22"/>
          <w:szCs w:val="22"/>
        </w:rPr>
        <w:t>ii</w:t>
      </w:r>
      <w:proofErr w:type="spellEnd"/>
      <w:r w:rsidR="005B50D5">
        <w:rPr>
          <w:sz w:val="22"/>
          <w:szCs w:val="22"/>
        </w:rPr>
        <w:t xml:space="preserve">) </w:t>
      </w:r>
      <w:r w:rsidR="00383206" w:rsidRPr="00A11387">
        <w:rPr>
          <w:sz w:val="22"/>
          <w:szCs w:val="22"/>
        </w:rPr>
        <w:t xml:space="preserve">que no existe prueba de que se haya agotado </w:t>
      </w:r>
      <w:r w:rsidR="005B50D5">
        <w:rPr>
          <w:sz w:val="22"/>
          <w:szCs w:val="22"/>
        </w:rPr>
        <w:t>frente a aquel</w:t>
      </w:r>
      <w:r w:rsidR="00383206" w:rsidRPr="00A11387">
        <w:rPr>
          <w:sz w:val="22"/>
          <w:szCs w:val="22"/>
        </w:rPr>
        <w:t xml:space="preserve"> el requisito de procedibilidad</w:t>
      </w:r>
      <w:r w:rsidR="0099300E" w:rsidRPr="00A11387">
        <w:rPr>
          <w:sz w:val="22"/>
          <w:szCs w:val="22"/>
        </w:rPr>
        <w:t xml:space="preserve"> </w:t>
      </w:r>
      <w:r w:rsidR="005B50D5">
        <w:rPr>
          <w:sz w:val="22"/>
          <w:szCs w:val="22"/>
        </w:rPr>
        <w:t xml:space="preserve">referente a la conciliación, </w:t>
      </w:r>
      <w:r w:rsidR="0099300E" w:rsidRPr="00A11387">
        <w:rPr>
          <w:sz w:val="22"/>
          <w:szCs w:val="22"/>
        </w:rPr>
        <w:t xml:space="preserve">y </w:t>
      </w:r>
      <w:proofErr w:type="spellStart"/>
      <w:r w:rsidR="005B50D5">
        <w:rPr>
          <w:sz w:val="22"/>
          <w:szCs w:val="22"/>
        </w:rPr>
        <w:t>iii</w:t>
      </w:r>
      <w:proofErr w:type="spellEnd"/>
      <w:r w:rsidR="005B50D5">
        <w:rPr>
          <w:sz w:val="22"/>
          <w:szCs w:val="22"/>
        </w:rPr>
        <w:t xml:space="preserve">) </w:t>
      </w:r>
      <w:r w:rsidR="0099300E" w:rsidRPr="00A11387">
        <w:rPr>
          <w:sz w:val="22"/>
          <w:szCs w:val="22"/>
        </w:rPr>
        <w:t>que ya se negó la solicitud de llamamiento en garantía dado que</w:t>
      </w:r>
      <w:r w:rsidR="005B50D5">
        <w:rPr>
          <w:sz w:val="22"/>
          <w:szCs w:val="22"/>
        </w:rPr>
        <w:t>:</w:t>
      </w:r>
      <w:r w:rsidR="0099300E" w:rsidRPr="00A11387">
        <w:rPr>
          <w:sz w:val="22"/>
          <w:szCs w:val="22"/>
        </w:rPr>
        <w:t xml:space="preserve"> </w:t>
      </w:r>
      <w:r w:rsidR="0046559B" w:rsidRPr="00A11387">
        <w:rPr>
          <w:sz w:val="22"/>
          <w:szCs w:val="22"/>
        </w:rPr>
        <w:t>“</w:t>
      </w:r>
      <w:r w:rsidR="0099300E" w:rsidRPr="00A11387">
        <w:rPr>
          <w:i/>
          <w:iCs/>
          <w:sz w:val="22"/>
          <w:szCs w:val="22"/>
        </w:rPr>
        <w:t xml:space="preserve">no se demostró </w:t>
      </w:r>
      <w:r w:rsidR="0046559B" w:rsidRPr="00A11387">
        <w:rPr>
          <w:i/>
          <w:iCs/>
          <w:sz w:val="22"/>
          <w:szCs w:val="22"/>
        </w:rPr>
        <w:t>ningún vínculo de orden legal o contractual</w:t>
      </w:r>
      <w:r w:rsidR="0046559B" w:rsidRPr="00A11387">
        <w:rPr>
          <w:sz w:val="22"/>
          <w:szCs w:val="22"/>
        </w:rPr>
        <w:t>” entre INVIAS y el Consorcio PA-BCS Mojarras</w:t>
      </w:r>
      <w:r w:rsidR="000E072D" w:rsidRPr="005B50D5">
        <w:rPr>
          <w:color w:val="auto"/>
          <w:sz w:val="22"/>
          <w:szCs w:val="22"/>
        </w:rPr>
        <w:t>.</w:t>
      </w:r>
    </w:p>
    <w:p w14:paraId="69EF7F8A" w14:textId="77777777" w:rsidR="00FB6416" w:rsidRPr="005B50D5" w:rsidRDefault="00FB6416" w:rsidP="00383206">
      <w:pPr>
        <w:pStyle w:val="Default"/>
        <w:spacing w:line="312" w:lineRule="auto"/>
        <w:ind w:right="49"/>
        <w:jc w:val="both"/>
        <w:rPr>
          <w:color w:val="auto"/>
          <w:sz w:val="22"/>
          <w:szCs w:val="22"/>
        </w:rPr>
      </w:pPr>
    </w:p>
    <w:p w14:paraId="54F903F7" w14:textId="347FC994" w:rsidR="0099300E" w:rsidRPr="005B50D5" w:rsidRDefault="00D051FF" w:rsidP="00383206">
      <w:pPr>
        <w:pStyle w:val="Default"/>
        <w:spacing w:line="312" w:lineRule="auto"/>
        <w:ind w:right="49"/>
        <w:jc w:val="both"/>
        <w:rPr>
          <w:color w:val="auto"/>
          <w:sz w:val="22"/>
          <w:szCs w:val="22"/>
        </w:rPr>
      </w:pPr>
      <w:r w:rsidRPr="005B50D5">
        <w:rPr>
          <w:color w:val="auto"/>
          <w:sz w:val="22"/>
          <w:szCs w:val="22"/>
        </w:rPr>
        <w:t>Sin embargo, es de señalar que las apreciaciones del despacho son erradas</w:t>
      </w:r>
      <w:r w:rsidR="005B50D5">
        <w:rPr>
          <w:color w:val="auto"/>
          <w:sz w:val="22"/>
          <w:szCs w:val="22"/>
        </w:rPr>
        <w:t xml:space="preserve">, por cuanto </w:t>
      </w:r>
      <w:r w:rsidR="00F819B4" w:rsidRPr="005B50D5">
        <w:rPr>
          <w:color w:val="auto"/>
          <w:sz w:val="22"/>
          <w:szCs w:val="22"/>
        </w:rPr>
        <w:t>omite valorar de manera correcta tanto las condiciones del caso como las de las partes involucradas, así como los elementos de prueba allegados con anterioridad al plenario. Para sustentar el punto nos permitimos exponer lo siguiente:</w:t>
      </w:r>
    </w:p>
    <w:p w14:paraId="60DC7CC4" w14:textId="77777777" w:rsidR="00F819B4" w:rsidRPr="005B50D5" w:rsidRDefault="00F819B4" w:rsidP="00383206">
      <w:pPr>
        <w:pStyle w:val="Default"/>
        <w:spacing w:line="312" w:lineRule="auto"/>
        <w:ind w:right="49"/>
        <w:jc w:val="both"/>
        <w:rPr>
          <w:color w:val="auto"/>
          <w:sz w:val="22"/>
          <w:szCs w:val="22"/>
        </w:rPr>
      </w:pPr>
    </w:p>
    <w:p w14:paraId="5E82196B" w14:textId="25650557" w:rsidR="006E4CB0" w:rsidRPr="005B50D5" w:rsidRDefault="00290AEE" w:rsidP="00383206">
      <w:pPr>
        <w:pStyle w:val="Default"/>
        <w:spacing w:line="312" w:lineRule="auto"/>
        <w:ind w:right="49"/>
        <w:jc w:val="both"/>
        <w:rPr>
          <w:color w:val="auto"/>
          <w:sz w:val="22"/>
          <w:szCs w:val="22"/>
        </w:rPr>
      </w:pPr>
      <w:r>
        <w:rPr>
          <w:color w:val="auto"/>
          <w:sz w:val="22"/>
          <w:szCs w:val="22"/>
        </w:rPr>
        <w:t>Respecto</w:t>
      </w:r>
      <w:r w:rsidR="00D11F35" w:rsidRPr="005B50D5">
        <w:rPr>
          <w:color w:val="auto"/>
          <w:sz w:val="22"/>
          <w:szCs w:val="22"/>
        </w:rPr>
        <w:t xml:space="preserve"> del </w:t>
      </w:r>
      <w:r w:rsidR="006E4CB0" w:rsidRPr="005B50D5">
        <w:rPr>
          <w:color w:val="auto"/>
          <w:sz w:val="22"/>
          <w:szCs w:val="22"/>
        </w:rPr>
        <w:t>litisconsorcio necesario ha dicho la sección primera de la Sala de lo Contencioso Administrativo del Consejo de Estado en sentencia de radicación 11001-03-24-000-2014-00573-00, proferida el 15 de febrero de 2018, que:</w:t>
      </w:r>
    </w:p>
    <w:p w14:paraId="29DD63FA" w14:textId="77777777" w:rsidR="006E4CB0" w:rsidRPr="005B50D5" w:rsidRDefault="006E4CB0" w:rsidP="00383206">
      <w:pPr>
        <w:pStyle w:val="Default"/>
        <w:spacing w:line="312" w:lineRule="auto"/>
        <w:ind w:right="49"/>
        <w:jc w:val="both"/>
        <w:rPr>
          <w:color w:val="auto"/>
          <w:sz w:val="22"/>
          <w:szCs w:val="22"/>
        </w:rPr>
      </w:pPr>
    </w:p>
    <w:p w14:paraId="46B11090" w14:textId="77777777" w:rsidR="006E4CB0" w:rsidRPr="00A11387" w:rsidRDefault="006E4CB0" w:rsidP="006E4CB0">
      <w:pPr>
        <w:pStyle w:val="Default"/>
        <w:ind w:left="567" w:right="567"/>
        <w:rPr>
          <w:i/>
          <w:iCs/>
          <w:sz w:val="22"/>
          <w:szCs w:val="22"/>
        </w:rPr>
      </w:pPr>
      <w:r w:rsidRPr="00A11387">
        <w:rPr>
          <w:i/>
          <w:iCs/>
          <w:sz w:val="22"/>
          <w:szCs w:val="22"/>
        </w:rPr>
        <w:t xml:space="preserve">LITISCONSORCIO NECESARIO – Concepto </w:t>
      </w:r>
    </w:p>
    <w:p w14:paraId="46730F59" w14:textId="0A7EC08A" w:rsidR="00A377D0" w:rsidRPr="00A11387" w:rsidRDefault="006E4CB0" w:rsidP="006E4CB0">
      <w:pPr>
        <w:pStyle w:val="Default"/>
        <w:spacing w:line="312" w:lineRule="auto"/>
        <w:ind w:left="567" w:right="567"/>
        <w:jc w:val="both"/>
        <w:rPr>
          <w:color w:val="auto"/>
          <w:sz w:val="22"/>
          <w:szCs w:val="22"/>
        </w:rPr>
      </w:pPr>
      <w:r w:rsidRPr="00A11387">
        <w:rPr>
          <w:i/>
          <w:iCs/>
          <w:color w:val="auto"/>
          <w:sz w:val="22"/>
          <w:szCs w:val="22"/>
        </w:rPr>
        <w:t xml:space="preserve">La figura del litisconsorcio necesario está relacionada con la necesidad de vincular a uno o varios sujetos a un proceso judicial, que forzosamente deban integrar el contradictorio, esto es, aquellos sin los cuales no es posible que el juez resuelva la controversia, </w:t>
      </w:r>
      <w:r w:rsidRPr="00A11387">
        <w:rPr>
          <w:b/>
          <w:bCs/>
          <w:i/>
          <w:iCs/>
          <w:color w:val="auto"/>
          <w:sz w:val="22"/>
          <w:szCs w:val="22"/>
          <w:u w:val="single"/>
        </w:rPr>
        <w:t>so pena de violar el debido proceso y el derecho de contradicción y de defensa</w:t>
      </w:r>
      <w:r w:rsidRPr="00A11387">
        <w:rPr>
          <w:i/>
          <w:iCs/>
          <w:color w:val="auto"/>
          <w:sz w:val="22"/>
          <w:szCs w:val="22"/>
        </w:rPr>
        <w:t>. De lo anterior se infiere que el litisconsorcio necesario surge cuando la parte pasiva de la relación jurídica que se controvierte está integrada por una pluralidad de sujetos procesales, a quienes no es posible separar individualmente, pues cualquier pronunciamiento que emita el juez recae en la totalidad de aquellos.</w:t>
      </w:r>
      <w:r w:rsidR="00672770" w:rsidRPr="00A11387">
        <w:rPr>
          <w:i/>
          <w:iCs/>
          <w:color w:val="auto"/>
          <w:sz w:val="22"/>
          <w:szCs w:val="22"/>
        </w:rPr>
        <w:t xml:space="preserve"> </w:t>
      </w:r>
      <w:r w:rsidR="00672770" w:rsidRPr="00A11387">
        <w:rPr>
          <w:color w:val="auto"/>
          <w:sz w:val="22"/>
          <w:szCs w:val="22"/>
        </w:rPr>
        <w:t>(Subrayado y negritas fuera del texto original)</w:t>
      </w:r>
    </w:p>
    <w:p w14:paraId="4C0F0A69" w14:textId="77777777" w:rsidR="00A377D0" w:rsidRPr="005B50D5" w:rsidRDefault="00A377D0" w:rsidP="00383206">
      <w:pPr>
        <w:pStyle w:val="Default"/>
        <w:spacing w:line="312" w:lineRule="auto"/>
        <w:ind w:right="49"/>
        <w:jc w:val="both"/>
        <w:rPr>
          <w:color w:val="auto"/>
          <w:sz w:val="22"/>
          <w:szCs w:val="22"/>
        </w:rPr>
      </w:pPr>
    </w:p>
    <w:p w14:paraId="5DA44290" w14:textId="25DCAC56" w:rsidR="0086377B" w:rsidRPr="005B50D5" w:rsidRDefault="0086377B" w:rsidP="002760AB">
      <w:pPr>
        <w:pStyle w:val="Default"/>
        <w:spacing w:line="312" w:lineRule="auto"/>
        <w:ind w:right="49"/>
        <w:jc w:val="both"/>
        <w:rPr>
          <w:color w:val="auto"/>
          <w:sz w:val="22"/>
          <w:szCs w:val="22"/>
        </w:rPr>
      </w:pPr>
      <w:r w:rsidRPr="005B50D5">
        <w:rPr>
          <w:color w:val="auto"/>
          <w:sz w:val="22"/>
          <w:szCs w:val="22"/>
        </w:rPr>
        <w:t xml:space="preserve">El anterior concepto nos permite advertir que uno de los fines de la figura es evitar que se profiera decisión sin intervención de una parte que debe necesariamente presentarse a la contienda. Ahora, en igual hilo argumentativo dice </w:t>
      </w:r>
      <w:r w:rsidR="00F64396" w:rsidRPr="005B50D5">
        <w:rPr>
          <w:color w:val="auto"/>
          <w:sz w:val="22"/>
          <w:szCs w:val="22"/>
        </w:rPr>
        <w:t xml:space="preserve">el </w:t>
      </w:r>
      <w:r w:rsidR="00DC3809" w:rsidRPr="005B50D5">
        <w:rPr>
          <w:color w:val="auto"/>
          <w:sz w:val="22"/>
          <w:szCs w:val="22"/>
        </w:rPr>
        <w:t>Órgano de Cierre,</w:t>
      </w:r>
      <w:r w:rsidR="00F64396" w:rsidRPr="005B50D5">
        <w:rPr>
          <w:color w:val="auto"/>
          <w:sz w:val="22"/>
          <w:szCs w:val="22"/>
        </w:rPr>
        <w:t xml:space="preserve"> que:</w:t>
      </w:r>
    </w:p>
    <w:p w14:paraId="1F61F32A" w14:textId="77777777" w:rsidR="00F64396" w:rsidRPr="005B50D5" w:rsidRDefault="00F64396" w:rsidP="002760AB">
      <w:pPr>
        <w:pStyle w:val="Default"/>
        <w:spacing w:line="312" w:lineRule="auto"/>
        <w:ind w:right="49"/>
        <w:jc w:val="both"/>
        <w:rPr>
          <w:color w:val="auto"/>
          <w:sz w:val="22"/>
          <w:szCs w:val="22"/>
        </w:rPr>
      </w:pPr>
    </w:p>
    <w:p w14:paraId="092B1442" w14:textId="1DCC1AE3" w:rsidR="00F64396" w:rsidRPr="00A11387" w:rsidRDefault="00F64396" w:rsidP="00F64396">
      <w:pPr>
        <w:pStyle w:val="Default"/>
        <w:spacing w:line="312" w:lineRule="auto"/>
        <w:ind w:left="567" w:right="567"/>
        <w:jc w:val="both"/>
        <w:rPr>
          <w:i/>
          <w:iCs/>
          <w:color w:val="auto"/>
          <w:sz w:val="22"/>
          <w:szCs w:val="22"/>
        </w:rPr>
      </w:pPr>
      <w:r w:rsidRPr="00A11387">
        <w:rPr>
          <w:i/>
          <w:iCs/>
          <w:color w:val="auto"/>
          <w:sz w:val="22"/>
          <w:szCs w:val="22"/>
        </w:rPr>
        <w:t xml:space="preserve">Debe tenerse presente que </w:t>
      </w:r>
      <w:r w:rsidRPr="00A11387">
        <w:rPr>
          <w:i/>
          <w:iCs/>
          <w:color w:val="auto"/>
          <w:sz w:val="22"/>
          <w:szCs w:val="22"/>
          <w:u w:val="single"/>
        </w:rPr>
        <w:t xml:space="preserve">la figura del litisconsorcio necesario se caracteriza, fundamentalmente, </w:t>
      </w:r>
      <w:r w:rsidRPr="00A11387">
        <w:rPr>
          <w:b/>
          <w:bCs/>
          <w:i/>
          <w:iCs/>
          <w:color w:val="auto"/>
          <w:sz w:val="22"/>
          <w:szCs w:val="22"/>
          <w:u w:val="single"/>
        </w:rPr>
        <w:t>por la existencia de una única relación jurídica o de un acto jurídico</w:t>
      </w:r>
      <w:r w:rsidRPr="00A11387">
        <w:rPr>
          <w:i/>
          <w:iCs/>
          <w:color w:val="auto"/>
          <w:sz w:val="22"/>
          <w:szCs w:val="22"/>
          <w:u w:val="single"/>
        </w:rPr>
        <w:t xml:space="preserve"> respecto de los cuales existe pluralidad de sujetos</w:t>
      </w:r>
      <w:r w:rsidRPr="00A11387">
        <w:rPr>
          <w:i/>
          <w:iCs/>
          <w:color w:val="auto"/>
          <w:sz w:val="22"/>
          <w:szCs w:val="22"/>
        </w:rPr>
        <w:t xml:space="preserve"> o, dicho en otros términos, hay litisconsorcio necesario cuando el asunto objeto de conocimiento por parte de la jurisdicción reclama una decisión uniforme para todos los litisconsortes, titulares de la misma relación jurídica o del mismo acto jurídico que es objeto de controversia</w:t>
      </w:r>
      <w:r w:rsidR="00DC3809" w:rsidRPr="00A11387">
        <w:rPr>
          <w:rStyle w:val="Refdenotaalpie"/>
          <w:i/>
          <w:iCs/>
          <w:color w:val="auto"/>
          <w:sz w:val="22"/>
          <w:szCs w:val="22"/>
        </w:rPr>
        <w:footnoteReference w:id="1"/>
      </w:r>
      <w:r w:rsidRPr="00A11387">
        <w:rPr>
          <w:i/>
          <w:iCs/>
          <w:color w:val="auto"/>
          <w:sz w:val="22"/>
          <w:szCs w:val="22"/>
        </w:rPr>
        <w:t>.</w:t>
      </w:r>
    </w:p>
    <w:p w14:paraId="02C929F2" w14:textId="77777777" w:rsidR="00F64396" w:rsidRPr="00A11387" w:rsidRDefault="00F64396" w:rsidP="00F64396">
      <w:pPr>
        <w:pStyle w:val="Default"/>
        <w:spacing w:line="312" w:lineRule="auto"/>
        <w:ind w:left="567" w:right="567"/>
        <w:jc w:val="both"/>
        <w:rPr>
          <w:i/>
          <w:iCs/>
          <w:color w:val="auto"/>
          <w:sz w:val="22"/>
          <w:szCs w:val="22"/>
        </w:rPr>
      </w:pPr>
    </w:p>
    <w:p w14:paraId="0C7376AC" w14:textId="4247E01F" w:rsidR="00F64396" w:rsidRDefault="00AA57A3" w:rsidP="00A11387">
      <w:pPr>
        <w:pStyle w:val="Default"/>
        <w:spacing w:line="312" w:lineRule="auto"/>
        <w:ind w:right="-7"/>
        <w:jc w:val="both"/>
        <w:rPr>
          <w:sz w:val="22"/>
          <w:szCs w:val="22"/>
        </w:rPr>
      </w:pPr>
      <w:r w:rsidRPr="005B50D5">
        <w:rPr>
          <w:color w:val="auto"/>
          <w:sz w:val="22"/>
          <w:szCs w:val="22"/>
        </w:rPr>
        <w:t>Por su parte</w:t>
      </w:r>
      <w:r w:rsidR="00290AEE">
        <w:rPr>
          <w:color w:val="auto"/>
          <w:sz w:val="22"/>
          <w:szCs w:val="22"/>
        </w:rPr>
        <w:t>,</w:t>
      </w:r>
      <w:r w:rsidRPr="005B50D5">
        <w:rPr>
          <w:color w:val="auto"/>
          <w:sz w:val="22"/>
          <w:szCs w:val="22"/>
        </w:rPr>
        <w:t xml:space="preserve"> lo citado indica que </w:t>
      </w:r>
      <w:r w:rsidR="00C21384" w:rsidRPr="005B50D5">
        <w:rPr>
          <w:color w:val="auto"/>
          <w:sz w:val="22"/>
          <w:szCs w:val="22"/>
        </w:rPr>
        <w:t xml:space="preserve">la existencia de </w:t>
      </w:r>
      <w:r w:rsidR="00FC6441" w:rsidRPr="005B50D5">
        <w:rPr>
          <w:color w:val="auto"/>
          <w:sz w:val="22"/>
          <w:szCs w:val="22"/>
        </w:rPr>
        <w:t xml:space="preserve">una relación jurídica, </w:t>
      </w:r>
      <w:r w:rsidR="002A25C0" w:rsidRPr="005B50D5">
        <w:rPr>
          <w:color w:val="auto"/>
          <w:sz w:val="22"/>
          <w:szCs w:val="22"/>
        </w:rPr>
        <w:t>(</w:t>
      </w:r>
      <w:r w:rsidR="00FC6441" w:rsidRPr="005B50D5">
        <w:rPr>
          <w:color w:val="auto"/>
          <w:sz w:val="22"/>
          <w:szCs w:val="22"/>
        </w:rPr>
        <w:t xml:space="preserve">como en este caso el contrato de obra suscrito entre INVIAS </w:t>
      </w:r>
      <w:r w:rsidR="00FC6441" w:rsidRPr="00A11387">
        <w:rPr>
          <w:sz w:val="22"/>
          <w:szCs w:val="22"/>
        </w:rPr>
        <w:t>y el Consorcio PA-BCS Mojarras</w:t>
      </w:r>
      <w:r w:rsidR="002A25C0" w:rsidRPr="00A11387">
        <w:rPr>
          <w:sz w:val="22"/>
          <w:szCs w:val="22"/>
        </w:rPr>
        <w:t xml:space="preserve">) es una característica que permite determinar que se está en presencia de un litisconsorcio necesario, en la medida en la que </w:t>
      </w:r>
      <w:r w:rsidR="00F30F07" w:rsidRPr="00A11387">
        <w:rPr>
          <w:sz w:val="22"/>
          <w:szCs w:val="22"/>
        </w:rPr>
        <w:lastRenderedPageBreak/>
        <w:t xml:space="preserve">el contrato aludido está directamente relacionado con los supuestos de hecho, pues, si el mismo tenía como objeto obras </w:t>
      </w:r>
      <w:r w:rsidR="0096520F" w:rsidRPr="00A11387">
        <w:rPr>
          <w:sz w:val="22"/>
          <w:szCs w:val="22"/>
        </w:rPr>
        <w:t xml:space="preserve">de construcción </w:t>
      </w:r>
      <w:r w:rsidR="00F30F07" w:rsidRPr="00A11387">
        <w:rPr>
          <w:sz w:val="22"/>
          <w:szCs w:val="22"/>
        </w:rPr>
        <w:t>en el tramo vial en que se presentó el accidente en donde lastimosamente fallec</w:t>
      </w:r>
      <w:r w:rsidR="00290AEE">
        <w:rPr>
          <w:sz w:val="22"/>
          <w:szCs w:val="22"/>
        </w:rPr>
        <w:t>ió</w:t>
      </w:r>
      <w:r w:rsidR="00F30F07" w:rsidRPr="00A11387">
        <w:rPr>
          <w:sz w:val="22"/>
          <w:szCs w:val="22"/>
        </w:rPr>
        <w:t xml:space="preserve"> el señor José Antonio Guerrero </w:t>
      </w:r>
      <w:proofErr w:type="spellStart"/>
      <w:r w:rsidR="00F30F07" w:rsidRPr="00A11387">
        <w:rPr>
          <w:sz w:val="22"/>
          <w:szCs w:val="22"/>
        </w:rPr>
        <w:t>Gustin</w:t>
      </w:r>
      <w:proofErr w:type="spellEnd"/>
      <w:r w:rsidR="00F30F07" w:rsidRPr="00A11387">
        <w:rPr>
          <w:sz w:val="22"/>
          <w:szCs w:val="22"/>
        </w:rPr>
        <w:t xml:space="preserve"> (q.e.p.d.)</w:t>
      </w:r>
      <w:r w:rsidR="00290AEE">
        <w:rPr>
          <w:sz w:val="22"/>
          <w:szCs w:val="22"/>
        </w:rPr>
        <w:t>,</w:t>
      </w:r>
      <w:r w:rsidR="0096520F" w:rsidRPr="00A11387">
        <w:rPr>
          <w:sz w:val="22"/>
          <w:szCs w:val="22"/>
        </w:rPr>
        <w:t xml:space="preserve"> y la teoría de los demandantes es que ello se debió a fallas o afectaciones en dicha infraestructura de la vía, es claro que </w:t>
      </w:r>
      <w:r w:rsidR="00831D8E" w:rsidRPr="00A11387">
        <w:rPr>
          <w:sz w:val="22"/>
          <w:szCs w:val="22"/>
        </w:rPr>
        <w:t xml:space="preserve">la relación jurídica (contrato de obra) genera que </w:t>
      </w:r>
      <w:r w:rsidR="00C659A5" w:rsidRPr="00A11387">
        <w:rPr>
          <w:sz w:val="22"/>
          <w:szCs w:val="22"/>
        </w:rPr>
        <w:t xml:space="preserve">los efectos de la decisión </w:t>
      </w:r>
      <w:r w:rsidR="004826FD" w:rsidRPr="00A11387">
        <w:rPr>
          <w:sz w:val="22"/>
          <w:szCs w:val="22"/>
        </w:rPr>
        <w:t>-afecte</w:t>
      </w:r>
      <w:r w:rsidR="00290AEE">
        <w:rPr>
          <w:sz w:val="22"/>
          <w:szCs w:val="22"/>
        </w:rPr>
        <w:t>n</w:t>
      </w:r>
      <w:r w:rsidR="004826FD" w:rsidRPr="00A11387">
        <w:rPr>
          <w:sz w:val="22"/>
          <w:szCs w:val="22"/>
        </w:rPr>
        <w:t xml:space="preserve">- eventualmente a los integrantes de dicha relación, es decir que una decisión </w:t>
      </w:r>
      <w:r w:rsidR="00AB3750" w:rsidRPr="00A11387">
        <w:rPr>
          <w:sz w:val="22"/>
          <w:szCs w:val="22"/>
        </w:rPr>
        <w:t xml:space="preserve">condenatoria </w:t>
      </w:r>
      <w:r w:rsidR="00F21C12" w:rsidRPr="00A11387">
        <w:rPr>
          <w:sz w:val="22"/>
          <w:szCs w:val="22"/>
        </w:rPr>
        <w:t>afectaría de manera directa los intereses de</w:t>
      </w:r>
      <w:r w:rsidR="004E0D17" w:rsidRPr="00A11387">
        <w:rPr>
          <w:sz w:val="22"/>
          <w:szCs w:val="22"/>
        </w:rPr>
        <w:t>l Consorcio PA-BCS Mojarras</w:t>
      </w:r>
      <w:r w:rsidR="00290AEE">
        <w:rPr>
          <w:sz w:val="22"/>
          <w:szCs w:val="22"/>
        </w:rPr>
        <w:t>,</w:t>
      </w:r>
      <w:r w:rsidR="004E0D17" w:rsidRPr="00A11387">
        <w:rPr>
          <w:sz w:val="22"/>
          <w:szCs w:val="22"/>
        </w:rPr>
        <w:t xml:space="preserve"> así como los de INVIAS</w:t>
      </w:r>
      <w:r w:rsidR="00382A36" w:rsidRPr="00A11387">
        <w:rPr>
          <w:sz w:val="22"/>
          <w:szCs w:val="22"/>
        </w:rPr>
        <w:t>, y por tal motivo, la presencia de aquel en el proceso es necesari</w:t>
      </w:r>
      <w:r w:rsidR="00290AEE">
        <w:rPr>
          <w:sz w:val="22"/>
          <w:szCs w:val="22"/>
        </w:rPr>
        <w:t>a</w:t>
      </w:r>
      <w:r w:rsidR="00382A36" w:rsidRPr="00A11387">
        <w:rPr>
          <w:sz w:val="22"/>
          <w:szCs w:val="22"/>
        </w:rPr>
        <w:t xml:space="preserve">, más allá de la omisión del demandante respecto de su </w:t>
      </w:r>
      <w:r w:rsidR="006D7407" w:rsidRPr="00A11387">
        <w:rPr>
          <w:sz w:val="22"/>
          <w:szCs w:val="22"/>
        </w:rPr>
        <w:t>vinculación</w:t>
      </w:r>
      <w:r w:rsidR="00290AEE">
        <w:rPr>
          <w:sz w:val="22"/>
          <w:szCs w:val="22"/>
        </w:rPr>
        <w:t xml:space="preserve"> a la litis y la ausencia de su convocatoria a solicitud de conciliación extrajudicial,</w:t>
      </w:r>
      <w:r w:rsidR="006D7407" w:rsidRPr="00A11387">
        <w:rPr>
          <w:sz w:val="22"/>
          <w:szCs w:val="22"/>
        </w:rPr>
        <w:t xml:space="preserve"> por lo que nos encontramos ante la presencia de un litisconsorcio necesario.</w:t>
      </w:r>
    </w:p>
    <w:p w14:paraId="13F0C927" w14:textId="77777777" w:rsidR="00BB67CA" w:rsidRDefault="00BB67CA" w:rsidP="00A11387">
      <w:pPr>
        <w:pStyle w:val="Default"/>
        <w:spacing w:line="312" w:lineRule="auto"/>
        <w:ind w:right="-7"/>
        <w:jc w:val="both"/>
        <w:rPr>
          <w:sz w:val="22"/>
          <w:szCs w:val="22"/>
        </w:rPr>
      </w:pPr>
    </w:p>
    <w:p w14:paraId="15DFC825" w14:textId="25E1E595" w:rsidR="00BB67CA" w:rsidRDefault="00BB67CA" w:rsidP="00A11387">
      <w:pPr>
        <w:pStyle w:val="Default"/>
        <w:spacing w:line="312" w:lineRule="auto"/>
        <w:ind w:right="-7"/>
        <w:jc w:val="both"/>
        <w:rPr>
          <w:sz w:val="22"/>
          <w:szCs w:val="22"/>
        </w:rPr>
      </w:pPr>
      <w:r>
        <w:rPr>
          <w:sz w:val="22"/>
          <w:szCs w:val="22"/>
        </w:rPr>
        <w:t xml:space="preserve">Aunado a lo anterior se debe señalar que el contrato </w:t>
      </w:r>
      <w:r w:rsidR="00C71FC7">
        <w:rPr>
          <w:sz w:val="22"/>
          <w:szCs w:val="22"/>
        </w:rPr>
        <w:t>contiene estipulaciones expresas respecto de la responsabilidad del contratista en el evento de una reclamación como la que nos ocupa o de una eventual responsabilidad. Al respecto dice el contrato en su cláusula de indemnidad, lo siguiente:</w:t>
      </w:r>
    </w:p>
    <w:p w14:paraId="0B2FAEA5" w14:textId="77777777" w:rsidR="00C71FC7" w:rsidRDefault="00C71FC7" w:rsidP="00A11387">
      <w:pPr>
        <w:pStyle w:val="Default"/>
        <w:spacing w:line="312" w:lineRule="auto"/>
        <w:ind w:right="-7"/>
        <w:jc w:val="both"/>
        <w:rPr>
          <w:sz w:val="22"/>
          <w:szCs w:val="22"/>
        </w:rPr>
      </w:pPr>
    </w:p>
    <w:p w14:paraId="554D2015" w14:textId="369532B4" w:rsidR="00C71FC7" w:rsidRPr="00C71FC7" w:rsidRDefault="00C71FC7" w:rsidP="00C71FC7">
      <w:pPr>
        <w:pStyle w:val="Default"/>
        <w:spacing w:line="312" w:lineRule="auto"/>
        <w:ind w:left="567" w:right="567"/>
        <w:jc w:val="both"/>
        <w:rPr>
          <w:i/>
          <w:iCs/>
          <w:sz w:val="20"/>
          <w:szCs w:val="20"/>
        </w:rPr>
      </w:pPr>
      <w:r w:rsidRPr="00C71FC7">
        <w:rPr>
          <w:i/>
          <w:iCs/>
          <w:sz w:val="20"/>
          <w:szCs w:val="20"/>
        </w:rPr>
        <w:t xml:space="preserve">“PARÁGRAFO TERCERO: </w:t>
      </w:r>
      <w:proofErr w:type="gramStart"/>
      <w:r w:rsidRPr="00C71FC7">
        <w:rPr>
          <w:i/>
          <w:iCs/>
          <w:sz w:val="20"/>
          <w:szCs w:val="20"/>
        </w:rPr>
        <w:t>INDEMNIDAD.–</w:t>
      </w:r>
      <w:proofErr w:type="gramEnd"/>
      <w:r w:rsidRPr="00C71FC7">
        <w:rPr>
          <w:i/>
          <w:iCs/>
          <w:sz w:val="20"/>
          <w:szCs w:val="20"/>
        </w:rPr>
        <w:t xml:space="preserve"> EL CONTRATISTA se obliga a mantener indemne al INSTITUTO frente a cualquier reclamación proveniente de terceros que tenga como causa las actuaciones del CONTRATISTA, sus subcontratistas o dependientes.”</w:t>
      </w:r>
    </w:p>
    <w:p w14:paraId="461DE185" w14:textId="77777777" w:rsidR="00C71FC7" w:rsidRDefault="00C71FC7" w:rsidP="00A11387">
      <w:pPr>
        <w:pStyle w:val="Default"/>
        <w:spacing w:line="312" w:lineRule="auto"/>
        <w:ind w:right="-7"/>
        <w:jc w:val="both"/>
        <w:rPr>
          <w:sz w:val="22"/>
          <w:szCs w:val="22"/>
        </w:rPr>
      </w:pPr>
    </w:p>
    <w:p w14:paraId="4D557730" w14:textId="33EC7E75" w:rsidR="00C71FC7" w:rsidRDefault="00C71FC7" w:rsidP="00A11387">
      <w:pPr>
        <w:pStyle w:val="Default"/>
        <w:spacing w:line="312" w:lineRule="auto"/>
        <w:ind w:right="-7"/>
        <w:jc w:val="both"/>
        <w:rPr>
          <w:color w:val="auto"/>
          <w:sz w:val="22"/>
          <w:szCs w:val="22"/>
        </w:rPr>
      </w:pPr>
      <w:r>
        <w:rPr>
          <w:color w:val="auto"/>
          <w:sz w:val="22"/>
          <w:szCs w:val="22"/>
        </w:rPr>
        <w:t>Y en e</w:t>
      </w:r>
      <w:r w:rsidR="002017B5">
        <w:rPr>
          <w:color w:val="auto"/>
          <w:sz w:val="22"/>
          <w:szCs w:val="22"/>
        </w:rPr>
        <w:t>l</w:t>
      </w:r>
      <w:r>
        <w:rPr>
          <w:color w:val="auto"/>
          <w:sz w:val="22"/>
          <w:szCs w:val="22"/>
        </w:rPr>
        <w:t xml:space="preserve"> mismo hilo argumentativo</w:t>
      </w:r>
      <w:r w:rsidR="002017B5">
        <w:rPr>
          <w:color w:val="auto"/>
          <w:sz w:val="22"/>
          <w:szCs w:val="22"/>
        </w:rPr>
        <w:t xml:space="preserve"> de lo expuesto anteriormente</w:t>
      </w:r>
      <w:r>
        <w:rPr>
          <w:color w:val="auto"/>
          <w:sz w:val="22"/>
          <w:szCs w:val="22"/>
        </w:rPr>
        <w:t xml:space="preserve">, continúa más adelante </w:t>
      </w:r>
      <w:r w:rsidR="002017B5">
        <w:rPr>
          <w:color w:val="auto"/>
          <w:sz w:val="22"/>
          <w:szCs w:val="22"/>
        </w:rPr>
        <w:t xml:space="preserve">diciendo </w:t>
      </w:r>
      <w:r>
        <w:rPr>
          <w:color w:val="auto"/>
          <w:sz w:val="22"/>
          <w:szCs w:val="22"/>
        </w:rPr>
        <w:t>el acuerdo:</w:t>
      </w:r>
    </w:p>
    <w:p w14:paraId="7DE8FC10" w14:textId="77777777" w:rsidR="00C71FC7" w:rsidRDefault="00C71FC7" w:rsidP="00A11387">
      <w:pPr>
        <w:pStyle w:val="Default"/>
        <w:spacing w:line="312" w:lineRule="auto"/>
        <w:ind w:right="-7"/>
        <w:jc w:val="both"/>
        <w:rPr>
          <w:color w:val="auto"/>
          <w:sz w:val="22"/>
          <w:szCs w:val="22"/>
        </w:rPr>
      </w:pPr>
    </w:p>
    <w:p w14:paraId="1BEE47C1" w14:textId="471490BC" w:rsidR="00C71FC7" w:rsidRPr="002017B5" w:rsidRDefault="00C71FC7" w:rsidP="00C71FC7">
      <w:pPr>
        <w:pStyle w:val="Default"/>
        <w:spacing w:line="312" w:lineRule="auto"/>
        <w:ind w:left="567" w:right="567"/>
        <w:jc w:val="both"/>
        <w:rPr>
          <w:color w:val="auto"/>
          <w:sz w:val="20"/>
          <w:szCs w:val="20"/>
        </w:rPr>
      </w:pPr>
      <w:r w:rsidRPr="00C71FC7">
        <w:rPr>
          <w:i/>
          <w:iCs/>
          <w:color w:val="auto"/>
          <w:sz w:val="20"/>
          <w:szCs w:val="20"/>
        </w:rPr>
        <w:t xml:space="preserve">CLÁUSULA DÉCIMA CUARTA: </w:t>
      </w:r>
      <w:proofErr w:type="gramStart"/>
      <w:r w:rsidRPr="00C71FC7">
        <w:rPr>
          <w:i/>
          <w:iCs/>
          <w:color w:val="auto"/>
          <w:sz w:val="20"/>
          <w:szCs w:val="20"/>
        </w:rPr>
        <w:t>RESPONSABILIDAD.–</w:t>
      </w:r>
      <w:proofErr w:type="gramEnd"/>
      <w:r w:rsidRPr="00C71FC7">
        <w:rPr>
          <w:i/>
          <w:iCs/>
          <w:color w:val="auto"/>
          <w:sz w:val="20"/>
          <w:szCs w:val="20"/>
        </w:rPr>
        <w:t xml:space="preserve"> EL CONTRATISTA es responsable por el cumplimiento del objeto establecido en el presente contrato </w:t>
      </w:r>
      <w:r w:rsidRPr="002017B5">
        <w:rPr>
          <w:b/>
          <w:bCs/>
          <w:i/>
          <w:iCs/>
          <w:color w:val="auto"/>
          <w:sz w:val="20"/>
          <w:szCs w:val="20"/>
          <w:u w:val="single"/>
        </w:rPr>
        <w:t>y se hace responsable por los daños que se ocasionen en la ejecución del objeto del presente Contrato por hechos u omisiones del CONTRATISTA o sus empleados, o los empleados o contratistas de sus subcontratistas</w:t>
      </w:r>
      <w:r w:rsidRPr="00C71FC7">
        <w:rPr>
          <w:i/>
          <w:iCs/>
          <w:color w:val="auto"/>
          <w:sz w:val="20"/>
          <w:szCs w:val="20"/>
        </w:rPr>
        <w:t>. Ninguna de las partes será responsable frente a la otra o frente a terceros por daños especiales, imprevisibles o daños indirectos, derivados de fuerza mayor o caso fortuito de acuerdo con la ley.</w:t>
      </w:r>
      <w:r w:rsidR="002017B5">
        <w:rPr>
          <w:i/>
          <w:iCs/>
          <w:color w:val="auto"/>
          <w:sz w:val="20"/>
          <w:szCs w:val="20"/>
        </w:rPr>
        <w:t xml:space="preserve"> </w:t>
      </w:r>
      <w:r w:rsidR="002017B5">
        <w:rPr>
          <w:color w:val="auto"/>
          <w:sz w:val="20"/>
          <w:szCs w:val="20"/>
        </w:rPr>
        <w:t>(Subrayado y negritas fuera del texto original)</w:t>
      </w:r>
    </w:p>
    <w:p w14:paraId="1F604663" w14:textId="77777777" w:rsidR="0086377B" w:rsidRPr="005B50D5" w:rsidRDefault="0086377B" w:rsidP="002760AB">
      <w:pPr>
        <w:pStyle w:val="Default"/>
        <w:spacing w:line="312" w:lineRule="auto"/>
        <w:ind w:right="49"/>
        <w:jc w:val="both"/>
        <w:rPr>
          <w:color w:val="auto"/>
          <w:sz w:val="22"/>
          <w:szCs w:val="22"/>
        </w:rPr>
      </w:pPr>
    </w:p>
    <w:p w14:paraId="3138DA64" w14:textId="6476A9B8" w:rsidR="003B197E" w:rsidRDefault="003B197E" w:rsidP="002760AB">
      <w:pPr>
        <w:pStyle w:val="Default"/>
        <w:spacing w:line="312" w:lineRule="auto"/>
        <w:ind w:right="49"/>
        <w:jc w:val="both"/>
        <w:rPr>
          <w:color w:val="auto"/>
          <w:sz w:val="22"/>
          <w:szCs w:val="22"/>
        </w:rPr>
      </w:pPr>
      <w:r>
        <w:rPr>
          <w:color w:val="auto"/>
          <w:sz w:val="22"/>
          <w:szCs w:val="22"/>
        </w:rPr>
        <w:t>Todo de lo cual se c</w:t>
      </w:r>
      <w:r w:rsidRPr="003B197E">
        <w:rPr>
          <w:color w:val="auto"/>
          <w:sz w:val="22"/>
          <w:szCs w:val="22"/>
        </w:rPr>
        <w:t>oncluye entonces que el consorcio es el responsable ante las reclamaciones de terceros, como la que nos convoca, lo que hace evidente que los efectos de la sentencia se le extiendan</w:t>
      </w:r>
      <w:r>
        <w:rPr>
          <w:color w:val="auto"/>
          <w:sz w:val="22"/>
          <w:szCs w:val="22"/>
        </w:rPr>
        <w:t xml:space="preserve"> y por tanto que </w:t>
      </w:r>
      <w:r w:rsidR="00692D0A">
        <w:rPr>
          <w:color w:val="auto"/>
          <w:sz w:val="22"/>
          <w:szCs w:val="22"/>
        </w:rPr>
        <w:t>su presencia en la contienda es necesaria</w:t>
      </w:r>
      <w:r w:rsidRPr="003B197E">
        <w:rPr>
          <w:color w:val="auto"/>
          <w:sz w:val="22"/>
          <w:szCs w:val="22"/>
        </w:rPr>
        <w:t>.</w:t>
      </w:r>
    </w:p>
    <w:p w14:paraId="5961189D" w14:textId="77777777" w:rsidR="003B197E" w:rsidRDefault="003B197E" w:rsidP="002760AB">
      <w:pPr>
        <w:pStyle w:val="Default"/>
        <w:spacing w:line="312" w:lineRule="auto"/>
        <w:ind w:right="49"/>
        <w:jc w:val="both"/>
        <w:rPr>
          <w:color w:val="auto"/>
          <w:sz w:val="22"/>
          <w:szCs w:val="22"/>
        </w:rPr>
      </w:pPr>
    </w:p>
    <w:p w14:paraId="308AEC96" w14:textId="6D1F0072" w:rsidR="00C4238C" w:rsidRPr="005B50D5" w:rsidRDefault="00521A85" w:rsidP="002760AB">
      <w:pPr>
        <w:pStyle w:val="Default"/>
        <w:spacing w:line="312" w:lineRule="auto"/>
        <w:ind w:right="49"/>
        <w:jc w:val="both"/>
        <w:rPr>
          <w:color w:val="auto"/>
          <w:sz w:val="22"/>
          <w:szCs w:val="22"/>
        </w:rPr>
      </w:pPr>
      <w:r w:rsidRPr="005B50D5">
        <w:rPr>
          <w:color w:val="auto"/>
          <w:sz w:val="22"/>
          <w:szCs w:val="22"/>
        </w:rPr>
        <w:lastRenderedPageBreak/>
        <w:t>Ahora bien, el anterior criterio no fue del todo desestimado por el despacho en la decisión que se cuestiona, pues puede verse que en el auto No. 097 no se hace especial mención a la existencia o no de la figura traída a colación, sino que ella</w:t>
      </w:r>
      <w:r w:rsidR="00C4238C" w:rsidRPr="005B50D5">
        <w:rPr>
          <w:color w:val="auto"/>
          <w:sz w:val="22"/>
          <w:szCs w:val="22"/>
        </w:rPr>
        <w:t xml:space="preserve"> no era aplicable al caso en la medida en que ya se había negado el llamamiento en garantía, y que ello se dio porque “</w:t>
      </w:r>
      <w:r w:rsidR="00C4238C" w:rsidRPr="005B50D5">
        <w:rPr>
          <w:i/>
          <w:iCs/>
          <w:color w:val="auto"/>
          <w:sz w:val="22"/>
          <w:szCs w:val="22"/>
        </w:rPr>
        <w:t>el termino de ejecución del contrato con el cual se basó el llamamiento, no coincidía con la fecha de los hechos narrados en la demanda</w:t>
      </w:r>
      <w:r w:rsidR="00C4238C" w:rsidRPr="005B50D5">
        <w:rPr>
          <w:color w:val="auto"/>
          <w:sz w:val="22"/>
          <w:szCs w:val="22"/>
        </w:rPr>
        <w:t>”; s</w:t>
      </w:r>
      <w:r w:rsidR="00297008" w:rsidRPr="005B50D5">
        <w:rPr>
          <w:color w:val="auto"/>
          <w:sz w:val="22"/>
          <w:szCs w:val="22"/>
        </w:rPr>
        <w:t xml:space="preserve">in embargo, </w:t>
      </w:r>
      <w:r w:rsidR="00C4238C" w:rsidRPr="005B50D5">
        <w:rPr>
          <w:color w:val="auto"/>
          <w:sz w:val="22"/>
          <w:szCs w:val="22"/>
        </w:rPr>
        <w:t xml:space="preserve">ello comporta un error </w:t>
      </w:r>
      <w:r w:rsidR="0054547B" w:rsidRPr="005B50D5">
        <w:rPr>
          <w:color w:val="auto"/>
          <w:sz w:val="22"/>
          <w:szCs w:val="22"/>
        </w:rPr>
        <w:t xml:space="preserve">determinante, pues como </w:t>
      </w:r>
      <w:r w:rsidR="00605A9E" w:rsidRPr="005B50D5">
        <w:rPr>
          <w:color w:val="auto"/>
          <w:sz w:val="22"/>
          <w:szCs w:val="22"/>
        </w:rPr>
        <w:t xml:space="preserve">ya se adujo y se probó con la documentación que </w:t>
      </w:r>
      <w:r w:rsidR="0054547B" w:rsidRPr="005B50D5">
        <w:rPr>
          <w:color w:val="auto"/>
          <w:sz w:val="22"/>
          <w:szCs w:val="22"/>
        </w:rPr>
        <w:t xml:space="preserve">se acercó </w:t>
      </w:r>
      <w:r w:rsidR="00605A9E" w:rsidRPr="005B50D5">
        <w:rPr>
          <w:color w:val="auto"/>
          <w:sz w:val="22"/>
          <w:szCs w:val="22"/>
        </w:rPr>
        <w:t xml:space="preserve">al plenario, </w:t>
      </w:r>
      <w:r w:rsidR="00244A90" w:rsidRPr="005B50D5">
        <w:rPr>
          <w:color w:val="auto"/>
          <w:sz w:val="22"/>
          <w:szCs w:val="22"/>
        </w:rPr>
        <w:t>entre las par</w:t>
      </w:r>
      <w:r w:rsidR="00290AEE">
        <w:rPr>
          <w:color w:val="auto"/>
          <w:sz w:val="22"/>
          <w:szCs w:val="22"/>
        </w:rPr>
        <w:t>t</w:t>
      </w:r>
      <w:r w:rsidR="00244A90" w:rsidRPr="005B50D5">
        <w:rPr>
          <w:color w:val="auto"/>
          <w:sz w:val="22"/>
          <w:szCs w:val="22"/>
        </w:rPr>
        <w:t>es sí había una relación jurídica vigente al momento de los hechos que dan sustento a la acción que nos ocupa, pues dichos sucesos tuvieron lugar el 23 de febrero de 2021, mientras que la vigencia del contrato suscrito entre INVIAS y el Consorcio PA-BCS Mojarras tuvo vigencia entre el 07 de septiembre de 2020 y el 17 de abril de 2021, véase:</w:t>
      </w:r>
    </w:p>
    <w:p w14:paraId="732A076A" w14:textId="77777777" w:rsidR="00C4238C" w:rsidRPr="005B50D5" w:rsidRDefault="00C4238C" w:rsidP="002760AB">
      <w:pPr>
        <w:pStyle w:val="Default"/>
        <w:spacing w:line="312" w:lineRule="auto"/>
        <w:ind w:right="49"/>
        <w:jc w:val="both"/>
        <w:rPr>
          <w:color w:val="auto"/>
          <w:sz w:val="22"/>
          <w:szCs w:val="22"/>
        </w:rPr>
      </w:pPr>
    </w:p>
    <w:p w14:paraId="670448B8" w14:textId="7427AC01" w:rsidR="00A377D0" w:rsidRDefault="000B253A" w:rsidP="002760AB">
      <w:pPr>
        <w:pStyle w:val="Default"/>
        <w:spacing w:line="312" w:lineRule="auto"/>
        <w:ind w:right="49"/>
        <w:jc w:val="both"/>
        <w:rPr>
          <w:color w:val="auto"/>
          <w:sz w:val="22"/>
          <w:szCs w:val="22"/>
        </w:rPr>
      </w:pPr>
      <w:r w:rsidRPr="005B50D5">
        <w:rPr>
          <w:noProof/>
          <w:color w:val="auto"/>
          <w:sz w:val="22"/>
          <w:szCs w:val="22"/>
        </w:rPr>
        <w:drawing>
          <wp:inline distT="0" distB="0" distL="0" distR="0" wp14:anchorId="16A5F07F" wp14:editId="42F1A315">
            <wp:extent cx="6116320" cy="1151890"/>
            <wp:effectExtent l="0" t="0" r="0" b="0"/>
            <wp:docPr id="1679455684"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55684" name="Imagen 1" descr="Interfaz de usuario gráfica, Aplicación&#10;&#10;El contenido generado por IA puede ser incorrecto."/>
                    <pic:cNvPicPr/>
                  </pic:nvPicPr>
                  <pic:blipFill>
                    <a:blip r:embed="rId10"/>
                    <a:stretch>
                      <a:fillRect/>
                    </a:stretch>
                  </pic:blipFill>
                  <pic:spPr>
                    <a:xfrm>
                      <a:off x="0" y="0"/>
                      <a:ext cx="6116320" cy="1151890"/>
                    </a:xfrm>
                    <a:prstGeom prst="rect">
                      <a:avLst/>
                    </a:prstGeom>
                  </pic:spPr>
                </pic:pic>
              </a:graphicData>
            </a:graphic>
          </wp:inline>
        </w:drawing>
      </w:r>
      <w:r w:rsidR="00C71CAE">
        <w:rPr>
          <w:rStyle w:val="Refdenotaalpie"/>
          <w:color w:val="auto"/>
          <w:sz w:val="22"/>
          <w:szCs w:val="22"/>
        </w:rPr>
        <w:footnoteReference w:id="2"/>
      </w:r>
    </w:p>
    <w:p w14:paraId="1331957E" w14:textId="77777777" w:rsidR="00290AEE" w:rsidRPr="005B50D5" w:rsidRDefault="00290AEE" w:rsidP="002760AB">
      <w:pPr>
        <w:pStyle w:val="Default"/>
        <w:spacing w:line="312" w:lineRule="auto"/>
        <w:ind w:right="49"/>
        <w:jc w:val="both"/>
        <w:rPr>
          <w:color w:val="auto"/>
          <w:sz w:val="22"/>
          <w:szCs w:val="22"/>
        </w:rPr>
      </w:pPr>
    </w:p>
    <w:p w14:paraId="40C6BCAE" w14:textId="5A6DD2BC" w:rsidR="00A377D0" w:rsidRPr="005B50D5" w:rsidRDefault="00561B3B" w:rsidP="002760AB">
      <w:pPr>
        <w:pStyle w:val="Default"/>
        <w:spacing w:line="312" w:lineRule="auto"/>
        <w:ind w:right="49"/>
        <w:jc w:val="both"/>
        <w:rPr>
          <w:color w:val="auto"/>
          <w:sz w:val="22"/>
          <w:szCs w:val="22"/>
        </w:rPr>
      </w:pPr>
      <w:r w:rsidRPr="005B50D5">
        <w:rPr>
          <w:color w:val="auto"/>
          <w:sz w:val="22"/>
          <w:szCs w:val="22"/>
        </w:rPr>
        <w:t xml:space="preserve">En estos términos es evidente que no puede aducirse por el juez que no había </w:t>
      </w:r>
      <w:r w:rsidR="00290AEE">
        <w:rPr>
          <w:color w:val="auto"/>
          <w:sz w:val="22"/>
          <w:szCs w:val="22"/>
        </w:rPr>
        <w:t>un contrato vigente</w:t>
      </w:r>
      <w:r w:rsidRPr="005B50D5">
        <w:rPr>
          <w:color w:val="auto"/>
          <w:sz w:val="22"/>
          <w:szCs w:val="22"/>
        </w:rPr>
        <w:t xml:space="preserve"> al momento de ocurrencia del hecho dañoso, y por contera, </w:t>
      </w:r>
      <w:r w:rsidR="002B3D59" w:rsidRPr="005B50D5">
        <w:rPr>
          <w:color w:val="auto"/>
          <w:sz w:val="22"/>
          <w:szCs w:val="22"/>
        </w:rPr>
        <w:t xml:space="preserve">que no existía una relación jurídica que diera lugar a la existencia de un </w:t>
      </w:r>
      <w:r w:rsidR="009B60B9" w:rsidRPr="005B50D5">
        <w:rPr>
          <w:color w:val="auto"/>
          <w:sz w:val="22"/>
          <w:szCs w:val="22"/>
        </w:rPr>
        <w:t>litisconsorcio necesario en este caso.</w:t>
      </w:r>
    </w:p>
    <w:p w14:paraId="6B3D7193" w14:textId="77777777" w:rsidR="00E12D07" w:rsidRPr="005B50D5" w:rsidRDefault="00E12D07" w:rsidP="002760AB">
      <w:pPr>
        <w:pStyle w:val="Default"/>
        <w:spacing w:line="312" w:lineRule="auto"/>
        <w:ind w:right="49"/>
        <w:jc w:val="both"/>
        <w:rPr>
          <w:color w:val="auto"/>
          <w:sz w:val="22"/>
          <w:szCs w:val="22"/>
        </w:rPr>
      </w:pPr>
    </w:p>
    <w:p w14:paraId="0B383A3E" w14:textId="50459F95" w:rsidR="00EE1221" w:rsidRPr="005B50D5" w:rsidRDefault="00C06F4E" w:rsidP="00EE1221">
      <w:pPr>
        <w:pStyle w:val="Default"/>
        <w:spacing w:line="312" w:lineRule="auto"/>
        <w:ind w:right="49"/>
        <w:jc w:val="both"/>
        <w:rPr>
          <w:color w:val="auto"/>
          <w:sz w:val="22"/>
          <w:szCs w:val="22"/>
          <w:lang w:val="es-ES_tradnl"/>
        </w:rPr>
      </w:pPr>
      <w:r w:rsidRPr="005B50D5">
        <w:rPr>
          <w:color w:val="auto"/>
          <w:sz w:val="22"/>
          <w:szCs w:val="22"/>
        </w:rPr>
        <w:t>Ahora bien, expuesto lo anterior</w:t>
      </w:r>
      <w:r w:rsidR="00C71CAE">
        <w:rPr>
          <w:color w:val="auto"/>
          <w:sz w:val="22"/>
          <w:szCs w:val="22"/>
        </w:rPr>
        <w:t>,</w:t>
      </w:r>
      <w:r w:rsidRPr="005B50D5">
        <w:rPr>
          <w:color w:val="auto"/>
          <w:sz w:val="22"/>
          <w:szCs w:val="22"/>
        </w:rPr>
        <w:t xml:space="preserve"> </w:t>
      </w:r>
      <w:r w:rsidR="001B5C7D">
        <w:rPr>
          <w:color w:val="auto"/>
          <w:sz w:val="22"/>
          <w:szCs w:val="22"/>
        </w:rPr>
        <w:t>es menester pronunciarse frente a</w:t>
      </w:r>
      <w:r w:rsidRPr="005B50D5">
        <w:rPr>
          <w:color w:val="auto"/>
          <w:sz w:val="22"/>
          <w:szCs w:val="22"/>
        </w:rPr>
        <w:t xml:space="preserve"> lo relacionado con la ocurrencia de</w:t>
      </w:r>
      <w:r w:rsidR="00EE1221" w:rsidRPr="005B50D5">
        <w:rPr>
          <w:color w:val="auto"/>
          <w:sz w:val="22"/>
          <w:szCs w:val="22"/>
        </w:rPr>
        <w:t xml:space="preserve"> la caducidad respecto de la acción contra el Consorcio PA-BCS Mojarras. Al respecto debe decirse que se pronunció Sala de lo Contencioso Administrativo</w:t>
      </w:r>
      <w:r w:rsidR="00320499">
        <w:rPr>
          <w:color w:val="auto"/>
          <w:sz w:val="22"/>
          <w:szCs w:val="22"/>
        </w:rPr>
        <w:t>,</w:t>
      </w:r>
      <w:r w:rsidR="00EE1221" w:rsidRPr="005B50D5">
        <w:rPr>
          <w:color w:val="auto"/>
          <w:sz w:val="22"/>
          <w:szCs w:val="22"/>
        </w:rPr>
        <w:t xml:space="preserve"> Sección Tercera</w:t>
      </w:r>
      <w:r w:rsidR="00320499">
        <w:rPr>
          <w:color w:val="auto"/>
          <w:sz w:val="22"/>
          <w:szCs w:val="22"/>
        </w:rPr>
        <w:t>,</w:t>
      </w:r>
      <w:r w:rsidR="00EE1221" w:rsidRPr="005B50D5">
        <w:rPr>
          <w:color w:val="auto"/>
          <w:sz w:val="22"/>
          <w:szCs w:val="22"/>
        </w:rPr>
        <w:t xml:space="preserve"> Subsección B mediante </w:t>
      </w:r>
      <w:hyperlink r:id="rId11" w:history="1">
        <w:r w:rsidR="00D53D6B" w:rsidRPr="005B50D5">
          <w:rPr>
            <w:rStyle w:val="Hipervnculo"/>
            <w:color w:val="auto"/>
            <w:sz w:val="22"/>
            <w:szCs w:val="22"/>
            <w:u w:val="none"/>
            <w:lang w:val="es-ES_tradnl"/>
          </w:rPr>
          <w:t>auto de sala unitaria del 12 de marzo de 2021</w:t>
        </w:r>
      </w:hyperlink>
      <w:r w:rsidR="00D53D6B" w:rsidRPr="005B50D5">
        <w:rPr>
          <w:color w:val="auto"/>
          <w:sz w:val="22"/>
          <w:szCs w:val="22"/>
          <w:lang w:val="es-ES_tradnl"/>
        </w:rPr>
        <w:t>,</w:t>
      </w:r>
      <w:r w:rsidR="00320499">
        <w:rPr>
          <w:color w:val="auto"/>
          <w:sz w:val="22"/>
          <w:szCs w:val="22"/>
          <w:lang w:val="es-ES_tradnl"/>
        </w:rPr>
        <w:t xml:space="preserve"> respecto de un caso análogo, y en tal pronunciamiento </w:t>
      </w:r>
      <w:r w:rsidR="00EE1221" w:rsidRPr="005B50D5">
        <w:rPr>
          <w:color w:val="auto"/>
          <w:sz w:val="22"/>
          <w:szCs w:val="22"/>
          <w:lang w:val="es-ES_tradnl"/>
        </w:rPr>
        <w:t>indico:</w:t>
      </w:r>
    </w:p>
    <w:p w14:paraId="1CF0C1EC" w14:textId="77777777" w:rsidR="00D53D6B" w:rsidRPr="00A11387" w:rsidRDefault="00D53D6B" w:rsidP="00EE1221">
      <w:pPr>
        <w:pStyle w:val="Default"/>
        <w:spacing w:line="312" w:lineRule="auto"/>
        <w:ind w:right="567"/>
        <w:rPr>
          <w:i/>
          <w:iCs/>
          <w:sz w:val="22"/>
          <w:szCs w:val="22"/>
        </w:rPr>
      </w:pPr>
    </w:p>
    <w:p w14:paraId="498EE416" w14:textId="5BCF4118" w:rsidR="00D53D6B" w:rsidRPr="00C44D7C" w:rsidRDefault="00D53D6B" w:rsidP="00776C59">
      <w:pPr>
        <w:pStyle w:val="Default"/>
        <w:spacing w:line="312" w:lineRule="auto"/>
        <w:ind w:left="567" w:right="567"/>
        <w:jc w:val="both"/>
        <w:rPr>
          <w:sz w:val="20"/>
          <w:szCs w:val="20"/>
        </w:rPr>
      </w:pPr>
      <w:r w:rsidRPr="007D5D38">
        <w:rPr>
          <w:i/>
          <w:iCs/>
          <w:sz w:val="20"/>
          <w:szCs w:val="20"/>
        </w:rPr>
        <w:lastRenderedPageBreak/>
        <w:t xml:space="preserve">La vinculación de la Unión Temporal como litisconsorte necesario es imperativa en este caso al existir una única relación jurídica sustancial, por lo tanto, </w:t>
      </w:r>
      <w:r w:rsidRPr="007D5D38">
        <w:rPr>
          <w:b/>
          <w:bCs/>
          <w:i/>
          <w:iCs/>
          <w:sz w:val="20"/>
          <w:szCs w:val="20"/>
          <w:u w:val="single"/>
        </w:rPr>
        <w:t>no es posible afirmar que la acción no fue interpuesta oportunamente respecto de esta por no haberse demandado inicialmente</w:t>
      </w:r>
      <w:r w:rsidRPr="007D5D38">
        <w:rPr>
          <w:i/>
          <w:iCs/>
          <w:sz w:val="20"/>
          <w:szCs w:val="20"/>
        </w:rPr>
        <w:t>. Además de lo anterior, en relación con el reparo del recurrente respecto de la aplicación del artículo 94 del CGP en torno a la ineficacia de la operancia de la caducidad, bastará mencionar que la jurisprudencia del Consejo de Estado ha entendido que esta figura no resulta aplicable vía remisión del artículo 308 del CPACA por ser propia del proceso civil.  Por lo tanto, no le asiste razón a la Unión Temporal, y se confirmará la decisión de declarar no probada la excepción de caducidad</w:t>
      </w:r>
      <w:r w:rsidR="00A67F95">
        <w:rPr>
          <w:rStyle w:val="Refdenotaalpie"/>
          <w:i/>
          <w:iCs/>
          <w:sz w:val="20"/>
          <w:szCs w:val="20"/>
        </w:rPr>
        <w:footnoteReference w:id="3"/>
      </w:r>
      <w:r w:rsidRPr="007D5D38">
        <w:rPr>
          <w:i/>
          <w:iCs/>
          <w:sz w:val="20"/>
          <w:szCs w:val="20"/>
        </w:rPr>
        <w:t>.</w:t>
      </w:r>
      <w:r w:rsidR="00C44D7C">
        <w:rPr>
          <w:i/>
          <w:iCs/>
          <w:sz w:val="20"/>
          <w:szCs w:val="20"/>
        </w:rPr>
        <w:t xml:space="preserve"> </w:t>
      </w:r>
      <w:r w:rsidR="00C44D7C">
        <w:rPr>
          <w:sz w:val="20"/>
          <w:szCs w:val="20"/>
        </w:rPr>
        <w:t>(Resaltado y negritas fuera del texto original)</w:t>
      </w:r>
    </w:p>
    <w:p w14:paraId="1827B62B" w14:textId="77777777" w:rsidR="00D53D6B" w:rsidRPr="00A11387" w:rsidRDefault="00D53D6B" w:rsidP="00D53D6B">
      <w:pPr>
        <w:pStyle w:val="Default"/>
        <w:spacing w:line="312" w:lineRule="auto"/>
        <w:ind w:left="567" w:right="567"/>
        <w:jc w:val="both"/>
        <w:rPr>
          <w:i/>
          <w:iCs/>
          <w:color w:val="auto"/>
          <w:sz w:val="22"/>
          <w:szCs w:val="22"/>
        </w:rPr>
      </w:pPr>
    </w:p>
    <w:p w14:paraId="1A1313C8" w14:textId="75A6FA77" w:rsidR="00883FD7" w:rsidRDefault="00883FD7" w:rsidP="002760AB">
      <w:pPr>
        <w:pStyle w:val="Default"/>
        <w:spacing w:line="312" w:lineRule="auto"/>
        <w:ind w:right="49"/>
        <w:jc w:val="both"/>
        <w:rPr>
          <w:color w:val="auto"/>
          <w:sz w:val="22"/>
          <w:szCs w:val="22"/>
        </w:rPr>
      </w:pPr>
      <w:r>
        <w:rPr>
          <w:color w:val="auto"/>
          <w:sz w:val="22"/>
          <w:szCs w:val="22"/>
        </w:rPr>
        <w:t>En igual sentido se pronuncia el órgano de cierre en sentencia de 2018 cuando dice:</w:t>
      </w:r>
    </w:p>
    <w:p w14:paraId="0A017231" w14:textId="77777777" w:rsidR="00883FD7" w:rsidRDefault="00883FD7" w:rsidP="002760AB">
      <w:pPr>
        <w:pStyle w:val="Default"/>
        <w:spacing w:line="312" w:lineRule="auto"/>
        <w:ind w:right="49"/>
        <w:jc w:val="both"/>
        <w:rPr>
          <w:color w:val="auto"/>
          <w:sz w:val="22"/>
          <w:szCs w:val="22"/>
        </w:rPr>
      </w:pPr>
    </w:p>
    <w:p w14:paraId="254282CF" w14:textId="186488FA" w:rsidR="00883FD7" w:rsidRPr="00883FD7" w:rsidRDefault="00883FD7" w:rsidP="00883FD7">
      <w:pPr>
        <w:pStyle w:val="Default"/>
        <w:spacing w:line="312" w:lineRule="auto"/>
        <w:ind w:left="567" w:right="567"/>
        <w:jc w:val="both"/>
        <w:rPr>
          <w:i/>
          <w:iCs/>
          <w:color w:val="auto"/>
          <w:sz w:val="20"/>
          <w:szCs w:val="20"/>
        </w:rPr>
      </w:pPr>
      <w:r w:rsidRPr="00883FD7">
        <w:rPr>
          <w:i/>
          <w:iCs/>
          <w:color w:val="auto"/>
          <w:sz w:val="20"/>
          <w:szCs w:val="20"/>
        </w:rPr>
        <w:t xml:space="preserve">Sin embargo, algo distinto ocurre con Seguros del Estado S.A., atendiendo a su condición de litisconsorte </w:t>
      </w:r>
      <w:proofErr w:type="spellStart"/>
      <w:r w:rsidRPr="00883FD7">
        <w:rPr>
          <w:i/>
          <w:iCs/>
          <w:color w:val="auto"/>
          <w:sz w:val="20"/>
          <w:szCs w:val="20"/>
        </w:rPr>
        <w:t>cuasinecesario</w:t>
      </w:r>
      <w:proofErr w:type="spellEnd"/>
      <w:r w:rsidRPr="00883FD7">
        <w:rPr>
          <w:i/>
          <w:iCs/>
          <w:color w:val="auto"/>
          <w:sz w:val="20"/>
          <w:szCs w:val="20"/>
        </w:rPr>
        <w:t xml:space="preserve"> y a la formulación de nuevas pretensiones para sí, toda vez que sólo cuando presentó su escrito de intervención es posible verificar si la misma fue oportuna. </w:t>
      </w:r>
      <w:r w:rsidRPr="00883FD7">
        <w:rPr>
          <w:b/>
          <w:bCs/>
          <w:i/>
          <w:iCs/>
          <w:color w:val="auto"/>
          <w:sz w:val="20"/>
          <w:szCs w:val="20"/>
          <w:u w:val="single"/>
        </w:rPr>
        <w:t>En ese orden, vale señalar que recientemente la Sección unificó su criterio alrededor de si la incorporación de nuevos demandantes o pretensiones, incluso en tratándose de litisconsortes facultativos, obligaba a computar la caducidad de forma separada de la demanda principal. En esa oportunidad, se definió que ese hipotético debía verse como una nueva demanda y, en consecuencia, daba lugar a un cómputo independiente de la caducidad de la acción</w:t>
      </w:r>
      <w:r w:rsidR="00E15379">
        <w:rPr>
          <w:rStyle w:val="Refdenotaalpie"/>
          <w:b/>
          <w:bCs/>
          <w:i/>
          <w:iCs/>
          <w:color w:val="auto"/>
          <w:sz w:val="20"/>
          <w:szCs w:val="20"/>
          <w:u w:val="single"/>
        </w:rPr>
        <w:footnoteReference w:id="4"/>
      </w:r>
      <w:r w:rsidRPr="00883FD7">
        <w:rPr>
          <w:i/>
          <w:iCs/>
          <w:color w:val="auto"/>
          <w:sz w:val="20"/>
          <w:szCs w:val="20"/>
        </w:rPr>
        <w:t>.</w:t>
      </w:r>
      <w:r>
        <w:rPr>
          <w:i/>
          <w:iCs/>
          <w:color w:val="auto"/>
          <w:sz w:val="20"/>
          <w:szCs w:val="20"/>
        </w:rPr>
        <w:t xml:space="preserve"> </w:t>
      </w:r>
      <w:r>
        <w:rPr>
          <w:sz w:val="20"/>
          <w:szCs w:val="20"/>
        </w:rPr>
        <w:t>(Resaltado y negritas fuera del texto original)</w:t>
      </w:r>
    </w:p>
    <w:p w14:paraId="0C54F0CB" w14:textId="6613EB9B" w:rsidR="00883FD7" w:rsidRDefault="00883FD7" w:rsidP="002760AB">
      <w:pPr>
        <w:pStyle w:val="Default"/>
        <w:spacing w:line="312" w:lineRule="auto"/>
        <w:ind w:right="49"/>
        <w:jc w:val="both"/>
        <w:rPr>
          <w:color w:val="auto"/>
          <w:sz w:val="22"/>
          <w:szCs w:val="22"/>
        </w:rPr>
      </w:pPr>
      <w:r>
        <w:rPr>
          <w:color w:val="auto"/>
          <w:sz w:val="22"/>
          <w:szCs w:val="22"/>
        </w:rPr>
        <w:t xml:space="preserve"> </w:t>
      </w:r>
    </w:p>
    <w:p w14:paraId="04C45297" w14:textId="6D165201" w:rsidR="00E12D07" w:rsidRPr="005B50D5" w:rsidRDefault="00776C59" w:rsidP="002760AB">
      <w:pPr>
        <w:pStyle w:val="Default"/>
        <w:spacing w:line="312" w:lineRule="auto"/>
        <w:ind w:right="49"/>
        <w:jc w:val="both"/>
        <w:rPr>
          <w:color w:val="auto"/>
          <w:sz w:val="22"/>
          <w:szCs w:val="22"/>
        </w:rPr>
      </w:pPr>
      <w:r w:rsidRPr="005B50D5">
        <w:rPr>
          <w:color w:val="auto"/>
          <w:sz w:val="22"/>
          <w:szCs w:val="22"/>
        </w:rPr>
        <w:t>Esto nos permite advertir que no puede considerarse</w:t>
      </w:r>
      <w:r w:rsidR="003956C3" w:rsidRPr="005B50D5">
        <w:rPr>
          <w:color w:val="auto"/>
          <w:sz w:val="22"/>
          <w:szCs w:val="22"/>
        </w:rPr>
        <w:t>, ni para efectos de la caducidad de la acción</w:t>
      </w:r>
      <w:r w:rsidR="00290AEE">
        <w:rPr>
          <w:color w:val="auto"/>
          <w:sz w:val="22"/>
          <w:szCs w:val="22"/>
        </w:rPr>
        <w:t xml:space="preserve">, </w:t>
      </w:r>
      <w:r w:rsidR="003956C3" w:rsidRPr="005B50D5">
        <w:rPr>
          <w:color w:val="auto"/>
          <w:sz w:val="22"/>
          <w:szCs w:val="22"/>
        </w:rPr>
        <w:t>ni para efectos del requisito de procedibilidad</w:t>
      </w:r>
      <w:r w:rsidR="00290AEE">
        <w:rPr>
          <w:color w:val="auto"/>
          <w:sz w:val="22"/>
          <w:szCs w:val="22"/>
        </w:rPr>
        <w:t xml:space="preserve">, </w:t>
      </w:r>
      <w:r w:rsidR="003956C3" w:rsidRPr="005B50D5">
        <w:rPr>
          <w:color w:val="auto"/>
          <w:sz w:val="22"/>
          <w:szCs w:val="22"/>
        </w:rPr>
        <w:t xml:space="preserve">que la acción </w:t>
      </w:r>
      <w:r w:rsidR="00290AEE">
        <w:rPr>
          <w:color w:val="auto"/>
          <w:sz w:val="22"/>
          <w:szCs w:val="22"/>
        </w:rPr>
        <w:t>deba ser</w:t>
      </w:r>
      <w:r w:rsidR="003956C3" w:rsidRPr="005B50D5">
        <w:rPr>
          <w:color w:val="auto"/>
          <w:sz w:val="22"/>
          <w:szCs w:val="22"/>
        </w:rPr>
        <w:t xml:space="preserve"> interpuesta de manera aislada para cada uno de los integrantes de la</w:t>
      </w:r>
      <w:r w:rsidR="00EF379C" w:rsidRPr="005B50D5">
        <w:rPr>
          <w:color w:val="auto"/>
          <w:sz w:val="22"/>
          <w:szCs w:val="22"/>
        </w:rPr>
        <w:t xml:space="preserve"> relación jurídico sustancial que tiene relevancia y eventual responsabilidad respecto de los hechos objeto de debate</w:t>
      </w:r>
      <w:r w:rsidR="00826E14" w:rsidRPr="005B50D5">
        <w:rPr>
          <w:color w:val="auto"/>
          <w:sz w:val="22"/>
          <w:szCs w:val="22"/>
        </w:rPr>
        <w:t xml:space="preserve">, y ello tiene </w:t>
      </w:r>
      <w:r w:rsidR="00133554" w:rsidRPr="005B50D5">
        <w:rPr>
          <w:color w:val="auto"/>
          <w:sz w:val="22"/>
          <w:szCs w:val="22"/>
        </w:rPr>
        <w:t xml:space="preserve">sentido porque por eso la misma norma que habla sobre el litisconsorcio </w:t>
      </w:r>
      <w:r w:rsidR="00290AEE">
        <w:rPr>
          <w:color w:val="auto"/>
          <w:sz w:val="22"/>
          <w:szCs w:val="22"/>
        </w:rPr>
        <w:t>establece</w:t>
      </w:r>
      <w:r w:rsidR="00133554" w:rsidRPr="005B50D5">
        <w:rPr>
          <w:color w:val="auto"/>
          <w:sz w:val="22"/>
          <w:szCs w:val="22"/>
        </w:rPr>
        <w:t>:</w:t>
      </w:r>
    </w:p>
    <w:p w14:paraId="60B68FBD" w14:textId="77777777" w:rsidR="00133554" w:rsidRPr="005B50D5" w:rsidRDefault="00133554" w:rsidP="002760AB">
      <w:pPr>
        <w:pStyle w:val="Default"/>
        <w:spacing w:line="312" w:lineRule="auto"/>
        <w:ind w:right="49"/>
        <w:jc w:val="both"/>
        <w:rPr>
          <w:color w:val="auto"/>
          <w:sz w:val="22"/>
          <w:szCs w:val="22"/>
        </w:rPr>
      </w:pPr>
    </w:p>
    <w:p w14:paraId="5A99473A" w14:textId="6BD991BE" w:rsidR="007C0353" w:rsidRPr="00883FD7" w:rsidRDefault="007C0353" w:rsidP="007C0353">
      <w:pPr>
        <w:spacing w:after="0" w:line="312" w:lineRule="auto"/>
        <w:ind w:left="567" w:right="567"/>
        <w:jc w:val="both"/>
        <w:rPr>
          <w:rFonts w:ascii="Arial" w:hAnsi="Arial" w:cs="Arial"/>
          <w:sz w:val="20"/>
          <w:szCs w:val="20"/>
        </w:rPr>
      </w:pPr>
      <w:r w:rsidRPr="00883FD7">
        <w:rPr>
          <w:rFonts w:ascii="Arial" w:hAnsi="Arial" w:cs="Arial"/>
          <w:i/>
          <w:iCs/>
          <w:sz w:val="20"/>
          <w:szCs w:val="20"/>
        </w:rPr>
        <w:t xml:space="preserve">En caso de no haberse ordenado el traslado al admitirse la demanda, </w:t>
      </w:r>
      <w:r w:rsidRPr="00883FD7">
        <w:rPr>
          <w:rFonts w:ascii="Arial" w:hAnsi="Arial" w:cs="Arial"/>
          <w:i/>
          <w:iCs/>
          <w:sz w:val="20"/>
          <w:szCs w:val="20"/>
          <w:u w:val="single"/>
        </w:rPr>
        <w:t>el juez dispondrá la citación de las mencionadas</w:t>
      </w:r>
      <w:r w:rsidRPr="00883FD7">
        <w:rPr>
          <w:rFonts w:ascii="Arial" w:hAnsi="Arial" w:cs="Arial"/>
          <w:i/>
          <w:iCs/>
          <w:sz w:val="20"/>
          <w:szCs w:val="20"/>
        </w:rPr>
        <w:t xml:space="preserve"> personas, de oficio o </w:t>
      </w:r>
      <w:r w:rsidRPr="00883FD7">
        <w:rPr>
          <w:rFonts w:ascii="Arial" w:hAnsi="Arial" w:cs="Arial"/>
          <w:i/>
          <w:iCs/>
          <w:sz w:val="20"/>
          <w:szCs w:val="20"/>
          <w:u w:val="single"/>
        </w:rPr>
        <w:t>a petición de parte</w:t>
      </w:r>
      <w:r w:rsidRPr="00883FD7">
        <w:rPr>
          <w:rFonts w:ascii="Arial" w:hAnsi="Arial" w:cs="Arial"/>
          <w:i/>
          <w:iCs/>
          <w:sz w:val="20"/>
          <w:szCs w:val="20"/>
        </w:rPr>
        <w:t xml:space="preserve">, mientras no se haya dictado sentencia de primera instancia, </w:t>
      </w:r>
      <w:r w:rsidRPr="00883FD7">
        <w:rPr>
          <w:rFonts w:ascii="Arial" w:hAnsi="Arial" w:cs="Arial"/>
          <w:i/>
          <w:iCs/>
          <w:sz w:val="20"/>
          <w:szCs w:val="20"/>
          <w:u w:val="single"/>
        </w:rPr>
        <w:t xml:space="preserve">y concederá a los citados el mismo término para que </w:t>
      </w:r>
      <w:r w:rsidRPr="00883FD7">
        <w:rPr>
          <w:rFonts w:ascii="Arial" w:hAnsi="Arial" w:cs="Arial"/>
          <w:i/>
          <w:iCs/>
          <w:sz w:val="20"/>
          <w:szCs w:val="20"/>
          <w:u w:val="single"/>
        </w:rPr>
        <w:lastRenderedPageBreak/>
        <w:t>comparezcan</w:t>
      </w:r>
      <w:r w:rsidRPr="00883FD7">
        <w:rPr>
          <w:rFonts w:ascii="Arial" w:hAnsi="Arial" w:cs="Arial"/>
          <w:i/>
          <w:iCs/>
          <w:sz w:val="20"/>
          <w:szCs w:val="20"/>
        </w:rPr>
        <w:t xml:space="preserve">. </w:t>
      </w:r>
      <w:r w:rsidRPr="00883FD7">
        <w:rPr>
          <w:rFonts w:ascii="Arial" w:hAnsi="Arial" w:cs="Arial"/>
          <w:b/>
          <w:bCs/>
          <w:i/>
          <w:iCs/>
          <w:sz w:val="20"/>
          <w:szCs w:val="20"/>
          <w:u w:val="single"/>
        </w:rPr>
        <w:t>El proceso se suspenderá durante dicho término</w:t>
      </w:r>
      <w:r w:rsidR="00D906AC">
        <w:rPr>
          <w:rStyle w:val="Refdenotaalpie"/>
          <w:rFonts w:ascii="Arial" w:hAnsi="Arial" w:cs="Arial"/>
          <w:b/>
          <w:bCs/>
          <w:i/>
          <w:iCs/>
          <w:sz w:val="20"/>
          <w:szCs w:val="20"/>
          <w:u w:val="single"/>
        </w:rPr>
        <w:footnoteReference w:id="5"/>
      </w:r>
      <w:r w:rsidRPr="00883FD7">
        <w:rPr>
          <w:rFonts w:ascii="Arial" w:hAnsi="Arial" w:cs="Arial"/>
          <w:i/>
          <w:iCs/>
          <w:sz w:val="20"/>
          <w:szCs w:val="20"/>
        </w:rPr>
        <w:t xml:space="preserve">. </w:t>
      </w:r>
      <w:r w:rsidRPr="00883FD7">
        <w:rPr>
          <w:rFonts w:ascii="Arial" w:hAnsi="Arial" w:cs="Arial"/>
          <w:sz w:val="20"/>
          <w:szCs w:val="20"/>
        </w:rPr>
        <w:t>(Subrayado y negritas fuera del texto original)</w:t>
      </w:r>
    </w:p>
    <w:p w14:paraId="5F40F8E5" w14:textId="77777777" w:rsidR="007C0353" w:rsidRPr="005B50D5" w:rsidRDefault="007C0353" w:rsidP="002760AB">
      <w:pPr>
        <w:pStyle w:val="Default"/>
        <w:spacing w:line="312" w:lineRule="auto"/>
        <w:ind w:right="49"/>
        <w:jc w:val="both"/>
        <w:rPr>
          <w:color w:val="auto"/>
          <w:sz w:val="22"/>
          <w:szCs w:val="22"/>
        </w:rPr>
      </w:pPr>
    </w:p>
    <w:p w14:paraId="10B85754" w14:textId="5F3EE002" w:rsidR="007C0353" w:rsidRPr="00A11387" w:rsidRDefault="00AB0F4D" w:rsidP="002760AB">
      <w:pPr>
        <w:pStyle w:val="Default"/>
        <w:spacing w:line="312" w:lineRule="auto"/>
        <w:ind w:right="49"/>
        <w:jc w:val="both"/>
        <w:rPr>
          <w:b/>
          <w:bCs/>
          <w:color w:val="auto"/>
          <w:sz w:val="22"/>
          <w:szCs w:val="22"/>
          <w:u w:val="single"/>
        </w:rPr>
      </w:pPr>
      <w:r w:rsidRPr="005B50D5">
        <w:rPr>
          <w:color w:val="auto"/>
          <w:sz w:val="22"/>
          <w:szCs w:val="22"/>
        </w:rPr>
        <w:t xml:space="preserve">Es decir que la norma prevé </w:t>
      </w:r>
      <w:r w:rsidR="001B0C1B" w:rsidRPr="005B50D5">
        <w:rPr>
          <w:color w:val="auto"/>
          <w:sz w:val="22"/>
          <w:szCs w:val="22"/>
        </w:rPr>
        <w:t xml:space="preserve">de manera clara que la parte que no fue llamada al proceso en el momento </w:t>
      </w:r>
      <w:r w:rsidR="00153ADA" w:rsidRPr="005B50D5">
        <w:rPr>
          <w:color w:val="auto"/>
          <w:sz w:val="22"/>
          <w:szCs w:val="22"/>
        </w:rPr>
        <w:t>inicial</w:t>
      </w:r>
      <w:r w:rsidR="001B0C1B" w:rsidRPr="005B50D5">
        <w:rPr>
          <w:color w:val="auto"/>
          <w:sz w:val="22"/>
          <w:szCs w:val="22"/>
        </w:rPr>
        <w:t xml:space="preserve"> podrá </w:t>
      </w:r>
      <w:r w:rsidR="002B6287" w:rsidRPr="005B50D5">
        <w:rPr>
          <w:color w:val="auto"/>
          <w:sz w:val="22"/>
          <w:szCs w:val="22"/>
        </w:rPr>
        <w:t>acudir y se le deberá</w:t>
      </w:r>
      <w:r w:rsidR="00290AEE">
        <w:rPr>
          <w:color w:val="auto"/>
          <w:sz w:val="22"/>
          <w:szCs w:val="22"/>
        </w:rPr>
        <w:t>n</w:t>
      </w:r>
      <w:r w:rsidR="002B6287" w:rsidRPr="005B50D5">
        <w:rPr>
          <w:color w:val="auto"/>
          <w:sz w:val="22"/>
          <w:szCs w:val="22"/>
        </w:rPr>
        <w:t xml:space="preserve"> </w:t>
      </w:r>
      <w:r w:rsidR="004328EC" w:rsidRPr="005B50D5">
        <w:rPr>
          <w:color w:val="auto"/>
          <w:sz w:val="22"/>
          <w:szCs w:val="22"/>
        </w:rPr>
        <w:t>conceder los mismos términos con que contó su par en el extremo procesal correspondiente, en este caso el pasivo.</w:t>
      </w:r>
      <w:r w:rsidR="00153ADA" w:rsidRPr="005B50D5">
        <w:rPr>
          <w:color w:val="auto"/>
          <w:sz w:val="22"/>
          <w:szCs w:val="22"/>
        </w:rPr>
        <w:t xml:space="preserve"> Por lo anterior</w:t>
      </w:r>
      <w:r w:rsidR="00290AEE">
        <w:rPr>
          <w:color w:val="auto"/>
          <w:sz w:val="22"/>
          <w:szCs w:val="22"/>
        </w:rPr>
        <w:t xml:space="preserve">, </w:t>
      </w:r>
      <w:r w:rsidR="00153ADA" w:rsidRPr="005B50D5">
        <w:rPr>
          <w:color w:val="auto"/>
          <w:sz w:val="22"/>
          <w:szCs w:val="22"/>
        </w:rPr>
        <w:t>es claro que no hay lugar a hablar de vulneración del debido proceso si se acepta la vinculación del litisconsorte</w:t>
      </w:r>
      <w:r w:rsidR="00290AEE">
        <w:rPr>
          <w:color w:val="auto"/>
          <w:sz w:val="22"/>
          <w:szCs w:val="22"/>
        </w:rPr>
        <w:t>,</w:t>
      </w:r>
      <w:r w:rsidR="00153ADA" w:rsidRPr="005B50D5">
        <w:rPr>
          <w:color w:val="auto"/>
          <w:sz w:val="22"/>
          <w:szCs w:val="22"/>
        </w:rPr>
        <w:t xml:space="preserve"> porque </w:t>
      </w:r>
      <w:r w:rsidR="00290AEE">
        <w:rPr>
          <w:color w:val="auto"/>
          <w:sz w:val="22"/>
          <w:szCs w:val="22"/>
        </w:rPr>
        <w:t xml:space="preserve">este </w:t>
      </w:r>
      <w:r w:rsidR="00153ADA" w:rsidRPr="005B50D5">
        <w:rPr>
          <w:color w:val="auto"/>
          <w:sz w:val="22"/>
          <w:szCs w:val="22"/>
        </w:rPr>
        <w:t xml:space="preserve">no ha podido presentarse al </w:t>
      </w:r>
      <w:r w:rsidR="00290AEE">
        <w:rPr>
          <w:color w:val="auto"/>
          <w:sz w:val="22"/>
          <w:szCs w:val="22"/>
        </w:rPr>
        <w:t>proceso</w:t>
      </w:r>
      <w:r w:rsidR="00153ADA" w:rsidRPr="005B50D5">
        <w:rPr>
          <w:color w:val="auto"/>
          <w:sz w:val="22"/>
          <w:szCs w:val="22"/>
        </w:rPr>
        <w:t xml:space="preserve"> y conocer de la demanda, pues al </w:t>
      </w:r>
      <w:r w:rsidR="00153ADA" w:rsidRPr="005B50D5">
        <w:rPr>
          <w:i/>
          <w:iCs/>
          <w:color w:val="auto"/>
          <w:sz w:val="22"/>
          <w:szCs w:val="22"/>
        </w:rPr>
        <w:t xml:space="preserve">contrario sensu </w:t>
      </w:r>
      <w:r w:rsidR="00153ADA" w:rsidRPr="005B50D5">
        <w:rPr>
          <w:color w:val="auto"/>
          <w:sz w:val="22"/>
          <w:szCs w:val="22"/>
        </w:rPr>
        <w:t>la norma señala al juez el camino indicado para</w:t>
      </w:r>
      <w:r w:rsidR="00DA1889" w:rsidRPr="005B50D5">
        <w:rPr>
          <w:color w:val="auto"/>
          <w:sz w:val="22"/>
          <w:szCs w:val="22"/>
        </w:rPr>
        <w:t xml:space="preserve"> proteger dicho derecho</w:t>
      </w:r>
      <w:r w:rsidR="00290AEE">
        <w:rPr>
          <w:color w:val="auto"/>
          <w:sz w:val="22"/>
          <w:szCs w:val="22"/>
        </w:rPr>
        <w:t>,</w:t>
      </w:r>
      <w:r w:rsidR="00DA1889" w:rsidRPr="005B50D5">
        <w:rPr>
          <w:color w:val="auto"/>
          <w:sz w:val="22"/>
          <w:szCs w:val="22"/>
        </w:rPr>
        <w:t xml:space="preserve"> así como la forma </w:t>
      </w:r>
      <w:r w:rsidR="00665717" w:rsidRPr="005B50D5">
        <w:rPr>
          <w:color w:val="auto"/>
          <w:sz w:val="22"/>
          <w:szCs w:val="22"/>
        </w:rPr>
        <w:t xml:space="preserve">de permitir </w:t>
      </w:r>
      <w:r w:rsidR="00DA1889" w:rsidRPr="005B50D5">
        <w:rPr>
          <w:color w:val="auto"/>
          <w:sz w:val="22"/>
          <w:szCs w:val="22"/>
        </w:rPr>
        <w:t>a la parte vinculada su ejercicio de defensa y contradicción</w:t>
      </w:r>
      <w:r w:rsidR="00DF6718" w:rsidRPr="005B50D5">
        <w:rPr>
          <w:color w:val="auto"/>
          <w:sz w:val="22"/>
          <w:szCs w:val="22"/>
        </w:rPr>
        <w:t xml:space="preserve">, </w:t>
      </w:r>
      <w:r w:rsidR="00DF6718" w:rsidRPr="00A11387">
        <w:rPr>
          <w:b/>
          <w:bCs/>
          <w:color w:val="auto"/>
          <w:sz w:val="22"/>
          <w:szCs w:val="22"/>
          <w:u w:val="single"/>
        </w:rPr>
        <w:t xml:space="preserve">situación que contrariamente no se podría dar si no se admite la vinculación del litisconsorte </w:t>
      </w:r>
      <w:r w:rsidR="00E27769" w:rsidRPr="00A11387">
        <w:rPr>
          <w:b/>
          <w:bCs/>
          <w:color w:val="auto"/>
          <w:sz w:val="22"/>
          <w:szCs w:val="22"/>
          <w:u w:val="single"/>
        </w:rPr>
        <w:t xml:space="preserve">pues se le estaría negando la oportunidad de pronunciarse en su defensa o en defensa de la relación jurídica que le vinculan al caso. </w:t>
      </w:r>
    </w:p>
    <w:p w14:paraId="7DF93DFF" w14:textId="77777777" w:rsidR="00133554" w:rsidRPr="005B50D5" w:rsidRDefault="00133554" w:rsidP="002760AB">
      <w:pPr>
        <w:pStyle w:val="Default"/>
        <w:spacing w:line="312" w:lineRule="auto"/>
        <w:ind w:right="49"/>
        <w:jc w:val="both"/>
        <w:rPr>
          <w:color w:val="auto"/>
          <w:sz w:val="22"/>
          <w:szCs w:val="22"/>
        </w:rPr>
      </w:pPr>
    </w:p>
    <w:p w14:paraId="5E264295" w14:textId="6DDF7AAC" w:rsidR="008739BB" w:rsidRPr="005B50D5" w:rsidRDefault="003C4B91" w:rsidP="002760AB">
      <w:pPr>
        <w:pStyle w:val="Default"/>
        <w:spacing w:line="312" w:lineRule="auto"/>
        <w:ind w:right="49"/>
        <w:jc w:val="both"/>
        <w:rPr>
          <w:color w:val="auto"/>
          <w:sz w:val="22"/>
          <w:szCs w:val="22"/>
        </w:rPr>
      </w:pPr>
      <w:r w:rsidRPr="005B50D5">
        <w:rPr>
          <w:color w:val="auto"/>
          <w:sz w:val="22"/>
          <w:szCs w:val="22"/>
        </w:rPr>
        <w:t xml:space="preserve">En </w:t>
      </w:r>
      <w:r w:rsidR="00E62A41" w:rsidRPr="005B50D5">
        <w:rPr>
          <w:color w:val="auto"/>
          <w:sz w:val="22"/>
          <w:szCs w:val="22"/>
        </w:rPr>
        <w:t>consecuencia,</w:t>
      </w:r>
      <w:r w:rsidRPr="005B50D5">
        <w:rPr>
          <w:color w:val="auto"/>
          <w:sz w:val="22"/>
          <w:szCs w:val="22"/>
        </w:rPr>
        <w:t xml:space="preserve"> de lo expuesto es necesario que el despacho </w:t>
      </w:r>
      <w:r w:rsidR="00795A2D" w:rsidRPr="005B50D5">
        <w:rPr>
          <w:color w:val="auto"/>
          <w:sz w:val="22"/>
          <w:szCs w:val="22"/>
        </w:rPr>
        <w:t>admita la vinculación del Consorcio PA-BCS Mojarras</w:t>
      </w:r>
      <w:r w:rsidR="00290AEE">
        <w:rPr>
          <w:color w:val="auto"/>
          <w:sz w:val="22"/>
          <w:szCs w:val="22"/>
        </w:rPr>
        <w:t>,</w:t>
      </w:r>
      <w:r w:rsidR="00795A2D" w:rsidRPr="005B50D5">
        <w:rPr>
          <w:color w:val="auto"/>
          <w:sz w:val="22"/>
          <w:szCs w:val="22"/>
        </w:rPr>
        <w:t xml:space="preserve"> tal como se solicitó por este extremo, y con ello se evite una nulidad que eventualmente impida decidir de fondo, toda vez que se dan los presupuestos necesarios para que en este caso se dé aplicación a la figura de litisconsorcio necesario </w:t>
      </w:r>
      <w:r w:rsidR="00DC03B5" w:rsidRPr="005B50D5">
        <w:rPr>
          <w:color w:val="auto"/>
          <w:sz w:val="22"/>
          <w:szCs w:val="22"/>
        </w:rPr>
        <w:t>y para que se corrija una decisión que no tuvo en cuenta elementos de suma relevancia para los intereses del litigio.</w:t>
      </w:r>
    </w:p>
    <w:p w14:paraId="2C8C1DC3" w14:textId="77777777" w:rsidR="005D3412" w:rsidRPr="005B50D5" w:rsidRDefault="005D3412" w:rsidP="002760AB">
      <w:pPr>
        <w:pStyle w:val="Default"/>
        <w:spacing w:line="312" w:lineRule="auto"/>
        <w:ind w:right="49"/>
        <w:jc w:val="both"/>
        <w:rPr>
          <w:b/>
          <w:bCs/>
          <w:color w:val="auto"/>
          <w:sz w:val="22"/>
          <w:szCs w:val="22"/>
        </w:rPr>
      </w:pPr>
    </w:p>
    <w:p w14:paraId="45AF1E27" w14:textId="6F8BC328" w:rsidR="00560548" w:rsidRPr="005B50D5" w:rsidRDefault="005D3412" w:rsidP="002760AB">
      <w:pPr>
        <w:pStyle w:val="Default"/>
        <w:spacing w:line="312" w:lineRule="auto"/>
        <w:ind w:right="49"/>
        <w:jc w:val="both"/>
        <w:rPr>
          <w:color w:val="auto"/>
          <w:sz w:val="22"/>
          <w:szCs w:val="22"/>
        </w:rPr>
      </w:pPr>
      <w:r w:rsidRPr="005B50D5">
        <w:rPr>
          <w:color w:val="auto"/>
          <w:sz w:val="22"/>
          <w:szCs w:val="22"/>
        </w:rPr>
        <w:t xml:space="preserve">En conclusión, </w:t>
      </w:r>
      <w:r w:rsidR="00F70D49" w:rsidRPr="005B50D5">
        <w:rPr>
          <w:color w:val="auto"/>
          <w:sz w:val="22"/>
          <w:szCs w:val="22"/>
        </w:rPr>
        <w:t xml:space="preserve">el despacho deberá </w:t>
      </w:r>
      <w:r w:rsidR="00C84D77" w:rsidRPr="005B50D5">
        <w:rPr>
          <w:b/>
          <w:bCs/>
          <w:color w:val="auto"/>
          <w:sz w:val="22"/>
          <w:szCs w:val="22"/>
        </w:rPr>
        <w:t>REVOCAR</w:t>
      </w:r>
      <w:r w:rsidR="00C84D77" w:rsidRPr="005B50D5">
        <w:rPr>
          <w:color w:val="auto"/>
          <w:sz w:val="22"/>
          <w:szCs w:val="22"/>
        </w:rPr>
        <w:t xml:space="preserve"> el auto No. </w:t>
      </w:r>
      <w:r w:rsidR="00E62A41" w:rsidRPr="005B50D5">
        <w:rPr>
          <w:color w:val="auto"/>
          <w:sz w:val="22"/>
          <w:szCs w:val="22"/>
        </w:rPr>
        <w:t>097</w:t>
      </w:r>
      <w:r w:rsidR="00C84D77" w:rsidRPr="005B50D5">
        <w:rPr>
          <w:color w:val="auto"/>
          <w:sz w:val="22"/>
          <w:szCs w:val="22"/>
        </w:rPr>
        <w:t xml:space="preserve"> del </w:t>
      </w:r>
      <w:r w:rsidR="00E62A41" w:rsidRPr="005B50D5">
        <w:rPr>
          <w:color w:val="auto"/>
          <w:sz w:val="22"/>
          <w:szCs w:val="22"/>
        </w:rPr>
        <w:t>17</w:t>
      </w:r>
      <w:r w:rsidR="00C84D77" w:rsidRPr="005B50D5">
        <w:rPr>
          <w:color w:val="auto"/>
          <w:sz w:val="22"/>
          <w:szCs w:val="22"/>
        </w:rPr>
        <w:t xml:space="preserve"> de </w:t>
      </w:r>
      <w:r w:rsidR="00E62A41" w:rsidRPr="005B50D5">
        <w:rPr>
          <w:color w:val="auto"/>
          <w:sz w:val="22"/>
          <w:szCs w:val="22"/>
        </w:rPr>
        <w:t>febrero</w:t>
      </w:r>
      <w:r w:rsidR="00C84D77" w:rsidRPr="005B50D5">
        <w:rPr>
          <w:color w:val="auto"/>
          <w:sz w:val="22"/>
          <w:szCs w:val="22"/>
        </w:rPr>
        <w:t xml:space="preserve"> de 202</w:t>
      </w:r>
      <w:r w:rsidR="00E62A41" w:rsidRPr="005B50D5">
        <w:rPr>
          <w:color w:val="auto"/>
          <w:sz w:val="22"/>
          <w:szCs w:val="22"/>
        </w:rPr>
        <w:t>5</w:t>
      </w:r>
      <w:r w:rsidR="00C84D77" w:rsidRPr="005B50D5">
        <w:rPr>
          <w:color w:val="auto"/>
          <w:sz w:val="22"/>
          <w:szCs w:val="22"/>
        </w:rPr>
        <w:t xml:space="preserve"> ante </w:t>
      </w:r>
      <w:r w:rsidR="00E62A41" w:rsidRPr="005B50D5">
        <w:rPr>
          <w:color w:val="auto"/>
          <w:sz w:val="22"/>
          <w:szCs w:val="22"/>
        </w:rPr>
        <w:t>los evidentes yerros</w:t>
      </w:r>
      <w:r w:rsidR="00C84D77" w:rsidRPr="005B50D5">
        <w:rPr>
          <w:color w:val="auto"/>
          <w:sz w:val="22"/>
          <w:szCs w:val="22"/>
        </w:rPr>
        <w:t xml:space="preserve"> </w:t>
      </w:r>
      <w:r w:rsidR="00E62A41" w:rsidRPr="005B50D5">
        <w:rPr>
          <w:color w:val="auto"/>
          <w:sz w:val="22"/>
          <w:szCs w:val="22"/>
        </w:rPr>
        <w:t xml:space="preserve">tanto </w:t>
      </w:r>
      <w:r w:rsidR="00C84D77" w:rsidRPr="005B50D5">
        <w:rPr>
          <w:color w:val="auto"/>
          <w:sz w:val="22"/>
          <w:szCs w:val="22"/>
        </w:rPr>
        <w:t xml:space="preserve">jurídicos </w:t>
      </w:r>
      <w:r w:rsidR="00E62A41" w:rsidRPr="005B50D5">
        <w:rPr>
          <w:color w:val="auto"/>
          <w:sz w:val="22"/>
          <w:szCs w:val="22"/>
        </w:rPr>
        <w:t>como de valoración de los elementos facticos respecto de la negativa a vincular al proceso al Consorcio PA-BCS Mojarras como litisconsorte necesario</w:t>
      </w:r>
      <w:r w:rsidR="004D233A" w:rsidRPr="005B50D5">
        <w:rPr>
          <w:color w:val="auto"/>
          <w:sz w:val="22"/>
          <w:szCs w:val="22"/>
        </w:rPr>
        <w:t>, los cuales han sido expresados de manera amplía a lo extenso de este escrito</w:t>
      </w:r>
      <w:r w:rsidR="0039019A" w:rsidRPr="005B50D5">
        <w:rPr>
          <w:color w:val="auto"/>
          <w:sz w:val="22"/>
          <w:szCs w:val="22"/>
        </w:rPr>
        <w:t xml:space="preserve">. Por lo tanto, el fallador no tiene otra opción </w:t>
      </w:r>
      <w:r w:rsidR="006C703F" w:rsidRPr="005B50D5">
        <w:rPr>
          <w:color w:val="auto"/>
          <w:sz w:val="22"/>
          <w:szCs w:val="22"/>
        </w:rPr>
        <w:t>más</w:t>
      </w:r>
      <w:r w:rsidR="0039019A" w:rsidRPr="005B50D5">
        <w:rPr>
          <w:color w:val="auto"/>
          <w:sz w:val="22"/>
          <w:szCs w:val="22"/>
        </w:rPr>
        <w:t xml:space="preserve"> que </w:t>
      </w:r>
      <w:r w:rsidR="005F51E0" w:rsidRPr="005B50D5">
        <w:rPr>
          <w:color w:val="auto"/>
          <w:sz w:val="22"/>
          <w:szCs w:val="22"/>
        </w:rPr>
        <w:t>atender las solicitudes que a continuación se presentan</w:t>
      </w:r>
      <w:r w:rsidR="006C703F" w:rsidRPr="005B50D5">
        <w:rPr>
          <w:color w:val="auto"/>
          <w:sz w:val="22"/>
          <w:szCs w:val="22"/>
        </w:rPr>
        <w:t>.</w:t>
      </w:r>
    </w:p>
    <w:p w14:paraId="131FBA09" w14:textId="77777777" w:rsidR="002E183A" w:rsidRPr="005B50D5" w:rsidRDefault="002E183A" w:rsidP="002760AB">
      <w:pPr>
        <w:spacing w:after="0" w:line="312" w:lineRule="auto"/>
        <w:jc w:val="both"/>
        <w:rPr>
          <w:rFonts w:ascii="Arial" w:eastAsia="Times New Roman" w:hAnsi="Arial" w:cs="Arial"/>
        </w:rPr>
      </w:pPr>
    </w:p>
    <w:p w14:paraId="4330960E" w14:textId="77777777" w:rsidR="002E183A" w:rsidRPr="005B50D5" w:rsidRDefault="002E183A" w:rsidP="002760AB">
      <w:pPr>
        <w:spacing w:after="0" w:line="312" w:lineRule="auto"/>
        <w:jc w:val="center"/>
        <w:rPr>
          <w:rFonts w:ascii="Arial" w:hAnsi="Arial" w:cs="Arial"/>
          <w:u w:val="single"/>
        </w:rPr>
      </w:pPr>
      <w:r w:rsidRPr="005B50D5">
        <w:rPr>
          <w:rFonts w:ascii="Arial" w:eastAsia="Arial" w:hAnsi="Arial" w:cs="Arial"/>
          <w:b/>
          <w:u w:val="single"/>
        </w:rPr>
        <w:t>CAPÍTULO V. PETICIONES</w:t>
      </w:r>
    </w:p>
    <w:p w14:paraId="39F96610" w14:textId="77777777" w:rsidR="002E183A" w:rsidRPr="005B50D5" w:rsidRDefault="002E183A" w:rsidP="002760AB">
      <w:pPr>
        <w:spacing w:after="0" w:line="312" w:lineRule="auto"/>
        <w:rPr>
          <w:rFonts w:ascii="Arial" w:hAnsi="Arial" w:cs="Arial"/>
        </w:rPr>
      </w:pPr>
      <w:r w:rsidRPr="005B50D5">
        <w:rPr>
          <w:rFonts w:ascii="Arial" w:eastAsia="Arial" w:hAnsi="Arial" w:cs="Arial"/>
          <w:b/>
        </w:rPr>
        <w:t xml:space="preserve"> </w:t>
      </w:r>
    </w:p>
    <w:p w14:paraId="6443456D" w14:textId="745F7336" w:rsidR="00A377D0" w:rsidRPr="005B50D5" w:rsidRDefault="00A377D0" w:rsidP="007632C6">
      <w:pPr>
        <w:spacing w:after="0" w:line="312" w:lineRule="auto"/>
        <w:jc w:val="both"/>
        <w:rPr>
          <w:rFonts w:ascii="Arial" w:hAnsi="Arial" w:cs="Arial"/>
        </w:rPr>
      </w:pPr>
      <w:r w:rsidRPr="005B50D5">
        <w:rPr>
          <w:rFonts w:ascii="Arial" w:hAnsi="Arial" w:cs="Arial"/>
          <w:b/>
          <w:bCs/>
        </w:rPr>
        <w:t>PRIMERA</w:t>
      </w:r>
      <w:r w:rsidRPr="005B50D5">
        <w:rPr>
          <w:rFonts w:ascii="Arial" w:hAnsi="Arial" w:cs="Arial"/>
        </w:rPr>
        <w:t xml:space="preserve">: Sírvase REPONER para REVOCAR </w:t>
      </w:r>
      <w:r w:rsidR="00BD42EB" w:rsidRPr="005B50D5">
        <w:rPr>
          <w:rFonts w:ascii="Arial" w:hAnsi="Arial" w:cs="Arial"/>
        </w:rPr>
        <w:t xml:space="preserve">la decisión contenida en </w:t>
      </w:r>
      <w:r w:rsidRPr="005B50D5">
        <w:rPr>
          <w:rFonts w:ascii="Arial" w:hAnsi="Arial" w:cs="Arial"/>
        </w:rPr>
        <w:t xml:space="preserve">el auto </w:t>
      </w:r>
      <w:r w:rsidR="009D242E" w:rsidRPr="005B50D5">
        <w:rPr>
          <w:rFonts w:ascii="Arial" w:hAnsi="Arial" w:cs="Arial"/>
        </w:rPr>
        <w:t>No. 097 del 17 de febrero de 2025</w:t>
      </w:r>
      <w:r w:rsidR="005B523D" w:rsidRPr="005B50D5">
        <w:rPr>
          <w:rFonts w:ascii="Arial" w:hAnsi="Arial" w:cs="Arial"/>
        </w:rPr>
        <w:t>,</w:t>
      </w:r>
      <w:r w:rsidR="009D242E" w:rsidRPr="005B50D5">
        <w:rPr>
          <w:rFonts w:ascii="Arial" w:hAnsi="Arial" w:cs="Arial"/>
        </w:rPr>
        <w:t xml:space="preserve"> </w:t>
      </w:r>
      <w:r w:rsidRPr="005B50D5">
        <w:rPr>
          <w:rFonts w:ascii="Arial" w:hAnsi="Arial" w:cs="Arial"/>
        </w:rPr>
        <w:t xml:space="preserve">que </w:t>
      </w:r>
      <w:r w:rsidR="005B523D" w:rsidRPr="005B50D5">
        <w:rPr>
          <w:rFonts w:ascii="Arial" w:hAnsi="Arial" w:cs="Arial"/>
        </w:rPr>
        <w:t xml:space="preserve">en su parte resolutiva </w:t>
      </w:r>
      <w:r w:rsidR="007632C6" w:rsidRPr="005B50D5">
        <w:rPr>
          <w:rFonts w:ascii="Arial" w:hAnsi="Arial" w:cs="Arial"/>
        </w:rPr>
        <w:t>negó la vinculación del CONSORCIO PA-BCS MOJARRAS como litisconsorte en el caso de marras,</w:t>
      </w:r>
      <w:r w:rsidR="007A4653" w:rsidRPr="005B50D5">
        <w:rPr>
          <w:rFonts w:ascii="Arial" w:hAnsi="Arial" w:cs="Arial"/>
        </w:rPr>
        <w:t xml:space="preserve"> la cual fue solicitada por el suscrito en </w:t>
      </w:r>
      <w:r w:rsidR="007A4653" w:rsidRPr="005B50D5">
        <w:rPr>
          <w:rFonts w:ascii="Arial" w:hAnsi="Arial" w:cs="Arial"/>
        </w:rPr>
        <w:lastRenderedPageBreak/>
        <w:t>representación de Mapfre Seguros Generales de Colombia S.A.,</w:t>
      </w:r>
      <w:r w:rsidR="007632C6" w:rsidRPr="005B50D5">
        <w:rPr>
          <w:rFonts w:ascii="Arial" w:hAnsi="Arial" w:cs="Arial"/>
        </w:rPr>
        <w:t xml:space="preserve"> </w:t>
      </w:r>
      <w:r w:rsidR="00BC265D" w:rsidRPr="005B50D5">
        <w:rPr>
          <w:rFonts w:ascii="Arial" w:hAnsi="Arial" w:cs="Arial"/>
        </w:rPr>
        <w:t>para que</w:t>
      </w:r>
      <w:r w:rsidRPr="005B50D5">
        <w:rPr>
          <w:rFonts w:ascii="Arial" w:hAnsi="Arial" w:cs="Arial"/>
        </w:rPr>
        <w:t xml:space="preserve"> en su lugar </w:t>
      </w:r>
      <w:r w:rsidR="007632C6" w:rsidRPr="005B50D5">
        <w:rPr>
          <w:rFonts w:ascii="Arial" w:hAnsi="Arial" w:cs="Arial"/>
        </w:rPr>
        <w:t>que se sirva VINCULAR al CONSORCIO PA-BCS MOJARRAS al presente asunto, toda vez que para la fecha de ocurrencia de los hechos se encontraba ejecutando un contrato de obra en el tramo vial Mojarras- Popayán, lugar donde ocurrieron los hechos objeto del litigio</w:t>
      </w:r>
      <w:r w:rsidRPr="005B50D5">
        <w:rPr>
          <w:rFonts w:ascii="Arial" w:hAnsi="Arial" w:cs="Arial"/>
        </w:rPr>
        <w:t xml:space="preserve">. </w:t>
      </w:r>
    </w:p>
    <w:p w14:paraId="28796E98" w14:textId="77777777" w:rsidR="00A377D0" w:rsidRPr="005B50D5" w:rsidRDefault="00A377D0" w:rsidP="00A377D0">
      <w:pPr>
        <w:spacing w:after="0" w:line="312" w:lineRule="auto"/>
        <w:jc w:val="both"/>
        <w:rPr>
          <w:rFonts w:ascii="Arial" w:hAnsi="Arial" w:cs="Arial"/>
        </w:rPr>
      </w:pPr>
    </w:p>
    <w:p w14:paraId="2B6D2EEA" w14:textId="0CBDE89B" w:rsidR="00DC3189" w:rsidRPr="005B50D5" w:rsidRDefault="00A377D0" w:rsidP="00A377D0">
      <w:pPr>
        <w:spacing w:after="0" w:line="312" w:lineRule="auto"/>
        <w:jc w:val="both"/>
        <w:rPr>
          <w:rFonts w:ascii="Arial" w:hAnsi="Arial" w:cs="Arial"/>
        </w:rPr>
      </w:pPr>
      <w:r w:rsidRPr="005B50D5">
        <w:rPr>
          <w:rFonts w:ascii="Arial" w:hAnsi="Arial" w:cs="Arial"/>
          <w:b/>
          <w:bCs/>
        </w:rPr>
        <w:t>SEGUNDA</w:t>
      </w:r>
      <w:r w:rsidRPr="005B50D5">
        <w:rPr>
          <w:rFonts w:ascii="Arial" w:hAnsi="Arial" w:cs="Arial"/>
        </w:rPr>
        <w:t xml:space="preserve">: Como pretensión subsidiaria, sírvase CONCEDER el recurso de apelación en contra del </w:t>
      </w:r>
      <w:r w:rsidR="00810AF2">
        <w:rPr>
          <w:rFonts w:ascii="Arial" w:hAnsi="Arial" w:cs="Arial"/>
        </w:rPr>
        <w:t xml:space="preserve">auto </w:t>
      </w:r>
      <w:r w:rsidR="00864EFD" w:rsidRPr="005B50D5">
        <w:rPr>
          <w:rFonts w:ascii="Arial" w:hAnsi="Arial" w:cs="Arial"/>
        </w:rPr>
        <w:t>No. 097 del 17 de febrero de 2025 que negó la vinculación del CONSORCIO PA-BCS MOJARRAS como litisconsorte en el caso.</w:t>
      </w:r>
    </w:p>
    <w:p w14:paraId="2D732643" w14:textId="77777777" w:rsidR="00A377D0" w:rsidRPr="005B50D5" w:rsidRDefault="00A377D0" w:rsidP="002760AB">
      <w:pPr>
        <w:spacing w:after="0" w:line="312" w:lineRule="auto"/>
        <w:jc w:val="center"/>
        <w:rPr>
          <w:rFonts w:ascii="Arial" w:eastAsia="Arial" w:hAnsi="Arial" w:cs="Arial"/>
          <w:b/>
          <w:u w:val="single"/>
        </w:rPr>
      </w:pPr>
    </w:p>
    <w:p w14:paraId="4B7E5DA2" w14:textId="77777777" w:rsidR="002E183A" w:rsidRPr="005B50D5" w:rsidRDefault="002E183A" w:rsidP="002760AB">
      <w:pPr>
        <w:tabs>
          <w:tab w:val="left" w:pos="426"/>
        </w:tabs>
        <w:spacing w:after="0" w:line="312" w:lineRule="auto"/>
        <w:jc w:val="center"/>
        <w:rPr>
          <w:rFonts w:ascii="Arial" w:hAnsi="Arial" w:cs="Arial"/>
          <w:b/>
          <w:bCs/>
          <w:u w:val="single"/>
        </w:rPr>
      </w:pPr>
      <w:r w:rsidRPr="005B50D5">
        <w:rPr>
          <w:rFonts w:ascii="Arial" w:hAnsi="Arial" w:cs="Arial"/>
          <w:b/>
          <w:bCs/>
          <w:u w:val="single"/>
        </w:rPr>
        <w:t>CAPÍTULO VII. NOTIFICACIONES.</w:t>
      </w:r>
    </w:p>
    <w:p w14:paraId="49DAFF92" w14:textId="77777777" w:rsidR="002E183A" w:rsidRPr="005B50D5" w:rsidRDefault="002E183A" w:rsidP="002760AB">
      <w:pPr>
        <w:pStyle w:val="Prrafodelista"/>
        <w:tabs>
          <w:tab w:val="left" w:pos="426"/>
        </w:tabs>
        <w:spacing w:after="0" w:line="312" w:lineRule="auto"/>
        <w:ind w:left="0"/>
        <w:jc w:val="both"/>
        <w:rPr>
          <w:rFonts w:ascii="Arial" w:hAnsi="Arial" w:cs="Arial"/>
        </w:rPr>
      </w:pPr>
    </w:p>
    <w:p w14:paraId="718B5735" w14:textId="77777777" w:rsidR="002E183A" w:rsidRPr="005B50D5" w:rsidRDefault="002E183A" w:rsidP="002760AB">
      <w:pPr>
        <w:spacing w:after="0" w:line="312" w:lineRule="auto"/>
        <w:jc w:val="both"/>
        <w:rPr>
          <w:rFonts w:ascii="Arial" w:hAnsi="Arial" w:cs="Arial"/>
        </w:rPr>
      </w:pPr>
      <w:r w:rsidRPr="005B50D5">
        <w:rPr>
          <w:rFonts w:ascii="Arial" w:hAnsi="Arial" w:cs="Arial"/>
        </w:rPr>
        <w:t xml:space="preserve">El suscrito recibirá notificaciones en la Avenida 6 A Bis No. 35N-100 Oficina 212 Centro Empresarial Chipichape de la ciudad de Cali. Email: </w:t>
      </w:r>
      <w:hyperlink r:id="rId12" w:history="1">
        <w:r w:rsidRPr="005B50D5">
          <w:rPr>
            <w:rStyle w:val="Hipervnculo"/>
            <w:rFonts w:ascii="Arial" w:hAnsi="Arial" w:cs="Arial"/>
          </w:rPr>
          <w:t>notificaciones@gha.com.co</w:t>
        </w:r>
      </w:hyperlink>
    </w:p>
    <w:p w14:paraId="099D7DEC" w14:textId="3EB3327F" w:rsidR="002E183A" w:rsidRPr="005B50D5" w:rsidRDefault="00FB3804" w:rsidP="002760AB">
      <w:pPr>
        <w:spacing w:after="0" w:line="312" w:lineRule="auto"/>
        <w:jc w:val="both"/>
        <w:rPr>
          <w:rFonts w:ascii="Arial" w:hAnsi="Arial" w:cs="Arial"/>
        </w:rPr>
      </w:pPr>
      <w:r w:rsidRPr="005B50D5">
        <w:rPr>
          <w:rFonts w:ascii="Arial" w:hAnsi="Arial" w:cs="Arial"/>
          <w:iCs/>
          <w:noProof/>
          <w:lang w:val="en-US"/>
        </w:rPr>
        <w:drawing>
          <wp:anchor distT="0" distB="0" distL="114300" distR="114300" simplePos="0" relativeHeight="251659264" behindDoc="1" locked="0" layoutInCell="1" allowOverlap="1" wp14:anchorId="5467A893" wp14:editId="42CA7CFA">
            <wp:simplePos x="0" y="0"/>
            <wp:positionH relativeFrom="margin">
              <wp:posOffset>-19626</wp:posOffset>
            </wp:positionH>
            <wp:positionV relativeFrom="paragraph">
              <wp:posOffset>133867</wp:posOffset>
            </wp:positionV>
            <wp:extent cx="2409825" cy="16002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183A" w:rsidRPr="005B50D5">
        <w:rPr>
          <w:rFonts w:ascii="Arial" w:hAnsi="Arial" w:cs="Arial"/>
        </w:rPr>
        <w:t xml:space="preserve"> </w:t>
      </w:r>
    </w:p>
    <w:p w14:paraId="79F48F56" w14:textId="25F83919" w:rsidR="002E183A" w:rsidRPr="005B50D5" w:rsidRDefault="002E183A" w:rsidP="002760AB">
      <w:pPr>
        <w:tabs>
          <w:tab w:val="left" w:pos="2268"/>
        </w:tabs>
        <w:spacing w:after="0" w:line="312" w:lineRule="auto"/>
        <w:jc w:val="both"/>
        <w:rPr>
          <w:rFonts w:ascii="Arial" w:hAnsi="Arial" w:cs="Arial"/>
        </w:rPr>
      </w:pPr>
      <w:r w:rsidRPr="005B50D5">
        <w:rPr>
          <w:rFonts w:ascii="Arial" w:hAnsi="Arial" w:cs="Arial"/>
        </w:rPr>
        <w:t xml:space="preserve">Cordialmente, </w:t>
      </w:r>
    </w:p>
    <w:p w14:paraId="362BD6D2" w14:textId="77777777" w:rsidR="002E183A" w:rsidRPr="005B50D5" w:rsidRDefault="002E183A" w:rsidP="002760AB">
      <w:pPr>
        <w:tabs>
          <w:tab w:val="left" w:pos="2268"/>
        </w:tabs>
        <w:spacing w:after="0" w:line="312" w:lineRule="auto"/>
        <w:jc w:val="both"/>
        <w:rPr>
          <w:rFonts w:ascii="Arial" w:hAnsi="Arial" w:cs="Arial"/>
        </w:rPr>
      </w:pPr>
    </w:p>
    <w:p w14:paraId="4ADD0470" w14:textId="77777777" w:rsidR="002E183A" w:rsidRPr="005B50D5" w:rsidRDefault="002E183A" w:rsidP="002760AB">
      <w:pPr>
        <w:pStyle w:val="Sinespaciado"/>
        <w:spacing w:line="312" w:lineRule="auto"/>
        <w:rPr>
          <w:rFonts w:ascii="Arial" w:hAnsi="Arial" w:cs="Arial"/>
        </w:rPr>
      </w:pPr>
    </w:p>
    <w:p w14:paraId="1C0027D6" w14:textId="77777777" w:rsidR="002E183A" w:rsidRPr="005B50D5" w:rsidRDefault="002E183A" w:rsidP="002760AB">
      <w:pPr>
        <w:pStyle w:val="Sinespaciado"/>
        <w:spacing w:line="312" w:lineRule="auto"/>
        <w:rPr>
          <w:rFonts w:ascii="Arial" w:hAnsi="Arial" w:cs="Arial"/>
        </w:rPr>
      </w:pPr>
    </w:p>
    <w:p w14:paraId="4D050CD7" w14:textId="77777777" w:rsidR="002E183A" w:rsidRPr="005B50D5" w:rsidRDefault="002E183A" w:rsidP="002760AB">
      <w:pPr>
        <w:pStyle w:val="Sinespaciado"/>
        <w:spacing w:line="312" w:lineRule="auto"/>
        <w:rPr>
          <w:rFonts w:ascii="Arial" w:hAnsi="Arial" w:cs="Arial"/>
        </w:rPr>
      </w:pPr>
    </w:p>
    <w:p w14:paraId="55CA749D" w14:textId="77777777" w:rsidR="002E183A" w:rsidRPr="005B50D5" w:rsidRDefault="002E183A" w:rsidP="002760AB">
      <w:pPr>
        <w:pStyle w:val="Sinespaciado"/>
        <w:spacing w:line="312" w:lineRule="auto"/>
        <w:rPr>
          <w:rFonts w:ascii="Arial" w:hAnsi="Arial" w:cs="Arial"/>
          <w:b/>
        </w:rPr>
      </w:pPr>
      <w:r w:rsidRPr="005B50D5">
        <w:rPr>
          <w:rFonts w:ascii="Arial" w:hAnsi="Arial" w:cs="Arial"/>
          <w:b/>
        </w:rPr>
        <w:t>GUSTAVO ALBERTO HERRERA AVILA</w:t>
      </w:r>
    </w:p>
    <w:p w14:paraId="52E88313" w14:textId="77777777" w:rsidR="002E183A" w:rsidRPr="005B50D5" w:rsidRDefault="002E183A" w:rsidP="002760AB">
      <w:pPr>
        <w:pStyle w:val="Sinespaciado"/>
        <w:spacing w:line="312" w:lineRule="auto"/>
        <w:rPr>
          <w:rFonts w:ascii="Arial" w:hAnsi="Arial" w:cs="Arial"/>
        </w:rPr>
      </w:pPr>
      <w:r w:rsidRPr="005B50D5">
        <w:rPr>
          <w:rFonts w:ascii="Arial" w:hAnsi="Arial" w:cs="Arial"/>
        </w:rPr>
        <w:t>C.C No. 19.395.114 de Bogotá D.C</w:t>
      </w:r>
    </w:p>
    <w:bookmarkEnd w:id="2"/>
    <w:p w14:paraId="617108F4" w14:textId="3B69D016" w:rsidR="00194DAC" w:rsidRPr="005B50D5" w:rsidRDefault="002E183A" w:rsidP="002760AB">
      <w:pPr>
        <w:pStyle w:val="Sinespaciado"/>
        <w:spacing w:line="312" w:lineRule="auto"/>
        <w:ind w:left="0" w:firstLine="0"/>
      </w:pPr>
      <w:r w:rsidRPr="005B50D5">
        <w:rPr>
          <w:rFonts w:ascii="Arial" w:hAnsi="Arial" w:cs="Arial"/>
        </w:rPr>
        <w:t>T.P. No. 39.116 del C.S. de la J.</w:t>
      </w:r>
    </w:p>
    <w:sectPr w:rsidR="00194DAC" w:rsidRPr="005B50D5" w:rsidSect="00197955">
      <w:headerReference w:type="default" r:id="rId14"/>
      <w:footerReference w:type="default" r:id="rId15"/>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5447" w14:textId="77777777" w:rsidR="00396B21" w:rsidRDefault="00396B21" w:rsidP="0025591F">
      <w:r>
        <w:separator/>
      </w:r>
    </w:p>
  </w:endnote>
  <w:endnote w:type="continuationSeparator" w:id="0">
    <w:p w14:paraId="12D8AD82" w14:textId="77777777" w:rsidR="00396B21" w:rsidRDefault="00396B2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C1F7" w14:textId="4C5C1906" w:rsidR="00416F84" w:rsidRDefault="004330D4" w:rsidP="003A353D">
    <w:pPr>
      <w:rPr>
        <w:color w:val="222A35" w:themeColor="text2" w:themeShade="80"/>
      </w:rPr>
    </w:pPr>
    <w:r>
      <w:rPr>
        <w:noProof/>
        <w:color w:val="222A35" w:themeColor="text2" w:themeShade="80"/>
      </w:rPr>
      <w:drawing>
        <wp:anchor distT="0" distB="0" distL="114300" distR="114300" simplePos="0" relativeHeight="251668480" behindDoc="1" locked="0" layoutInCell="1" allowOverlap="1" wp14:anchorId="40A8BB87" wp14:editId="17C1E7FC">
          <wp:simplePos x="0" y="0"/>
          <wp:positionH relativeFrom="column">
            <wp:posOffset>4467860</wp:posOffset>
          </wp:positionH>
          <wp:positionV relativeFrom="margin">
            <wp:posOffset>7063740</wp:posOffset>
          </wp:positionV>
          <wp:extent cx="1466850" cy="905510"/>
          <wp:effectExtent l="0" t="0" r="0" b="8890"/>
          <wp:wrapNone/>
          <wp:docPr id="2123232831" name="Imagen 212323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6BE44A7E" wp14:editId="5FF3222F">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1DF9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E0C4B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44A7E"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5A1DF9D"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4E0C4B39"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2327D7F5" wp14:editId="4A9485B4">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A3C95">
      <w:rPr>
        <w:noProof/>
      </w:rPr>
      <mc:AlternateContent>
        <mc:Choice Requires="wps">
          <w:drawing>
            <wp:anchor distT="0" distB="0" distL="114300" distR="114300" simplePos="0" relativeHeight="251666432" behindDoc="1" locked="0" layoutInCell="1" allowOverlap="1" wp14:anchorId="5FCAB954" wp14:editId="198F7193">
              <wp:simplePos x="0" y="0"/>
              <wp:positionH relativeFrom="margin">
                <wp:posOffset>1673860</wp:posOffset>
              </wp:positionH>
              <wp:positionV relativeFrom="page">
                <wp:posOffset>8534400</wp:posOffset>
              </wp:positionV>
              <wp:extent cx="2727325" cy="904875"/>
              <wp:effectExtent l="0" t="0" r="0" b="0"/>
              <wp:wrapNone/>
              <wp:docPr id="898489722" name="Rectángulo 898489722"/>
              <wp:cNvGraphicFramePr/>
              <a:graphic xmlns:a="http://schemas.openxmlformats.org/drawingml/2006/main">
                <a:graphicData uri="http://schemas.microsoft.com/office/word/2010/wordprocessingShape">
                  <wps:wsp>
                    <wps:cNvSpPr/>
                    <wps:spPr>
                      <a:xfrm>
                        <a:off x="0" y="0"/>
                        <a:ext cx="2727325" cy="904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6A8D8" w14:textId="77777777" w:rsidR="00BA3C95" w:rsidRPr="004A356B" w:rsidRDefault="00BA3C95" w:rsidP="00BA3C95">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F83BE4" w14:textId="77777777" w:rsidR="00BA3C95" w:rsidRPr="004A356B" w:rsidRDefault="00BA3C95" w:rsidP="00BA3C95">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AB954" id="Rectángulo 898489722" o:spid="_x0000_s1027" style="position:absolute;margin-left:131.8pt;margin-top:672pt;width:214.75pt;height:71.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OrdQIAAEgFAAAOAAAAZHJzL2Uyb0RvYy54bWysVN9P2zAQfp+0/8Hy+0jatStUpKgCMU1C&#10;gAYTz65jk0iOzzu7Tbq/fmcnTRmgPUzLg2Pfj+/uPt/5/KJrDNsp9DXYgk9Ocs6UlVDW9rngPx6v&#10;P51y5oOwpTBgVcH3yvOL1ccP561bqilUYEqFjECsX7au4FUIbpllXlaqEf4EnLKk1ICNCHTE56xE&#10;0RJ6Y7Jpnn/JWsDSIUjlPUmveiVfJXytlQx3WnsVmCk45RbSimndxDVbnYvlMwpX1XJIQ/xDFo2o&#10;LQUdoa5EEGyL9RuoppYIHnQ4kdBkoHUtVaqBqpnkr6p5qIRTqRYix7uRJv//YOXt7sHdI9HQOr/0&#10;tI1VdBqb+Kf8WJfI2o9kqS4wScLpYrr4PJ1zJkl3ls9OF/PIZnb0dujDVwUNi5uCI11G4kjsbnzo&#10;TQ8mMZiF69qYdCHG/iEgzCjJjimmXdgbFe2M/a40q8uYVAqQukddGmQ7QfcupFQ2THpVJUrVi+c5&#10;fUPKo0cqIAFGZE0JjdgDQOzMt9h9OYN9dFWp+Ubn/G+J9c6jR4oMNozOTW0B3wMwVNUQubc/kNRT&#10;E1kK3aYjbmg2o2WUbKDc3yND6IfBO3ld0wXdCB/uBVL305zQRIc7WrSBtuAw7DirAH+9J4/21JSk&#10;5aylaSq4/7kVqDgz3yy169lkNovjlw6z+WJKB3yp2bzU2G1zCXRxE3o7nEzbaB/MYasRmica/HWM&#10;SiphJcUuuAx4OFyGfsrp6ZBqvU5mNHJOhBv74GQEjzzHBnzsngS6oUsD9fctHCZPLF81a28bPS2s&#10;twF0nTr5yOtwAzSuqZWGpyW+By/Pyer4AK5+AwAA//8DAFBLAwQUAAYACAAAACEAiemG0OAAAAAN&#10;AQAADwAAAGRycy9kb3ducmV2LnhtbEyPzU7DMBCE70i8g7VI3KjTJlghxKkACSHUA6LA3bHdJCJe&#10;R7Hz07dnOcFxZz7NzpT71fVstmPoPErYbhJgFrU3HTYSPj+eb3JgISo0qvdoJZxtgH11eVGqwvgF&#10;3+18jA2jEAyFktDGOBScB91ap8LGDxbJO/nRqUjn2HAzqoXCXc93SSK4Ux3Sh1YN9qm1+vs4OQlf&#10;/vS4OF3j63x+66aXw6h1fpDy+mp9uAcW7Rr/YPitT9Whok61n9AE1kvYiVQQSkaaZbSKEHGXboHV&#10;JGW5uAVelfz/iuoHAAD//wMAUEsBAi0AFAAGAAgAAAAhALaDOJL+AAAA4QEAABMAAAAAAAAAAAAA&#10;AAAAAAAAAFtDb250ZW50X1R5cGVzXS54bWxQSwECLQAUAAYACAAAACEAOP0h/9YAAACUAQAACwAA&#10;AAAAAAAAAAAAAAAvAQAAX3JlbHMvLnJlbHNQSwECLQAUAAYACAAAACEA8CTzq3UCAABIBQAADgAA&#10;AAAAAAAAAAAAAAAuAgAAZHJzL2Uyb0RvYy54bWxQSwECLQAUAAYACAAAACEAiemG0OAAAAANAQAA&#10;DwAAAAAAAAAAAAAAAADPBAAAZHJzL2Rvd25yZXYueG1sUEsFBgAAAAAEAAQA8wAAANwFAAAAAA==&#10;" filled="f" stroked="f" strokeweight="1pt">
              <v:textbox>
                <w:txbxContent>
                  <w:p w14:paraId="5936A8D8" w14:textId="77777777" w:rsidR="00BA3C95" w:rsidRPr="004A356B" w:rsidRDefault="00BA3C95" w:rsidP="00BA3C95">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F83BE4" w14:textId="77777777" w:rsidR="00BA3C95" w:rsidRPr="004A356B" w:rsidRDefault="00BA3C95" w:rsidP="00BA3C95">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2E183A">
      <w:rPr>
        <w:noProof/>
        <w:color w:val="222A35" w:themeColor="text2" w:themeShade="80"/>
      </w:rPr>
      <w:drawing>
        <wp:anchor distT="0" distB="0" distL="114300" distR="114300" simplePos="0" relativeHeight="251660288" behindDoc="1" locked="0" layoutInCell="1" allowOverlap="1" wp14:anchorId="061EED5F" wp14:editId="707A8291">
          <wp:simplePos x="0" y="0"/>
          <wp:positionH relativeFrom="column">
            <wp:posOffset>4463415</wp:posOffset>
          </wp:positionH>
          <wp:positionV relativeFrom="margin">
            <wp:posOffset>9941560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0F21B" w14:textId="674464F0" w:rsidR="00416F84" w:rsidRDefault="002E183A"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EDA30F8" wp14:editId="6263C800">
              <wp:simplePos x="0" y="0"/>
              <wp:positionH relativeFrom="page">
                <wp:posOffset>113665</wp:posOffset>
              </wp:positionH>
              <wp:positionV relativeFrom="bottomMargin">
                <wp:posOffset>1221740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ED41B8" w14:textId="0E014947" w:rsidR="00416F84" w:rsidRPr="004A356B" w:rsidRDefault="004330D4"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A30F8" id="Rectángulo 5" o:spid="_x0000_s1028" style="position:absolute;margin-left:8.95pt;margin-top:96.2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y0FuN8AAAAK&#10;AQAADwAAAGRycy9kb3ducmV2LnhtbEyPy07DMBBF90j8gzVI7KhDlEKTxqkACSHUBaLA3rHdJGo8&#10;jmzn0b9nuoLV6GqO7pwpd4vt2WR86BwKuF8lwAwqpztsBHx/vd5tgIUoUcveoRFwNgF21fVVKQvt&#10;Zvw00yE2jEowFFJAG+NQcB5Ua6wMKzcYpN3ReSsjRd9w7eVM5bbnaZI8cCs7pAutHMxLa9TpMFoB&#10;P+74PFtV4/t0/ujGt71XarMX4vZmedoCi2aJfzBc9EkdKnKq3Yg6sJ7yY04kzTzNgF2ALF8DqwWk&#10;6ywHXpX8/wvVLwAAAP//AwBQSwECLQAUAAYACAAAACEAtoM4kv4AAADhAQAAEwAAAAAAAAAAAAAA&#10;AAAAAAAAW0NvbnRlbnRfVHlwZXNdLnhtbFBLAQItABQABgAIAAAAIQA4/SH/1gAAAJQBAAALAAAA&#10;AAAAAAAAAAAAAC8BAABfcmVscy8ucmVsc1BLAQItABQABgAIAAAAIQAKOerzdQIAAEcFAAAOAAAA&#10;AAAAAAAAAAAAAC4CAABkcnMvZTJvRG9jLnhtbFBLAQItABQABgAIAAAAIQD7LQW43wAAAAoBAAAP&#10;AAAAAAAAAAAAAAAAAM8EAABkcnMvZG93bnJldi54bWxQSwUGAAAAAAQABADzAAAA2wUAAAAA&#10;" filled="f" stroked="f" strokeweight="1pt">
              <v:textbox>
                <w:txbxContent>
                  <w:p w14:paraId="6EED41B8" w14:textId="0E014947" w:rsidR="00416F84" w:rsidRPr="004A356B" w:rsidRDefault="004330D4"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VJRA</w:t>
                    </w:r>
                  </w:p>
                </w:txbxContent>
              </v:textbox>
              <w10:wrap anchorx="page" anchory="margin"/>
            </v:rect>
          </w:pict>
        </mc:Fallback>
      </mc:AlternateContent>
    </w:r>
  </w:p>
  <w:p w14:paraId="42B055DD" w14:textId="352E694F" w:rsidR="002B5E76" w:rsidRDefault="00E23DED" w:rsidP="00A11387">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FE413" w14:textId="77777777" w:rsidR="00396B21" w:rsidRDefault="00396B21" w:rsidP="0025591F">
      <w:r>
        <w:separator/>
      </w:r>
    </w:p>
  </w:footnote>
  <w:footnote w:type="continuationSeparator" w:id="0">
    <w:p w14:paraId="54F21CE8" w14:textId="77777777" w:rsidR="00396B21" w:rsidRDefault="00396B21" w:rsidP="0025591F">
      <w:r>
        <w:continuationSeparator/>
      </w:r>
    </w:p>
  </w:footnote>
  <w:footnote w:id="1">
    <w:p w14:paraId="3A30406B" w14:textId="75D53F99" w:rsidR="00DC3809" w:rsidRDefault="00DC3809" w:rsidP="00DC3809">
      <w:pPr>
        <w:pStyle w:val="Textonotapie"/>
      </w:pPr>
      <w:r>
        <w:rPr>
          <w:rStyle w:val="Refdenotaalpie"/>
        </w:rPr>
        <w:footnoteRef/>
      </w:r>
      <w:r>
        <w:t xml:space="preserve"> Auto del 23 de enero de 2003, </w:t>
      </w:r>
      <w:proofErr w:type="spellStart"/>
      <w:r>
        <w:t>exp</w:t>
      </w:r>
      <w:proofErr w:type="spellEnd"/>
      <w:r>
        <w:t xml:space="preserve">. 22.901, C.P. María Elena Giraldo; auto del 13 de mayo de 2004, </w:t>
      </w:r>
      <w:proofErr w:type="spellStart"/>
      <w:r>
        <w:t>exp</w:t>
      </w:r>
      <w:proofErr w:type="spellEnd"/>
      <w:r>
        <w:t xml:space="preserve">. 15.321, C.P. Ricardo Hoyos Duque; auto del 26 de mayo de 2005, </w:t>
      </w:r>
      <w:proofErr w:type="spellStart"/>
      <w:r>
        <w:t>exp</w:t>
      </w:r>
      <w:proofErr w:type="spellEnd"/>
      <w:r>
        <w:t>. 25.341, C.P. Ruth Stella Correa Palacio.</w:t>
      </w:r>
    </w:p>
  </w:footnote>
  <w:footnote w:id="2">
    <w:p w14:paraId="30FE8E69" w14:textId="4D47E3E6" w:rsidR="00C71CAE" w:rsidRDefault="00C71CAE">
      <w:pPr>
        <w:pStyle w:val="Textonotapie"/>
      </w:pPr>
      <w:r>
        <w:rPr>
          <w:rStyle w:val="Refdenotaalpie"/>
        </w:rPr>
        <w:footnoteRef/>
      </w:r>
      <w:r>
        <w:t xml:space="preserve"> Este documento reposa en el plenario desde el 20 de junio de 2024, cuando se allegó por el suscrito mediante memorial de la fecha</w:t>
      </w:r>
    </w:p>
  </w:footnote>
  <w:footnote w:id="3">
    <w:p w14:paraId="3901237D" w14:textId="094CFC68" w:rsidR="00A67F95" w:rsidRDefault="00A67F95">
      <w:pPr>
        <w:pStyle w:val="Textonotapie"/>
      </w:pPr>
      <w:r>
        <w:rPr>
          <w:rStyle w:val="Refdenotaalpie"/>
        </w:rPr>
        <w:footnoteRef/>
      </w:r>
      <w:r>
        <w:t xml:space="preserve"> Consejo de Estado, Sección Tercera, Subsección B, 12 de marzo de 2021, </w:t>
      </w:r>
      <w:r w:rsidRPr="00A67F95">
        <w:t>Radicación número: 64119</w:t>
      </w:r>
    </w:p>
  </w:footnote>
  <w:footnote w:id="4">
    <w:p w14:paraId="63E7979D" w14:textId="6AD9CCF3" w:rsidR="00E15379" w:rsidRDefault="00E15379">
      <w:pPr>
        <w:pStyle w:val="Textonotapie"/>
      </w:pPr>
      <w:r>
        <w:rPr>
          <w:rStyle w:val="Refdenotaalpie"/>
        </w:rPr>
        <w:footnoteRef/>
      </w:r>
      <w:r>
        <w:t xml:space="preserve"> Consejo de Estado, Sección Tercera, Subsección B, 10 de mayo de 2018, </w:t>
      </w:r>
      <w:r w:rsidRPr="00A67F95">
        <w:t xml:space="preserve">Radicación número: </w:t>
      </w:r>
      <w:r w:rsidRPr="00E15379">
        <w:t>3968</w:t>
      </w:r>
      <w:r>
        <w:t>9</w:t>
      </w:r>
    </w:p>
  </w:footnote>
  <w:footnote w:id="5">
    <w:p w14:paraId="14B929AD" w14:textId="08CBC780" w:rsidR="00D906AC" w:rsidRDefault="00D906AC">
      <w:pPr>
        <w:pStyle w:val="Textonotapie"/>
      </w:pPr>
      <w:r>
        <w:rPr>
          <w:rStyle w:val="Refdenotaalpie"/>
        </w:rPr>
        <w:footnoteRef/>
      </w:r>
      <w:r>
        <w:t xml:space="preserve"> Artículo 61, Ley 1564 de 2012 Código General del Proceso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0B6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629F9DBE" wp14:editId="207366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42D"/>
    <w:multiLevelType w:val="hybridMultilevel"/>
    <w:tmpl w:val="368630D6"/>
    <w:lvl w:ilvl="0" w:tplc="EF56735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4856901">
    <w:abstractNumId w:val="1"/>
  </w:num>
  <w:num w:numId="2" w16cid:durableId="154856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3A"/>
    <w:rsid w:val="000004CB"/>
    <w:rsid w:val="00001009"/>
    <w:rsid w:val="00021B07"/>
    <w:rsid w:val="0003111F"/>
    <w:rsid w:val="00034328"/>
    <w:rsid w:val="000431F3"/>
    <w:rsid w:val="0005719D"/>
    <w:rsid w:val="00075EDF"/>
    <w:rsid w:val="000B253A"/>
    <w:rsid w:val="000C1A16"/>
    <w:rsid w:val="000C2815"/>
    <w:rsid w:val="000D28E9"/>
    <w:rsid w:val="000E072D"/>
    <w:rsid w:val="000E399F"/>
    <w:rsid w:val="000E5BC1"/>
    <w:rsid w:val="000E694A"/>
    <w:rsid w:val="00120F29"/>
    <w:rsid w:val="0013093B"/>
    <w:rsid w:val="00133554"/>
    <w:rsid w:val="00146BAA"/>
    <w:rsid w:val="00153ADA"/>
    <w:rsid w:val="001841B9"/>
    <w:rsid w:val="00190CF3"/>
    <w:rsid w:val="001925A0"/>
    <w:rsid w:val="00194DAC"/>
    <w:rsid w:val="001951E9"/>
    <w:rsid w:val="001953F8"/>
    <w:rsid w:val="00197955"/>
    <w:rsid w:val="001B0C1B"/>
    <w:rsid w:val="001B5C7D"/>
    <w:rsid w:val="001B6EB7"/>
    <w:rsid w:val="001C129B"/>
    <w:rsid w:val="001F257D"/>
    <w:rsid w:val="001F5C98"/>
    <w:rsid w:val="002017B5"/>
    <w:rsid w:val="00210E63"/>
    <w:rsid w:val="002117E1"/>
    <w:rsid w:val="00222738"/>
    <w:rsid w:val="002322A5"/>
    <w:rsid w:val="00234F3F"/>
    <w:rsid w:val="002359C4"/>
    <w:rsid w:val="00236A78"/>
    <w:rsid w:val="00244A90"/>
    <w:rsid w:val="002479B2"/>
    <w:rsid w:val="00250434"/>
    <w:rsid w:val="00254E27"/>
    <w:rsid w:val="0025591F"/>
    <w:rsid w:val="00256A54"/>
    <w:rsid w:val="00267DDC"/>
    <w:rsid w:val="00271607"/>
    <w:rsid w:val="002760AB"/>
    <w:rsid w:val="002800E6"/>
    <w:rsid w:val="0028079D"/>
    <w:rsid w:val="00281D90"/>
    <w:rsid w:val="00283A86"/>
    <w:rsid w:val="00290AEE"/>
    <w:rsid w:val="002919A8"/>
    <w:rsid w:val="0029460F"/>
    <w:rsid w:val="00297008"/>
    <w:rsid w:val="002A25C0"/>
    <w:rsid w:val="002B112E"/>
    <w:rsid w:val="002B3D59"/>
    <w:rsid w:val="002B5624"/>
    <w:rsid w:val="002B5E76"/>
    <w:rsid w:val="002B6287"/>
    <w:rsid w:val="002C54C8"/>
    <w:rsid w:val="002E183A"/>
    <w:rsid w:val="00320499"/>
    <w:rsid w:val="0037287C"/>
    <w:rsid w:val="0037483B"/>
    <w:rsid w:val="00375AFE"/>
    <w:rsid w:val="00382A36"/>
    <w:rsid w:val="00383206"/>
    <w:rsid w:val="003846C3"/>
    <w:rsid w:val="0039019A"/>
    <w:rsid w:val="003956C3"/>
    <w:rsid w:val="00396B21"/>
    <w:rsid w:val="003A353D"/>
    <w:rsid w:val="003B197E"/>
    <w:rsid w:val="003C4B91"/>
    <w:rsid w:val="003C5BCE"/>
    <w:rsid w:val="003C6FA1"/>
    <w:rsid w:val="003E0924"/>
    <w:rsid w:val="003E2A28"/>
    <w:rsid w:val="003F1705"/>
    <w:rsid w:val="003F26B0"/>
    <w:rsid w:val="003F6170"/>
    <w:rsid w:val="00415A29"/>
    <w:rsid w:val="00416F84"/>
    <w:rsid w:val="0042497F"/>
    <w:rsid w:val="004328EC"/>
    <w:rsid w:val="004330D4"/>
    <w:rsid w:val="00433B9C"/>
    <w:rsid w:val="0044512C"/>
    <w:rsid w:val="00451A24"/>
    <w:rsid w:val="0046559B"/>
    <w:rsid w:val="00470810"/>
    <w:rsid w:val="004826FD"/>
    <w:rsid w:val="00491331"/>
    <w:rsid w:val="004A356B"/>
    <w:rsid w:val="004A5050"/>
    <w:rsid w:val="004C01CE"/>
    <w:rsid w:val="004C6958"/>
    <w:rsid w:val="004D233A"/>
    <w:rsid w:val="004E0D17"/>
    <w:rsid w:val="004E571F"/>
    <w:rsid w:val="00505BFB"/>
    <w:rsid w:val="00505F3C"/>
    <w:rsid w:val="005060A5"/>
    <w:rsid w:val="00521A85"/>
    <w:rsid w:val="0052482A"/>
    <w:rsid w:val="00543F6F"/>
    <w:rsid w:val="0054547B"/>
    <w:rsid w:val="00555A8E"/>
    <w:rsid w:val="00560548"/>
    <w:rsid w:val="00561B3B"/>
    <w:rsid w:val="005955D8"/>
    <w:rsid w:val="005A066A"/>
    <w:rsid w:val="005A3F2C"/>
    <w:rsid w:val="005A7165"/>
    <w:rsid w:val="005A785F"/>
    <w:rsid w:val="005B3600"/>
    <w:rsid w:val="005B505C"/>
    <w:rsid w:val="005B50D5"/>
    <w:rsid w:val="005B523D"/>
    <w:rsid w:val="005D2722"/>
    <w:rsid w:val="005D3412"/>
    <w:rsid w:val="005D7117"/>
    <w:rsid w:val="005F02DC"/>
    <w:rsid w:val="005F2BA3"/>
    <w:rsid w:val="005F51E0"/>
    <w:rsid w:val="00602BED"/>
    <w:rsid w:val="00605A9E"/>
    <w:rsid w:val="00607A51"/>
    <w:rsid w:val="0061770A"/>
    <w:rsid w:val="00622C9B"/>
    <w:rsid w:val="0062454D"/>
    <w:rsid w:val="00632FDE"/>
    <w:rsid w:val="00637020"/>
    <w:rsid w:val="00644ECA"/>
    <w:rsid w:val="006518DB"/>
    <w:rsid w:val="00663D17"/>
    <w:rsid w:val="006652B3"/>
    <w:rsid w:val="00665717"/>
    <w:rsid w:val="00672770"/>
    <w:rsid w:val="00692D0A"/>
    <w:rsid w:val="006952F0"/>
    <w:rsid w:val="006A1113"/>
    <w:rsid w:val="006A2211"/>
    <w:rsid w:val="006C484F"/>
    <w:rsid w:val="006C703F"/>
    <w:rsid w:val="006D7407"/>
    <w:rsid w:val="006E4CB0"/>
    <w:rsid w:val="006F1810"/>
    <w:rsid w:val="006F3F7B"/>
    <w:rsid w:val="006F5D40"/>
    <w:rsid w:val="00712402"/>
    <w:rsid w:val="007146BB"/>
    <w:rsid w:val="0072699D"/>
    <w:rsid w:val="00733C04"/>
    <w:rsid w:val="00733DC0"/>
    <w:rsid w:val="00736378"/>
    <w:rsid w:val="00751D76"/>
    <w:rsid w:val="007632C6"/>
    <w:rsid w:val="00767DC8"/>
    <w:rsid w:val="00776C59"/>
    <w:rsid w:val="00777938"/>
    <w:rsid w:val="00793C8E"/>
    <w:rsid w:val="00795A2D"/>
    <w:rsid w:val="007A4653"/>
    <w:rsid w:val="007C0353"/>
    <w:rsid w:val="007C0997"/>
    <w:rsid w:val="007C1A65"/>
    <w:rsid w:val="007D2C5D"/>
    <w:rsid w:val="007D5D38"/>
    <w:rsid w:val="007E1AEF"/>
    <w:rsid w:val="007E4A8E"/>
    <w:rsid w:val="007F35F7"/>
    <w:rsid w:val="007F632D"/>
    <w:rsid w:val="007F6A39"/>
    <w:rsid w:val="00810AF2"/>
    <w:rsid w:val="0081375A"/>
    <w:rsid w:val="008147D9"/>
    <w:rsid w:val="0082347C"/>
    <w:rsid w:val="00825D93"/>
    <w:rsid w:val="00826E14"/>
    <w:rsid w:val="00831D8E"/>
    <w:rsid w:val="00833F60"/>
    <w:rsid w:val="00840430"/>
    <w:rsid w:val="008430F9"/>
    <w:rsid w:val="008606AA"/>
    <w:rsid w:val="0086377B"/>
    <w:rsid w:val="00864EFD"/>
    <w:rsid w:val="008739BB"/>
    <w:rsid w:val="00875F65"/>
    <w:rsid w:val="008830A7"/>
    <w:rsid w:val="00883FD7"/>
    <w:rsid w:val="0089045F"/>
    <w:rsid w:val="008A3EE5"/>
    <w:rsid w:val="008C02E5"/>
    <w:rsid w:val="008E414D"/>
    <w:rsid w:val="008E4E08"/>
    <w:rsid w:val="008E7A08"/>
    <w:rsid w:val="008F1E2F"/>
    <w:rsid w:val="008F52D4"/>
    <w:rsid w:val="008F5707"/>
    <w:rsid w:val="0092063B"/>
    <w:rsid w:val="00935CF8"/>
    <w:rsid w:val="00943E2A"/>
    <w:rsid w:val="009443A3"/>
    <w:rsid w:val="00953035"/>
    <w:rsid w:val="0096520F"/>
    <w:rsid w:val="0099300E"/>
    <w:rsid w:val="00994856"/>
    <w:rsid w:val="009949DE"/>
    <w:rsid w:val="00997BE1"/>
    <w:rsid w:val="00997C0E"/>
    <w:rsid w:val="009A2939"/>
    <w:rsid w:val="009B60B9"/>
    <w:rsid w:val="009D006E"/>
    <w:rsid w:val="009D242E"/>
    <w:rsid w:val="00A11387"/>
    <w:rsid w:val="00A1438F"/>
    <w:rsid w:val="00A1570A"/>
    <w:rsid w:val="00A2671B"/>
    <w:rsid w:val="00A377D0"/>
    <w:rsid w:val="00A42256"/>
    <w:rsid w:val="00A5013C"/>
    <w:rsid w:val="00A6133C"/>
    <w:rsid w:val="00A67F95"/>
    <w:rsid w:val="00A719B2"/>
    <w:rsid w:val="00A83EF2"/>
    <w:rsid w:val="00A877E6"/>
    <w:rsid w:val="00AA1B60"/>
    <w:rsid w:val="00AA57A3"/>
    <w:rsid w:val="00AB0F4D"/>
    <w:rsid w:val="00AB2F59"/>
    <w:rsid w:val="00AB3750"/>
    <w:rsid w:val="00AB3A2C"/>
    <w:rsid w:val="00AB68D3"/>
    <w:rsid w:val="00AB76CB"/>
    <w:rsid w:val="00AC13B5"/>
    <w:rsid w:val="00AC689D"/>
    <w:rsid w:val="00AD03AA"/>
    <w:rsid w:val="00B029A9"/>
    <w:rsid w:val="00B146EA"/>
    <w:rsid w:val="00B20189"/>
    <w:rsid w:val="00B22C7D"/>
    <w:rsid w:val="00B2355B"/>
    <w:rsid w:val="00B37FA1"/>
    <w:rsid w:val="00B54A9C"/>
    <w:rsid w:val="00B54DCC"/>
    <w:rsid w:val="00B55EF8"/>
    <w:rsid w:val="00B60BF3"/>
    <w:rsid w:val="00B8356C"/>
    <w:rsid w:val="00B85500"/>
    <w:rsid w:val="00B94E94"/>
    <w:rsid w:val="00BA33E1"/>
    <w:rsid w:val="00BA3A24"/>
    <w:rsid w:val="00BA3C95"/>
    <w:rsid w:val="00BB0A5E"/>
    <w:rsid w:val="00BB10FA"/>
    <w:rsid w:val="00BB67CA"/>
    <w:rsid w:val="00BB7105"/>
    <w:rsid w:val="00BC265D"/>
    <w:rsid w:val="00BC5D4D"/>
    <w:rsid w:val="00BC7C10"/>
    <w:rsid w:val="00BD42EB"/>
    <w:rsid w:val="00BE6214"/>
    <w:rsid w:val="00BF14AB"/>
    <w:rsid w:val="00BF1A90"/>
    <w:rsid w:val="00BF2B3C"/>
    <w:rsid w:val="00C03EA8"/>
    <w:rsid w:val="00C06F4E"/>
    <w:rsid w:val="00C07172"/>
    <w:rsid w:val="00C21384"/>
    <w:rsid w:val="00C249BD"/>
    <w:rsid w:val="00C24DCF"/>
    <w:rsid w:val="00C27329"/>
    <w:rsid w:val="00C4238C"/>
    <w:rsid w:val="00C44D7C"/>
    <w:rsid w:val="00C53500"/>
    <w:rsid w:val="00C55348"/>
    <w:rsid w:val="00C57889"/>
    <w:rsid w:val="00C659A5"/>
    <w:rsid w:val="00C70B44"/>
    <w:rsid w:val="00C70FF5"/>
    <w:rsid w:val="00C71CAE"/>
    <w:rsid w:val="00C71FC7"/>
    <w:rsid w:val="00C749AF"/>
    <w:rsid w:val="00C84D77"/>
    <w:rsid w:val="00C87532"/>
    <w:rsid w:val="00CB225C"/>
    <w:rsid w:val="00CB5C30"/>
    <w:rsid w:val="00CB78B4"/>
    <w:rsid w:val="00CE380C"/>
    <w:rsid w:val="00CF1B67"/>
    <w:rsid w:val="00CF53AD"/>
    <w:rsid w:val="00D051FF"/>
    <w:rsid w:val="00D11D93"/>
    <w:rsid w:val="00D11F35"/>
    <w:rsid w:val="00D1780A"/>
    <w:rsid w:val="00D2315F"/>
    <w:rsid w:val="00D23A48"/>
    <w:rsid w:val="00D267E0"/>
    <w:rsid w:val="00D3210A"/>
    <w:rsid w:val="00D3211E"/>
    <w:rsid w:val="00D4715F"/>
    <w:rsid w:val="00D4732C"/>
    <w:rsid w:val="00D53D6B"/>
    <w:rsid w:val="00D70442"/>
    <w:rsid w:val="00D70A9A"/>
    <w:rsid w:val="00D769DD"/>
    <w:rsid w:val="00D906AC"/>
    <w:rsid w:val="00DA103A"/>
    <w:rsid w:val="00DA1834"/>
    <w:rsid w:val="00DA1889"/>
    <w:rsid w:val="00DA7B66"/>
    <w:rsid w:val="00DB0118"/>
    <w:rsid w:val="00DB5317"/>
    <w:rsid w:val="00DC03B5"/>
    <w:rsid w:val="00DC3189"/>
    <w:rsid w:val="00DC3809"/>
    <w:rsid w:val="00DD3AF2"/>
    <w:rsid w:val="00DE0ECA"/>
    <w:rsid w:val="00DF19DE"/>
    <w:rsid w:val="00DF6718"/>
    <w:rsid w:val="00E04679"/>
    <w:rsid w:val="00E12D07"/>
    <w:rsid w:val="00E15379"/>
    <w:rsid w:val="00E232E3"/>
    <w:rsid w:val="00E23DED"/>
    <w:rsid w:val="00E27769"/>
    <w:rsid w:val="00E43BA7"/>
    <w:rsid w:val="00E44F0C"/>
    <w:rsid w:val="00E52BEE"/>
    <w:rsid w:val="00E62A41"/>
    <w:rsid w:val="00E63CC0"/>
    <w:rsid w:val="00E64C90"/>
    <w:rsid w:val="00E65026"/>
    <w:rsid w:val="00E75AF6"/>
    <w:rsid w:val="00E83243"/>
    <w:rsid w:val="00E91F33"/>
    <w:rsid w:val="00E93A6B"/>
    <w:rsid w:val="00E96303"/>
    <w:rsid w:val="00EA39A7"/>
    <w:rsid w:val="00EB06B6"/>
    <w:rsid w:val="00EB5F5F"/>
    <w:rsid w:val="00EB79C2"/>
    <w:rsid w:val="00EC434B"/>
    <w:rsid w:val="00EC5B4F"/>
    <w:rsid w:val="00EC7996"/>
    <w:rsid w:val="00EE1221"/>
    <w:rsid w:val="00EE40E3"/>
    <w:rsid w:val="00EF379C"/>
    <w:rsid w:val="00EF669B"/>
    <w:rsid w:val="00F06F0F"/>
    <w:rsid w:val="00F10436"/>
    <w:rsid w:val="00F218E2"/>
    <w:rsid w:val="00F21C12"/>
    <w:rsid w:val="00F23C95"/>
    <w:rsid w:val="00F26BB8"/>
    <w:rsid w:val="00F30F07"/>
    <w:rsid w:val="00F32DF6"/>
    <w:rsid w:val="00F459A9"/>
    <w:rsid w:val="00F64396"/>
    <w:rsid w:val="00F67D4E"/>
    <w:rsid w:val="00F70D49"/>
    <w:rsid w:val="00F73511"/>
    <w:rsid w:val="00F75401"/>
    <w:rsid w:val="00F819B4"/>
    <w:rsid w:val="00F86508"/>
    <w:rsid w:val="00F95354"/>
    <w:rsid w:val="00F9653C"/>
    <w:rsid w:val="00FA4FFB"/>
    <w:rsid w:val="00FB224C"/>
    <w:rsid w:val="00FB3804"/>
    <w:rsid w:val="00FB6416"/>
    <w:rsid w:val="00FC0F31"/>
    <w:rsid w:val="00FC4848"/>
    <w:rsid w:val="00FC6441"/>
    <w:rsid w:val="00FD4EB0"/>
    <w:rsid w:val="00FE10B5"/>
    <w:rsid w:val="00FE5E2E"/>
    <w:rsid w:val="00FE6A5C"/>
    <w:rsid w:val="00FF3BCA"/>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A4033"/>
  <w15:chartTrackingRefBased/>
  <w15:docId w15:val="{3B002C2F-B58A-43C1-9DE4-58B536D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3A"/>
    <w:pPr>
      <w:spacing w:after="200" w:line="276" w:lineRule="auto"/>
    </w:pPr>
  </w:style>
  <w:style w:type="paragraph" w:styleId="Ttulo1">
    <w:name w:val="heading 1"/>
    <w:basedOn w:val="Normal"/>
    <w:link w:val="Ttulo1Car"/>
    <w:uiPriority w:val="9"/>
    <w:qFormat/>
    <w:rsid w:val="002B5E76"/>
    <w:pPr>
      <w:widowControl w:val="0"/>
      <w:autoSpaceDE w:val="0"/>
      <w:autoSpaceDN w:val="0"/>
      <w:spacing w:after="0" w:line="240" w:lineRule="auto"/>
      <w:ind w:left="821"/>
      <w:outlineLvl w:val="0"/>
    </w:pPr>
    <w:rPr>
      <w:rFonts w:ascii="Calibri" w:eastAsia="Calibri" w:hAnsi="Calibri" w:cs="Calibri"/>
      <w:b/>
      <w:bCs/>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widowControl w:val="0"/>
      <w:tabs>
        <w:tab w:val="center" w:pos="4419"/>
        <w:tab w:val="right" w:pos="8838"/>
      </w:tabs>
      <w:autoSpaceDE w:val="0"/>
      <w:autoSpaceDN w:val="0"/>
      <w:spacing w:after="0" w:line="240" w:lineRule="auto"/>
    </w:pPr>
    <w:rPr>
      <w:rFonts w:ascii="Arial MT" w:eastAsia="Arial MT" w:hAnsi="Arial MT" w:cs="Arial MT"/>
      <w:lang w:val="es-ES"/>
    </w:r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pPr>
      <w:widowControl w:val="0"/>
      <w:autoSpaceDE w:val="0"/>
      <w:autoSpaceDN w:val="0"/>
      <w:spacing w:after="0" w:line="240" w:lineRule="auto"/>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widowControl w:val="0"/>
      <w:tabs>
        <w:tab w:val="center" w:pos="4550"/>
        <w:tab w:val="left" w:pos="5818"/>
      </w:tabs>
      <w:autoSpaceDE w:val="0"/>
      <w:autoSpaceDN w:val="0"/>
      <w:spacing w:after="0" w:line="240" w:lineRule="auto"/>
      <w:ind w:right="260"/>
      <w:jc w:val="right"/>
    </w:pPr>
    <w:rPr>
      <w:rFonts w:ascii="Arial" w:eastAsia="Arial MT" w:hAnsi="Arial" w:cs="Arial"/>
      <w:color w:val="222A35" w:themeColor="text2" w:themeShade="80"/>
      <w:spacing w:val="60"/>
      <w:sz w:val="20"/>
      <w:szCs w:val="24"/>
      <w:lang w:val="es-ES"/>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independiente3">
    <w:name w:val="Body Text 3"/>
    <w:basedOn w:val="Normal"/>
    <w:link w:val="Textoindependiente3Car"/>
    <w:uiPriority w:val="99"/>
    <w:unhideWhenUsed/>
    <w:rsid w:val="002E183A"/>
    <w:pPr>
      <w:spacing w:after="120"/>
    </w:pPr>
    <w:rPr>
      <w:sz w:val="16"/>
      <w:szCs w:val="16"/>
    </w:rPr>
  </w:style>
  <w:style w:type="character" w:customStyle="1" w:styleId="Textoindependiente3Car">
    <w:name w:val="Texto independiente 3 Car"/>
    <w:basedOn w:val="Fuentedeprrafopredeter"/>
    <w:link w:val="Textoindependiente3"/>
    <w:uiPriority w:val="99"/>
    <w:rsid w:val="002E183A"/>
    <w:rPr>
      <w:sz w:val="16"/>
      <w:szCs w:val="16"/>
    </w:rPr>
  </w:style>
  <w:style w:type="paragraph" w:customStyle="1" w:styleId="Standard">
    <w:name w:val="Standard"/>
    <w:rsid w:val="002E183A"/>
    <w:pPr>
      <w:suppressAutoHyphens/>
      <w:autoSpaceDN w:val="0"/>
      <w:spacing w:after="200" w:line="276" w:lineRule="auto"/>
      <w:textAlignment w:val="baseline"/>
    </w:pPr>
    <w:rPr>
      <w:rFonts w:ascii="Calibri" w:eastAsia="Calibri" w:hAnsi="Calibri" w:cs="Tahoma"/>
    </w:rPr>
  </w:style>
  <w:style w:type="paragraph" w:styleId="Prrafodelista">
    <w:name w:val="List Paragraph"/>
    <w:basedOn w:val="Normal"/>
    <w:uiPriority w:val="34"/>
    <w:qFormat/>
    <w:rsid w:val="002E183A"/>
    <w:pPr>
      <w:ind w:left="720"/>
      <w:contextualSpacing/>
    </w:pPr>
  </w:style>
  <w:style w:type="paragraph" w:styleId="Sinespaciado">
    <w:name w:val="No Spacing"/>
    <w:qFormat/>
    <w:rsid w:val="002E183A"/>
    <w:pPr>
      <w:spacing w:after="0" w:line="240" w:lineRule="auto"/>
      <w:ind w:left="55" w:right="45" w:hanging="10"/>
      <w:jc w:val="both"/>
    </w:pPr>
    <w:rPr>
      <w:rFonts w:ascii="Calibri" w:eastAsia="Calibri" w:hAnsi="Calibri" w:cs="Calibri"/>
      <w:color w:val="000000"/>
      <w:lang w:eastAsia="es-CO"/>
    </w:rPr>
  </w:style>
  <w:style w:type="paragraph" w:styleId="NormalWeb">
    <w:name w:val="Normal (Web)"/>
    <w:basedOn w:val="Normal"/>
    <w:uiPriority w:val="99"/>
    <w:unhideWhenUsed/>
    <w:qFormat/>
    <w:rsid w:val="002E183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2E183A"/>
    <w:pPr>
      <w:autoSpaceDE w:val="0"/>
      <w:autoSpaceDN w:val="0"/>
      <w:adjustRightInd w:val="0"/>
      <w:spacing w:after="0" w:line="240" w:lineRule="auto"/>
    </w:pPr>
    <w:rPr>
      <w:rFonts w:ascii="Arial" w:eastAsia="Calibri" w:hAnsi="Arial" w:cs="Arial"/>
      <w:color w:val="000000"/>
      <w:sz w:val="24"/>
      <w:szCs w:val="24"/>
    </w:rPr>
  </w:style>
  <w:style w:type="paragraph" w:styleId="Revisin">
    <w:name w:val="Revision"/>
    <w:hidden/>
    <w:uiPriority w:val="99"/>
    <w:semiHidden/>
    <w:rsid w:val="00CB225C"/>
    <w:pPr>
      <w:spacing w:after="0" w:line="240" w:lineRule="auto"/>
    </w:pPr>
  </w:style>
  <w:style w:type="paragraph" w:customStyle="1" w:styleId="footnotedescription">
    <w:name w:val="footnote description"/>
    <w:next w:val="Normal"/>
    <w:link w:val="footnotedescriptionChar"/>
    <w:hidden/>
    <w:rsid w:val="00A5013C"/>
    <w:pPr>
      <w:spacing w:after="0" w:line="254" w:lineRule="auto"/>
    </w:pPr>
    <w:rPr>
      <w:rFonts w:ascii="Arial" w:eastAsia="Arial" w:hAnsi="Arial" w:cs="Arial"/>
      <w:color w:val="000000"/>
      <w:sz w:val="16"/>
      <w:lang w:eastAsia="es-CO"/>
    </w:rPr>
  </w:style>
  <w:style w:type="character" w:customStyle="1" w:styleId="footnotedescriptionChar">
    <w:name w:val="footnote description Char"/>
    <w:link w:val="footnotedescription"/>
    <w:rsid w:val="00A5013C"/>
    <w:rPr>
      <w:rFonts w:ascii="Arial" w:eastAsia="Arial" w:hAnsi="Arial" w:cs="Arial"/>
      <w:color w:val="000000"/>
      <w:sz w:val="16"/>
      <w:lang w:eastAsia="es-CO"/>
    </w:rPr>
  </w:style>
  <w:style w:type="character" w:customStyle="1" w:styleId="footnotemark">
    <w:name w:val="footnote mark"/>
    <w:hidden/>
    <w:rsid w:val="00A5013C"/>
    <w:rPr>
      <w:rFonts w:ascii="Arial" w:eastAsia="Arial" w:hAnsi="Arial" w:cs="Arial"/>
      <w:color w:val="000000"/>
      <w:sz w:val="16"/>
      <w:vertAlign w:val="superscript"/>
    </w:rPr>
  </w:style>
  <w:style w:type="paragraph" w:styleId="Textonotapie">
    <w:name w:val="footnote text"/>
    <w:basedOn w:val="Normal"/>
    <w:link w:val="TextonotapieCar"/>
    <w:uiPriority w:val="99"/>
    <w:semiHidden/>
    <w:unhideWhenUsed/>
    <w:rsid w:val="005D34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3412"/>
    <w:rPr>
      <w:sz w:val="20"/>
      <w:szCs w:val="20"/>
    </w:rPr>
  </w:style>
  <w:style w:type="character" w:styleId="Refdenotaalpie">
    <w:name w:val="footnote reference"/>
    <w:basedOn w:val="Fuentedeprrafopredeter"/>
    <w:uiPriority w:val="99"/>
    <w:semiHidden/>
    <w:unhideWhenUsed/>
    <w:rsid w:val="005D3412"/>
    <w:rPr>
      <w:vertAlign w:val="superscript"/>
    </w:rPr>
  </w:style>
  <w:style w:type="character" w:styleId="Refdecomentario">
    <w:name w:val="annotation reference"/>
    <w:basedOn w:val="Fuentedeprrafopredeter"/>
    <w:uiPriority w:val="99"/>
    <w:semiHidden/>
    <w:unhideWhenUsed/>
    <w:rsid w:val="005955D8"/>
    <w:rPr>
      <w:sz w:val="16"/>
      <w:szCs w:val="16"/>
    </w:rPr>
  </w:style>
  <w:style w:type="paragraph" w:styleId="Textocomentario">
    <w:name w:val="annotation text"/>
    <w:basedOn w:val="Normal"/>
    <w:link w:val="TextocomentarioCar"/>
    <w:uiPriority w:val="99"/>
    <w:semiHidden/>
    <w:unhideWhenUsed/>
    <w:rsid w:val="005955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55D8"/>
    <w:rPr>
      <w:sz w:val="20"/>
      <w:szCs w:val="20"/>
    </w:rPr>
  </w:style>
  <w:style w:type="paragraph" w:styleId="Asuntodelcomentario">
    <w:name w:val="annotation subject"/>
    <w:basedOn w:val="Textocomentario"/>
    <w:next w:val="Textocomentario"/>
    <w:link w:val="AsuntodelcomentarioCar"/>
    <w:uiPriority w:val="99"/>
    <w:semiHidden/>
    <w:unhideWhenUsed/>
    <w:rsid w:val="005955D8"/>
    <w:rPr>
      <w:b/>
      <w:bCs/>
    </w:rPr>
  </w:style>
  <w:style w:type="character" w:customStyle="1" w:styleId="AsuntodelcomentarioCar">
    <w:name w:val="Asunto del comentario Car"/>
    <w:basedOn w:val="TextocomentarioCar"/>
    <w:link w:val="Asuntodelcomentario"/>
    <w:uiPriority w:val="99"/>
    <w:semiHidden/>
    <w:rsid w:val="005955D8"/>
    <w:rPr>
      <w:b/>
      <w:bCs/>
      <w:sz w:val="20"/>
      <w:szCs w:val="20"/>
    </w:rPr>
  </w:style>
  <w:style w:type="character" w:styleId="Hipervnculovisitado">
    <w:name w:val="FollowedHyperlink"/>
    <w:basedOn w:val="Fuentedeprrafopredeter"/>
    <w:uiPriority w:val="99"/>
    <w:semiHidden/>
    <w:unhideWhenUsed/>
    <w:rsid w:val="005B5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3640">
      <w:bodyDiv w:val="1"/>
      <w:marLeft w:val="0"/>
      <w:marRight w:val="0"/>
      <w:marTop w:val="0"/>
      <w:marBottom w:val="0"/>
      <w:divBdr>
        <w:top w:val="none" w:sz="0" w:space="0" w:color="auto"/>
        <w:left w:val="none" w:sz="0" w:space="0" w:color="auto"/>
        <w:bottom w:val="none" w:sz="0" w:space="0" w:color="auto"/>
        <w:right w:val="none" w:sz="0" w:space="0" w:color="auto"/>
      </w:divBdr>
    </w:div>
    <w:div w:id="119032249">
      <w:bodyDiv w:val="1"/>
      <w:marLeft w:val="0"/>
      <w:marRight w:val="0"/>
      <w:marTop w:val="0"/>
      <w:marBottom w:val="0"/>
      <w:divBdr>
        <w:top w:val="none" w:sz="0" w:space="0" w:color="auto"/>
        <w:left w:val="none" w:sz="0" w:space="0" w:color="auto"/>
        <w:bottom w:val="none" w:sz="0" w:space="0" w:color="auto"/>
        <w:right w:val="none" w:sz="0" w:space="0" w:color="auto"/>
      </w:divBdr>
    </w:div>
    <w:div w:id="212011253">
      <w:bodyDiv w:val="1"/>
      <w:marLeft w:val="0"/>
      <w:marRight w:val="0"/>
      <w:marTop w:val="0"/>
      <w:marBottom w:val="0"/>
      <w:divBdr>
        <w:top w:val="none" w:sz="0" w:space="0" w:color="auto"/>
        <w:left w:val="none" w:sz="0" w:space="0" w:color="auto"/>
        <w:bottom w:val="none" w:sz="0" w:space="0" w:color="auto"/>
        <w:right w:val="none" w:sz="0" w:space="0" w:color="auto"/>
      </w:divBdr>
    </w:div>
    <w:div w:id="271978771">
      <w:bodyDiv w:val="1"/>
      <w:marLeft w:val="0"/>
      <w:marRight w:val="0"/>
      <w:marTop w:val="0"/>
      <w:marBottom w:val="0"/>
      <w:divBdr>
        <w:top w:val="none" w:sz="0" w:space="0" w:color="auto"/>
        <w:left w:val="none" w:sz="0" w:space="0" w:color="auto"/>
        <w:bottom w:val="none" w:sz="0" w:space="0" w:color="auto"/>
        <w:right w:val="none" w:sz="0" w:space="0" w:color="auto"/>
      </w:divBdr>
    </w:div>
    <w:div w:id="595020524">
      <w:bodyDiv w:val="1"/>
      <w:marLeft w:val="0"/>
      <w:marRight w:val="0"/>
      <w:marTop w:val="0"/>
      <w:marBottom w:val="0"/>
      <w:divBdr>
        <w:top w:val="none" w:sz="0" w:space="0" w:color="auto"/>
        <w:left w:val="none" w:sz="0" w:space="0" w:color="auto"/>
        <w:bottom w:val="none" w:sz="0" w:space="0" w:color="auto"/>
        <w:right w:val="none" w:sz="0" w:space="0" w:color="auto"/>
      </w:divBdr>
    </w:div>
    <w:div w:id="771509281">
      <w:bodyDiv w:val="1"/>
      <w:marLeft w:val="0"/>
      <w:marRight w:val="0"/>
      <w:marTop w:val="0"/>
      <w:marBottom w:val="0"/>
      <w:divBdr>
        <w:top w:val="none" w:sz="0" w:space="0" w:color="auto"/>
        <w:left w:val="none" w:sz="0" w:space="0" w:color="auto"/>
        <w:bottom w:val="none" w:sz="0" w:space="0" w:color="auto"/>
        <w:right w:val="none" w:sz="0" w:space="0" w:color="auto"/>
      </w:divBdr>
    </w:div>
    <w:div w:id="1205828340">
      <w:bodyDiv w:val="1"/>
      <w:marLeft w:val="0"/>
      <w:marRight w:val="0"/>
      <w:marTop w:val="0"/>
      <w:marBottom w:val="0"/>
      <w:divBdr>
        <w:top w:val="none" w:sz="0" w:space="0" w:color="auto"/>
        <w:left w:val="none" w:sz="0" w:space="0" w:color="auto"/>
        <w:bottom w:val="none" w:sz="0" w:space="0" w:color="auto"/>
        <w:right w:val="none" w:sz="0" w:space="0" w:color="auto"/>
      </w:divBdr>
    </w:div>
    <w:div w:id="1479692608">
      <w:bodyDiv w:val="1"/>
      <w:marLeft w:val="0"/>
      <w:marRight w:val="0"/>
      <w:marTop w:val="0"/>
      <w:marBottom w:val="0"/>
      <w:divBdr>
        <w:top w:val="none" w:sz="0" w:space="0" w:color="auto"/>
        <w:left w:val="none" w:sz="0" w:space="0" w:color="auto"/>
        <w:bottom w:val="none" w:sz="0" w:space="0" w:color="auto"/>
        <w:right w:val="none" w:sz="0" w:space="0" w:color="auto"/>
      </w:divBdr>
      <w:divsChild>
        <w:div w:id="1527476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admpayan@cendoj.ramajudicial.gov.co"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jurista.com/appfolders/images/news/18001-23-40-000-2016-00021-01(64119)_2021031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esktop\GHA%20-%20KGARCIA\ABOGADA\P&#218;BLICO\RECURSOS\JUDICIAL\WILLIAM%20IDROBO\RECURSO%20DE%20REPOSI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RECURSO DE REPOSICION</Template>
  <TotalTime>59</TotalTime>
  <Pages>8</Pages>
  <Words>2408</Words>
  <Characters>13249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Javier Rivera Agredo</cp:lastModifiedBy>
  <cp:revision>26</cp:revision>
  <cp:lastPrinted>2025-02-21T20:05:00Z</cp:lastPrinted>
  <dcterms:created xsi:type="dcterms:W3CDTF">2025-02-20T21:06:00Z</dcterms:created>
  <dcterms:modified xsi:type="dcterms:W3CDTF">2025-02-21T20:06:00Z</dcterms:modified>
</cp:coreProperties>
</file>