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870A9D" w:rsidRDefault="001C281E" w:rsidP="00870A9D">
      <w:pPr>
        <w:spacing w:line="312" w:lineRule="auto"/>
        <w:jc w:val="center"/>
        <w:rPr>
          <w:rFonts w:ascii="Arial" w:hAnsi="Arial" w:cs="Arial"/>
          <w:b/>
          <w:bCs/>
          <w:sz w:val="22"/>
          <w:szCs w:val="22"/>
        </w:rPr>
      </w:pPr>
      <w:r w:rsidRPr="00870A9D">
        <w:rPr>
          <w:rFonts w:ascii="Arial" w:hAnsi="Arial" w:cs="Arial"/>
          <w:b/>
          <w:bCs/>
          <w:sz w:val="22"/>
          <w:szCs w:val="22"/>
        </w:rPr>
        <w:t>FORMATO PROCESO NUEVO – RESUMEN INICIAL</w:t>
      </w:r>
    </w:p>
    <w:p w14:paraId="7AA9A987" w14:textId="05731379" w:rsidR="00B977DA" w:rsidRPr="00870A9D" w:rsidRDefault="00B977DA" w:rsidP="00870A9D">
      <w:pPr>
        <w:spacing w:line="312" w:lineRule="auto"/>
        <w:jc w:val="center"/>
        <w:rPr>
          <w:rFonts w:ascii="Arial" w:hAnsi="Arial" w:cs="Arial"/>
          <w:b/>
          <w:bCs/>
          <w:sz w:val="22"/>
          <w:szCs w:val="22"/>
        </w:rPr>
      </w:pPr>
      <w:r w:rsidRPr="00870A9D">
        <w:rPr>
          <w:rFonts w:ascii="Arial" w:hAnsi="Arial" w:cs="Arial"/>
          <w:b/>
          <w:bCs/>
          <w:sz w:val="22"/>
          <w:szCs w:val="22"/>
        </w:rPr>
        <w:br/>
      </w:r>
    </w:p>
    <w:p w14:paraId="45A36DE7" w14:textId="0A118AF8" w:rsidR="00672B99" w:rsidRPr="00870A9D" w:rsidRDefault="001C281E" w:rsidP="00870A9D">
      <w:pPr>
        <w:spacing w:line="312" w:lineRule="auto"/>
        <w:rPr>
          <w:rFonts w:ascii="Arial" w:hAnsi="Arial" w:cs="Arial"/>
          <w:sz w:val="22"/>
          <w:szCs w:val="22"/>
        </w:rPr>
      </w:pPr>
      <w:r w:rsidRPr="00870A9D">
        <w:rPr>
          <w:rFonts w:ascii="Arial" w:hAnsi="Arial" w:cs="Arial"/>
          <w:b/>
          <w:bCs/>
          <w:sz w:val="22"/>
          <w:szCs w:val="22"/>
        </w:rPr>
        <w:t>Destina</w:t>
      </w:r>
      <w:r w:rsidR="00734BD8" w:rsidRPr="00870A9D">
        <w:rPr>
          <w:rFonts w:ascii="Arial" w:hAnsi="Arial" w:cs="Arial"/>
          <w:b/>
          <w:bCs/>
          <w:sz w:val="22"/>
          <w:szCs w:val="22"/>
        </w:rPr>
        <w:t>ta</w:t>
      </w:r>
      <w:r w:rsidRPr="00870A9D">
        <w:rPr>
          <w:rFonts w:ascii="Arial" w:hAnsi="Arial" w:cs="Arial"/>
          <w:b/>
          <w:bCs/>
          <w:sz w:val="22"/>
          <w:szCs w:val="22"/>
        </w:rPr>
        <w:t xml:space="preserve">rio: </w:t>
      </w:r>
      <w:r w:rsidRPr="00870A9D">
        <w:rPr>
          <w:rFonts w:ascii="Arial" w:hAnsi="Arial" w:cs="Arial"/>
          <w:b/>
          <w:bCs/>
          <w:sz w:val="22"/>
          <w:szCs w:val="22"/>
        </w:rPr>
        <w:tab/>
      </w:r>
      <w:r w:rsidRPr="00870A9D">
        <w:rPr>
          <w:rFonts w:ascii="Arial" w:hAnsi="Arial" w:cs="Arial"/>
          <w:b/>
          <w:bCs/>
          <w:sz w:val="22"/>
          <w:szCs w:val="22"/>
        </w:rPr>
        <w:tab/>
      </w:r>
      <w:r w:rsidR="000401A8" w:rsidRPr="00870A9D">
        <w:rPr>
          <w:rFonts w:ascii="Arial" w:hAnsi="Arial" w:cs="Arial"/>
          <w:b/>
          <w:bCs/>
          <w:sz w:val="22"/>
          <w:szCs w:val="22"/>
        </w:rPr>
        <w:tab/>
      </w:r>
      <w:r w:rsidR="000401A8" w:rsidRPr="00870A9D">
        <w:rPr>
          <w:rFonts w:ascii="Arial" w:hAnsi="Arial" w:cs="Arial"/>
          <w:b/>
          <w:bCs/>
          <w:sz w:val="22"/>
          <w:szCs w:val="22"/>
        </w:rPr>
        <w:tab/>
      </w:r>
      <w:r w:rsidRPr="00870A9D">
        <w:rPr>
          <w:rFonts w:ascii="Arial" w:hAnsi="Arial" w:cs="Arial"/>
          <w:sz w:val="22"/>
          <w:szCs w:val="22"/>
        </w:rPr>
        <w:t xml:space="preserve">Dirección </w:t>
      </w:r>
      <w:r w:rsidR="00F94E43" w:rsidRPr="00870A9D">
        <w:rPr>
          <w:rFonts w:ascii="Arial" w:hAnsi="Arial" w:cs="Arial"/>
          <w:sz w:val="22"/>
          <w:szCs w:val="22"/>
        </w:rPr>
        <w:t>Asuntos Legales</w:t>
      </w:r>
      <w:r w:rsidRPr="00870A9D">
        <w:rPr>
          <w:rFonts w:ascii="Arial" w:hAnsi="Arial" w:cs="Arial"/>
          <w:sz w:val="22"/>
          <w:szCs w:val="22"/>
        </w:rPr>
        <w:t xml:space="preserve"> </w:t>
      </w:r>
      <w:r w:rsidR="004803E3" w:rsidRPr="00870A9D">
        <w:rPr>
          <w:rFonts w:ascii="Arial" w:hAnsi="Arial" w:cs="Arial"/>
          <w:sz w:val="22"/>
          <w:szCs w:val="22"/>
        </w:rPr>
        <w:t xml:space="preserve">Occidente </w:t>
      </w:r>
    </w:p>
    <w:p w14:paraId="2B6C631D" w14:textId="61B407B1" w:rsidR="000401A8" w:rsidRPr="00870A9D" w:rsidRDefault="000401A8" w:rsidP="00870A9D">
      <w:pPr>
        <w:spacing w:line="312" w:lineRule="auto"/>
        <w:rPr>
          <w:rFonts w:ascii="Arial" w:hAnsi="Arial" w:cs="Arial"/>
          <w:sz w:val="22"/>
          <w:szCs w:val="22"/>
        </w:rPr>
      </w:pPr>
      <w:r w:rsidRPr="00870A9D">
        <w:rPr>
          <w:rFonts w:ascii="Arial" w:hAnsi="Arial" w:cs="Arial"/>
          <w:b/>
          <w:bCs/>
          <w:sz w:val="22"/>
          <w:szCs w:val="22"/>
        </w:rPr>
        <w:t>Abogado externo responsable:</w:t>
      </w:r>
      <w:r w:rsidRPr="00870A9D">
        <w:rPr>
          <w:rFonts w:ascii="Arial" w:hAnsi="Arial" w:cs="Arial"/>
          <w:b/>
          <w:bCs/>
          <w:sz w:val="22"/>
          <w:szCs w:val="22"/>
        </w:rPr>
        <w:tab/>
      </w:r>
      <w:r w:rsidR="00522B60" w:rsidRPr="00870A9D">
        <w:rPr>
          <w:rFonts w:ascii="Arial" w:hAnsi="Arial" w:cs="Arial"/>
          <w:iCs/>
          <w:sz w:val="22"/>
          <w:szCs w:val="22"/>
        </w:rPr>
        <w:t xml:space="preserve">Gustavo Alberto Herrera Ávila </w:t>
      </w:r>
    </w:p>
    <w:p w14:paraId="3A8F7659" w14:textId="77B1801D" w:rsidR="00672B99" w:rsidRPr="00870A9D" w:rsidRDefault="00672B99" w:rsidP="00870A9D">
      <w:pPr>
        <w:spacing w:line="312" w:lineRule="auto"/>
        <w:rPr>
          <w:rFonts w:ascii="Arial" w:hAnsi="Arial" w:cs="Arial"/>
          <w:sz w:val="22"/>
          <w:szCs w:val="22"/>
        </w:rPr>
      </w:pPr>
    </w:p>
    <w:p w14:paraId="40E0D8BA" w14:textId="501DD362" w:rsidR="00672B99" w:rsidRPr="00870A9D" w:rsidRDefault="00247E08" w:rsidP="00870A9D">
      <w:pPr>
        <w:spacing w:line="312" w:lineRule="auto"/>
        <w:rPr>
          <w:rFonts w:ascii="Arial" w:hAnsi="Arial" w:cs="Arial"/>
          <w:b/>
          <w:bCs/>
          <w:sz w:val="22"/>
          <w:szCs w:val="22"/>
        </w:rPr>
      </w:pPr>
      <w:r w:rsidRPr="00870A9D">
        <w:rPr>
          <w:rFonts w:ascii="Arial" w:hAnsi="Arial" w:cs="Arial"/>
          <w:b/>
          <w:bCs/>
          <w:sz w:val="22"/>
          <w:szCs w:val="22"/>
        </w:rPr>
        <w:t xml:space="preserve">Datos </w:t>
      </w:r>
      <w:r w:rsidR="00FF66F3" w:rsidRPr="00870A9D">
        <w:rPr>
          <w:rFonts w:ascii="Arial" w:hAnsi="Arial" w:cs="Arial"/>
          <w:b/>
          <w:bCs/>
          <w:sz w:val="22"/>
          <w:szCs w:val="22"/>
        </w:rPr>
        <w:t>generales del</w:t>
      </w:r>
      <w:r w:rsidRPr="00870A9D">
        <w:rPr>
          <w:rFonts w:ascii="Arial" w:hAnsi="Arial" w:cs="Arial"/>
          <w:b/>
          <w:bCs/>
          <w:sz w:val="22"/>
          <w:szCs w:val="22"/>
        </w:rPr>
        <w:t xml:space="preserve"> proceso</w:t>
      </w:r>
    </w:p>
    <w:p w14:paraId="509B5BEA" w14:textId="77777777" w:rsidR="00E028BD" w:rsidRPr="00870A9D" w:rsidRDefault="00E028BD" w:rsidP="00870A9D">
      <w:pPr>
        <w:spacing w:line="312" w:lineRule="auto"/>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870A9D" w14:paraId="361F998D" w14:textId="77777777" w:rsidTr="008F3801">
        <w:trPr>
          <w:trHeight w:val="340"/>
        </w:trPr>
        <w:tc>
          <w:tcPr>
            <w:tcW w:w="2338" w:type="dxa"/>
            <w:shd w:val="clear" w:color="auto" w:fill="0033A0"/>
            <w:vAlign w:val="center"/>
          </w:tcPr>
          <w:p w14:paraId="39820FDF" w14:textId="2DE0FE6C" w:rsidR="00AB7CA0" w:rsidRPr="00870A9D" w:rsidRDefault="006F1BB7" w:rsidP="00870A9D">
            <w:pPr>
              <w:spacing w:line="312" w:lineRule="auto"/>
              <w:rPr>
                <w:rFonts w:ascii="Arial" w:hAnsi="Arial" w:cs="Arial"/>
                <w:b/>
                <w:sz w:val="22"/>
                <w:szCs w:val="22"/>
              </w:rPr>
            </w:pPr>
            <w:r w:rsidRPr="00870A9D">
              <w:rPr>
                <w:rFonts w:ascii="Arial" w:hAnsi="Arial" w:cs="Arial"/>
                <w:b/>
                <w:sz w:val="22"/>
                <w:szCs w:val="22"/>
              </w:rPr>
              <w:t>Compañía vinculada</w:t>
            </w:r>
          </w:p>
        </w:tc>
        <w:tc>
          <w:tcPr>
            <w:tcW w:w="7512" w:type="dxa"/>
            <w:gridSpan w:val="3"/>
            <w:vAlign w:val="center"/>
          </w:tcPr>
          <w:p w14:paraId="4DA7B6E0" w14:textId="0BC3B266" w:rsidR="00AB7CA0" w:rsidRPr="00870A9D" w:rsidRDefault="001E638A" w:rsidP="00870A9D">
            <w:pPr>
              <w:pStyle w:val="Ttulo4"/>
              <w:spacing w:line="312" w:lineRule="auto"/>
              <w:rPr>
                <w:rFonts w:ascii="Arial" w:hAnsi="Arial" w:cs="Arial"/>
                <w:b w:val="0"/>
                <w:iCs/>
                <w:szCs w:val="22"/>
                <w:lang w:val="es-CO"/>
              </w:rPr>
            </w:pPr>
            <w:r w:rsidRPr="00870A9D">
              <w:rPr>
                <w:rFonts w:ascii="Arial" w:hAnsi="Arial" w:cs="Arial"/>
                <w:b w:val="0"/>
                <w:iCs/>
                <w:szCs w:val="22"/>
                <w:lang w:val="es-CO"/>
              </w:rPr>
              <w:t>EPS SURAMERICANA S.A.</w:t>
            </w:r>
            <w:r w:rsidR="004B709D" w:rsidRPr="00870A9D">
              <w:rPr>
                <w:rFonts w:ascii="Arial" w:hAnsi="Arial" w:cs="Arial"/>
                <w:b w:val="0"/>
                <w:iCs/>
                <w:szCs w:val="22"/>
                <w:lang w:val="es-CO"/>
              </w:rPr>
              <w:t xml:space="preserve"> </w:t>
            </w:r>
          </w:p>
        </w:tc>
      </w:tr>
      <w:tr w:rsidR="00611F74" w:rsidRPr="00870A9D" w14:paraId="1D5C2B9E" w14:textId="77777777" w:rsidTr="008F3801">
        <w:trPr>
          <w:trHeight w:val="340"/>
        </w:trPr>
        <w:tc>
          <w:tcPr>
            <w:tcW w:w="2338" w:type="dxa"/>
            <w:shd w:val="clear" w:color="auto" w:fill="0033A0"/>
            <w:vAlign w:val="center"/>
          </w:tcPr>
          <w:p w14:paraId="71926149" w14:textId="08884289" w:rsidR="00611F74" w:rsidRPr="00870A9D" w:rsidRDefault="00611F74" w:rsidP="00870A9D">
            <w:pPr>
              <w:spacing w:line="312" w:lineRule="auto"/>
              <w:rPr>
                <w:rFonts w:ascii="Arial" w:hAnsi="Arial" w:cs="Arial"/>
                <w:b/>
                <w:sz w:val="22"/>
                <w:szCs w:val="22"/>
              </w:rPr>
            </w:pPr>
            <w:r w:rsidRPr="00870A9D">
              <w:rPr>
                <w:rFonts w:ascii="Arial" w:hAnsi="Arial" w:cs="Arial"/>
                <w:b/>
                <w:sz w:val="22"/>
                <w:szCs w:val="22"/>
              </w:rPr>
              <w:t>Tipo de vinculación</w:t>
            </w:r>
          </w:p>
        </w:tc>
        <w:tc>
          <w:tcPr>
            <w:tcW w:w="7512" w:type="dxa"/>
            <w:gridSpan w:val="3"/>
            <w:vAlign w:val="center"/>
          </w:tcPr>
          <w:p w14:paraId="17AB2FF9" w14:textId="02D75EBF" w:rsidR="00611F74" w:rsidRPr="00870A9D" w:rsidRDefault="00FF326C" w:rsidP="00870A9D">
            <w:pPr>
              <w:pStyle w:val="Ttulo4"/>
              <w:spacing w:line="312" w:lineRule="auto"/>
              <w:rPr>
                <w:rFonts w:ascii="Arial" w:hAnsi="Arial" w:cs="Arial"/>
                <w:b w:val="0"/>
                <w:iCs/>
                <w:szCs w:val="22"/>
                <w:lang w:val="es-CO"/>
              </w:rPr>
            </w:pPr>
            <w:r w:rsidRPr="00870A9D">
              <w:rPr>
                <w:rFonts w:ascii="Arial" w:hAnsi="Arial" w:cs="Arial"/>
                <w:b w:val="0"/>
                <w:iCs/>
                <w:szCs w:val="22"/>
                <w:lang w:val="es-CO"/>
              </w:rPr>
              <w:t>Demandado</w:t>
            </w:r>
          </w:p>
        </w:tc>
      </w:tr>
      <w:tr w:rsidR="00314784" w:rsidRPr="00870A9D" w14:paraId="034F2DF5" w14:textId="77777777" w:rsidTr="008F3801">
        <w:trPr>
          <w:trHeight w:val="340"/>
        </w:trPr>
        <w:tc>
          <w:tcPr>
            <w:tcW w:w="2338" w:type="dxa"/>
            <w:shd w:val="clear" w:color="auto" w:fill="0033A0"/>
            <w:vAlign w:val="center"/>
          </w:tcPr>
          <w:p w14:paraId="75527875" w14:textId="0D08D2BA" w:rsidR="00314784" w:rsidRPr="00870A9D" w:rsidRDefault="00314784" w:rsidP="00870A9D">
            <w:pPr>
              <w:spacing w:line="312" w:lineRule="auto"/>
              <w:rPr>
                <w:rFonts w:ascii="Arial" w:hAnsi="Arial" w:cs="Arial"/>
                <w:b/>
                <w:sz w:val="22"/>
                <w:szCs w:val="22"/>
              </w:rPr>
            </w:pPr>
            <w:r w:rsidRPr="00870A9D">
              <w:rPr>
                <w:rFonts w:ascii="Arial" w:hAnsi="Arial" w:cs="Arial"/>
                <w:b/>
                <w:sz w:val="22"/>
                <w:szCs w:val="22"/>
              </w:rPr>
              <w:t>Jurisdicción</w:t>
            </w:r>
          </w:p>
        </w:tc>
        <w:tc>
          <w:tcPr>
            <w:tcW w:w="3402" w:type="dxa"/>
            <w:vAlign w:val="center"/>
          </w:tcPr>
          <w:p w14:paraId="36469FA3" w14:textId="6A04D44A" w:rsidR="00314784"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Coactivo</w:t>
            </w:r>
          </w:p>
        </w:tc>
        <w:tc>
          <w:tcPr>
            <w:tcW w:w="1701" w:type="dxa"/>
            <w:tcBorders>
              <w:top w:val="single" w:sz="4" w:space="0" w:color="auto"/>
            </w:tcBorders>
            <w:shd w:val="clear" w:color="auto" w:fill="0033A0"/>
            <w:vAlign w:val="center"/>
          </w:tcPr>
          <w:p w14:paraId="4E66F66C" w14:textId="19E62604" w:rsidR="00314784" w:rsidRPr="00870A9D" w:rsidRDefault="00FD7619" w:rsidP="00870A9D">
            <w:pPr>
              <w:spacing w:line="312" w:lineRule="auto"/>
              <w:rPr>
                <w:rFonts w:ascii="Arial" w:hAnsi="Arial" w:cs="Arial"/>
                <w:b/>
                <w:sz w:val="22"/>
                <w:szCs w:val="22"/>
                <w:highlight w:val="yellow"/>
              </w:rPr>
            </w:pPr>
            <w:r w:rsidRPr="00870A9D">
              <w:rPr>
                <w:rFonts w:ascii="Arial" w:hAnsi="Arial" w:cs="Arial"/>
                <w:b/>
                <w:sz w:val="22"/>
                <w:szCs w:val="22"/>
              </w:rPr>
              <w:t>Tipo de proceso</w:t>
            </w:r>
          </w:p>
        </w:tc>
        <w:tc>
          <w:tcPr>
            <w:tcW w:w="2409" w:type="dxa"/>
            <w:vAlign w:val="center"/>
          </w:tcPr>
          <w:p w14:paraId="77E41038" w14:textId="3DE40DFC" w:rsidR="00314784"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Administrativo</w:t>
            </w:r>
          </w:p>
        </w:tc>
      </w:tr>
      <w:tr w:rsidR="001C4AB7" w:rsidRPr="00870A9D" w14:paraId="57977954" w14:textId="77777777" w:rsidTr="008F3801">
        <w:trPr>
          <w:trHeight w:val="340"/>
        </w:trPr>
        <w:tc>
          <w:tcPr>
            <w:tcW w:w="2338" w:type="dxa"/>
            <w:shd w:val="clear" w:color="auto" w:fill="0033A0"/>
            <w:vAlign w:val="center"/>
          </w:tcPr>
          <w:p w14:paraId="2D4749EF" w14:textId="01E5A1BD" w:rsidR="001C4AB7" w:rsidRPr="00870A9D" w:rsidRDefault="001C4AB7" w:rsidP="00870A9D">
            <w:pPr>
              <w:spacing w:line="312" w:lineRule="auto"/>
              <w:rPr>
                <w:rFonts w:ascii="Arial" w:hAnsi="Arial" w:cs="Arial"/>
                <w:b/>
                <w:sz w:val="22"/>
                <w:szCs w:val="22"/>
              </w:rPr>
            </w:pPr>
            <w:r w:rsidRPr="00870A9D">
              <w:rPr>
                <w:rFonts w:ascii="Arial" w:hAnsi="Arial" w:cs="Arial"/>
                <w:b/>
                <w:sz w:val="22"/>
                <w:szCs w:val="22"/>
              </w:rPr>
              <w:t>Instancia</w:t>
            </w:r>
          </w:p>
        </w:tc>
        <w:tc>
          <w:tcPr>
            <w:tcW w:w="7512" w:type="dxa"/>
            <w:gridSpan w:val="3"/>
            <w:vAlign w:val="center"/>
          </w:tcPr>
          <w:p w14:paraId="22EC2015" w14:textId="6F1693CD" w:rsidR="001C4AB7" w:rsidRPr="00870A9D" w:rsidRDefault="004B709D" w:rsidP="00870A9D">
            <w:pPr>
              <w:pStyle w:val="Ttulo4"/>
              <w:spacing w:line="312" w:lineRule="auto"/>
              <w:rPr>
                <w:rFonts w:ascii="Arial" w:hAnsi="Arial" w:cs="Arial"/>
                <w:b w:val="0"/>
                <w:iCs/>
                <w:szCs w:val="22"/>
                <w:lang w:val="es-CO"/>
              </w:rPr>
            </w:pPr>
            <w:r w:rsidRPr="00870A9D">
              <w:rPr>
                <w:rFonts w:ascii="Arial" w:hAnsi="Arial" w:cs="Arial"/>
                <w:b w:val="0"/>
                <w:iCs/>
                <w:szCs w:val="22"/>
                <w:lang w:val="es-CO"/>
              </w:rPr>
              <w:t xml:space="preserve">Primera Instancia </w:t>
            </w:r>
          </w:p>
        </w:tc>
      </w:tr>
      <w:tr w:rsidR="00AB7CA0" w:rsidRPr="00870A9D" w14:paraId="23C82D5B" w14:textId="77777777" w:rsidTr="008F3801">
        <w:trPr>
          <w:trHeight w:val="340"/>
        </w:trPr>
        <w:tc>
          <w:tcPr>
            <w:tcW w:w="2338" w:type="dxa"/>
            <w:shd w:val="clear" w:color="auto" w:fill="0033A0"/>
            <w:vAlign w:val="center"/>
          </w:tcPr>
          <w:p w14:paraId="69174905" w14:textId="6B29FFBA" w:rsidR="00AB7CA0" w:rsidRPr="00870A9D" w:rsidRDefault="00AB7CA0" w:rsidP="00870A9D">
            <w:pPr>
              <w:spacing w:line="312" w:lineRule="auto"/>
              <w:rPr>
                <w:rFonts w:ascii="Arial" w:hAnsi="Arial" w:cs="Arial"/>
                <w:b/>
                <w:sz w:val="22"/>
                <w:szCs w:val="22"/>
              </w:rPr>
            </w:pPr>
            <w:r w:rsidRPr="00870A9D">
              <w:rPr>
                <w:rFonts w:ascii="Arial" w:hAnsi="Arial" w:cs="Arial"/>
                <w:b/>
                <w:sz w:val="22"/>
                <w:szCs w:val="22"/>
              </w:rPr>
              <w:t xml:space="preserve">Fecha de </w:t>
            </w:r>
            <w:r w:rsidR="00475D6D" w:rsidRPr="00870A9D">
              <w:rPr>
                <w:rFonts w:ascii="Arial" w:hAnsi="Arial" w:cs="Arial"/>
                <w:b/>
                <w:sz w:val="22"/>
                <w:szCs w:val="22"/>
              </w:rPr>
              <w:t>notificación</w:t>
            </w:r>
          </w:p>
        </w:tc>
        <w:tc>
          <w:tcPr>
            <w:tcW w:w="7512" w:type="dxa"/>
            <w:gridSpan w:val="3"/>
            <w:vAlign w:val="center"/>
          </w:tcPr>
          <w:p w14:paraId="3D593EBA" w14:textId="33B10284" w:rsidR="00AB7CA0" w:rsidRPr="00870A9D" w:rsidRDefault="00CC74D9" w:rsidP="00870A9D">
            <w:pPr>
              <w:spacing w:line="312" w:lineRule="auto"/>
              <w:jc w:val="both"/>
              <w:rPr>
                <w:rFonts w:ascii="Arial" w:hAnsi="Arial" w:cs="Arial"/>
                <w:iCs/>
                <w:sz w:val="22"/>
                <w:szCs w:val="22"/>
              </w:rPr>
            </w:pPr>
            <w:r>
              <w:rPr>
                <w:rFonts w:ascii="Arial" w:hAnsi="Arial" w:cs="Arial"/>
                <w:iCs/>
                <w:sz w:val="22"/>
                <w:szCs w:val="22"/>
              </w:rPr>
              <w:t>28 de mayo de 2024</w:t>
            </w:r>
          </w:p>
        </w:tc>
      </w:tr>
      <w:tr w:rsidR="001C4AB7" w:rsidRPr="00870A9D" w14:paraId="3DB10669" w14:textId="77777777" w:rsidTr="008F3801">
        <w:trPr>
          <w:trHeight w:val="340"/>
        </w:trPr>
        <w:tc>
          <w:tcPr>
            <w:tcW w:w="2338" w:type="dxa"/>
            <w:shd w:val="clear" w:color="auto" w:fill="0033A0"/>
            <w:vAlign w:val="center"/>
          </w:tcPr>
          <w:p w14:paraId="184540C8" w14:textId="704D403B" w:rsidR="001C4AB7" w:rsidRPr="00870A9D" w:rsidRDefault="001C4AB7" w:rsidP="00870A9D">
            <w:pPr>
              <w:spacing w:line="312" w:lineRule="auto"/>
              <w:rPr>
                <w:rFonts w:ascii="Arial" w:hAnsi="Arial" w:cs="Arial"/>
                <w:b/>
                <w:sz w:val="22"/>
                <w:szCs w:val="22"/>
              </w:rPr>
            </w:pPr>
            <w:r w:rsidRPr="00870A9D">
              <w:rPr>
                <w:rFonts w:ascii="Arial" w:hAnsi="Arial" w:cs="Arial"/>
                <w:b/>
                <w:sz w:val="22"/>
                <w:szCs w:val="22"/>
              </w:rPr>
              <w:t>Abogado demandante</w:t>
            </w:r>
          </w:p>
        </w:tc>
        <w:tc>
          <w:tcPr>
            <w:tcW w:w="3402" w:type="dxa"/>
            <w:vAlign w:val="center"/>
          </w:tcPr>
          <w:p w14:paraId="17CC82B4" w14:textId="36A1D36E" w:rsidR="001C4AB7" w:rsidRPr="00870A9D" w:rsidRDefault="009F5B78" w:rsidP="00870A9D">
            <w:pPr>
              <w:spacing w:line="312" w:lineRule="auto"/>
              <w:jc w:val="both"/>
              <w:rPr>
                <w:rFonts w:ascii="Arial" w:hAnsi="Arial" w:cs="Arial"/>
                <w:iCs/>
                <w:sz w:val="22"/>
                <w:szCs w:val="22"/>
              </w:rPr>
            </w:pPr>
            <w:r w:rsidRPr="00870A9D">
              <w:rPr>
                <w:rFonts w:ascii="Arial" w:hAnsi="Arial" w:cs="Arial"/>
                <w:iCs/>
                <w:sz w:val="22"/>
                <w:szCs w:val="22"/>
              </w:rPr>
              <w:t>Marlen Yisela Varon Zapata</w:t>
            </w:r>
          </w:p>
        </w:tc>
        <w:tc>
          <w:tcPr>
            <w:tcW w:w="1701" w:type="dxa"/>
            <w:shd w:val="clear" w:color="auto" w:fill="0033A0"/>
            <w:vAlign w:val="center"/>
          </w:tcPr>
          <w:p w14:paraId="1BBF04FD" w14:textId="14BBB21D" w:rsidR="001C4AB7" w:rsidRPr="00870A9D" w:rsidRDefault="001C4AB7" w:rsidP="00870A9D">
            <w:pPr>
              <w:spacing w:line="312" w:lineRule="auto"/>
              <w:jc w:val="both"/>
              <w:rPr>
                <w:rFonts w:ascii="Arial" w:hAnsi="Arial" w:cs="Arial"/>
                <w:b/>
                <w:bCs/>
                <w:sz w:val="22"/>
                <w:szCs w:val="22"/>
              </w:rPr>
            </w:pPr>
            <w:r w:rsidRPr="00870A9D">
              <w:rPr>
                <w:rFonts w:ascii="Arial" w:hAnsi="Arial" w:cs="Arial"/>
                <w:b/>
                <w:bCs/>
                <w:sz w:val="22"/>
                <w:szCs w:val="22"/>
              </w:rPr>
              <w:t>Identificación</w:t>
            </w:r>
          </w:p>
        </w:tc>
        <w:tc>
          <w:tcPr>
            <w:tcW w:w="2409" w:type="dxa"/>
            <w:vAlign w:val="center"/>
          </w:tcPr>
          <w:p w14:paraId="33D2EBE9" w14:textId="5B570944" w:rsidR="001C4AB7" w:rsidRPr="00870A9D" w:rsidRDefault="001C4AB7" w:rsidP="00870A9D">
            <w:pPr>
              <w:spacing w:line="312" w:lineRule="auto"/>
              <w:jc w:val="both"/>
              <w:rPr>
                <w:rFonts w:ascii="Arial" w:hAnsi="Arial" w:cs="Arial"/>
                <w:iCs/>
                <w:sz w:val="22"/>
                <w:szCs w:val="22"/>
              </w:rPr>
            </w:pPr>
          </w:p>
        </w:tc>
      </w:tr>
    </w:tbl>
    <w:p w14:paraId="4D702E80" w14:textId="77777777" w:rsidR="009E7D3B" w:rsidRPr="00870A9D" w:rsidRDefault="009E7D3B" w:rsidP="00870A9D">
      <w:pPr>
        <w:spacing w:line="312" w:lineRule="auto"/>
        <w:rPr>
          <w:rFonts w:ascii="Arial" w:hAnsi="Arial" w:cs="Arial"/>
          <w:b/>
          <w:sz w:val="22"/>
          <w:szCs w:val="22"/>
          <w:u w:val="single"/>
        </w:rPr>
      </w:pPr>
    </w:p>
    <w:p w14:paraId="168B2FE3" w14:textId="77777777" w:rsidR="00734BD8" w:rsidRPr="00870A9D" w:rsidRDefault="00734BD8" w:rsidP="00870A9D">
      <w:pPr>
        <w:spacing w:line="312" w:lineRule="auto"/>
        <w:rPr>
          <w:rFonts w:ascii="Arial" w:hAnsi="Arial" w:cs="Arial"/>
          <w:b/>
          <w:sz w:val="22"/>
          <w:szCs w:val="22"/>
        </w:rPr>
      </w:pPr>
    </w:p>
    <w:p w14:paraId="27A8C1F6" w14:textId="2A40E483" w:rsidR="00FF66F3" w:rsidRPr="00870A9D" w:rsidRDefault="007B6543" w:rsidP="00870A9D">
      <w:pPr>
        <w:spacing w:line="312" w:lineRule="auto"/>
        <w:rPr>
          <w:rFonts w:ascii="Arial" w:hAnsi="Arial" w:cs="Arial"/>
          <w:b/>
          <w:sz w:val="22"/>
          <w:szCs w:val="22"/>
        </w:rPr>
      </w:pPr>
      <w:r w:rsidRPr="00870A9D">
        <w:rPr>
          <w:rFonts w:ascii="Arial" w:hAnsi="Arial" w:cs="Arial"/>
          <w:b/>
          <w:sz w:val="22"/>
          <w:szCs w:val="22"/>
        </w:rPr>
        <w:t>Seguro</w:t>
      </w:r>
      <w:r w:rsidR="00FF66F3" w:rsidRPr="00870A9D">
        <w:rPr>
          <w:rFonts w:ascii="Arial" w:hAnsi="Arial" w:cs="Arial"/>
          <w:b/>
          <w:sz w:val="22"/>
          <w:szCs w:val="22"/>
        </w:rPr>
        <w:t xml:space="preserve"> afectad</w:t>
      </w:r>
      <w:r w:rsidRPr="00870A9D">
        <w:rPr>
          <w:rFonts w:ascii="Arial" w:hAnsi="Arial" w:cs="Arial"/>
          <w:b/>
          <w:sz w:val="22"/>
          <w:szCs w:val="22"/>
        </w:rPr>
        <w:t>o</w:t>
      </w:r>
    </w:p>
    <w:p w14:paraId="4F9AC8BF" w14:textId="0014293F" w:rsidR="00FF66F3" w:rsidRPr="00870A9D" w:rsidRDefault="00FF66F3" w:rsidP="00870A9D">
      <w:pPr>
        <w:spacing w:line="312" w:lineRule="auto"/>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870A9D" w14:paraId="22179AB8" w14:textId="77777777" w:rsidTr="008F3801">
        <w:trPr>
          <w:trHeight w:val="340"/>
        </w:trPr>
        <w:tc>
          <w:tcPr>
            <w:tcW w:w="2353" w:type="dxa"/>
            <w:shd w:val="clear" w:color="auto" w:fill="0033A0"/>
            <w:vAlign w:val="center"/>
          </w:tcPr>
          <w:p w14:paraId="01016211" w14:textId="6458D9D1" w:rsidR="007B6543" w:rsidRPr="00870A9D" w:rsidRDefault="007B6543" w:rsidP="00870A9D">
            <w:pPr>
              <w:spacing w:line="312" w:lineRule="auto"/>
              <w:jc w:val="both"/>
              <w:rPr>
                <w:rFonts w:ascii="Arial" w:hAnsi="Arial" w:cs="Arial"/>
                <w:b/>
                <w:sz w:val="22"/>
                <w:szCs w:val="22"/>
              </w:rPr>
            </w:pPr>
            <w:r w:rsidRPr="00870A9D">
              <w:rPr>
                <w:rFonts w:ascii="Arial" w:hAnsi="Arial" w:cs="Arial"/>
                <w:b/>
                <w:sz w:val="22"/>
                <w:szCs w:val="22"/>
              </w:rPr>
              <w:t>Asegurado / afiliado</w:t>
            </w:r>
          </w:p>
        </w:tc>
        <w:tc>
          <w:tcPr>
            <w:tcW w:w="3386" w:type="dxa"/>
            <w:vAlign w:val="center"/>
          </w:tcPr>
          <w:p w14:paraId="2F24F64D" w14:textId="7B9E779D" w:rsidR="004B709D"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N/A</w:t>
            </w:r>
          </w:p>
        </w:tc>
        <w:tc>
          <w:tcPr>
            <w:tcW w:w="1702" w:type="dxa"/>
            <w:shd w:val="clear" w:color="auto" w:fill="0033A0"/>
            <w:vAlign w:val="center"/>
          </w:tcPr>
          <w:p w14:paraId="3809BB4B" w14:textId="2BAD8CE6" w:rsidR="007B6543" w:rsidRPr="00870A9D" w:rsidRDefault="007B6543" w:rsidP="00870A9D">
            <w:pPr>
              <w:spacing w:line="312" w:lineRule="auto"/>
              <w:jc w:val="both"/>
              <w:rPr>
                <w:rFonts w:ascii="Arial" w:hAnsi="Arial" w:cs="Arial"/>
                <w:b/>
                <w:sz w:val="22"/>
                <w:szCs w:val="22"/>
              </w:rPr>
            </w:pPr>
            <w:r w:rsidRPr="00870A9D">
              <w:rPr>
                <w:rFonts w:ascii="Arial" w:hAnsi="Arial" w:cs="Arial"/>
                <w:b/>
                <w:bCs/>
                <w:sz w:val="22"/>
                <w:szCs w:val="22"/>
              </w:rPr>
              <w:t>Identificación</w:t>
            </w:r>
          </w:p>
        </w:tc>
        <w:tc>
          <w:tcPr>
            <w:tcW w:w="2408" w:type="dxa"/>
            <w:gridSpan w:val="2"/>
            <w:vAlign w:val="center"/>
          </w:tcPr>
          <w:p w14:paraId="2D1BE471" w14:textId="7946EA01" w:rsidR="004B709D"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N/A</w:t>
            </w:r>
          </w:p>
        </w:tc>
      </w:tr>
      <w:tr w:rsidR="00FF66F3" w:rsidRPr="00870A9D" w14:paraId="1184BD96" w14:textId="77777777" w:rsidTr="008F3801">
        <w:trPr>
          <w:trHeight w:val="340"/>
        </w:trPr>
        <w:tc>
          <w:tcPr>
            <w:tcW w:w="2353" w:type="dxa"/>
            <w:shd w:val="clear" w:color="auto" w:fill="0033A0"/>
            <w:vAlign w:val="center"/>
          </w:tcPr>
          <w:p w14:paraId="21AAE966" w14:textId="1C6A7B98" w:rsidR="00FF66F3" w:rsidRPr="00870A9D" w:rsidRDefault="00703C75" w:rsidP="00870A9D">
            <w:pPr>
              <w:spacing w:line="312" w:lineRule="auto"/>
              <w:jc w:val="both"/>
              <w:rPr>
                <w:rFonts w:ascii="Arial" w:hAnsi="Arial" w:cs="Arial"/>
                <w:b/>
                <w:sz w:val="22"/>
                <w:szCs w:val="22"/>
              </w:rPr>
            </w:pPr>
            <w:r w:rsidRPr="00870A9D">
              <w:rPr>
                <w:rFonts w:ascii="Arial" w:hAnsi="Arial" w:cs="Arial"/>
                <w:b/>
                <w:sz w:val="22"/>
                <w:szCs w:val="22"/>
              </w:rPr>
              <w:t xml:space="preserve">Fecha </w:t>
            </w:r>
            <w:r w:rsidR="003E59C2" w:rsidRPr="00870A9D">
              <w:rPr>
                <w:rFonts w:ascii="Arial" w:hAnsi="Arial" w:cs="Arial"/>
                <w:b/>
                <w:sz w:val="22"/>
                <w:szCs w:val="22"/>
              </w:rPr>
              <w:t>del siniestro</w:t>
            </w:r>
          </w:p>
        </w:tc>
        <w:tc>
          <w:tcPr>
            <w:tcW w:w="7496" w:type="dxa"/>
            <w:gridSpan w:val="4"/>
            <w:vAlign w:val="center"/>
          </w:tcPr>
          <w:p w14:paraId="34C8AC3F" w14:textId="1146D1A7" w:rsidR="00484071"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N/A</w:t>
            </w:r>
          </w:p>
        </w:tc>
      </w:tr>
      <w:tr w:rsidR="007B6543" w:rsidRPr="00870A9D" w14:paraId="1BAC1C46" w14:textId="77777777" w:rsidTr="008F3801">
        <w:trPr>
          <w:trHeight w:val="292"/>
        </w:trPr>
        <w:tc>
          <w:tcPr>
            <w:tcW w:w="2353" w:type="dxa"/>
            <w:shd w:val="clear" w:color="auto" w:fill="0033A0"/>
            <w:vAlign w:val="center"/>
          </w:tcPr>
          <w:p w14:paraId="7E9757C0" w14:textId="7568D394" w:rsidR="007B6543" w:rsidRPr="00870A9D" w:rsidRDefault="007B6543" w:rsidP="00870A9D">
            <w:pPr>
              <w:spacing w:line="312" w:lineRule="auto"/>
              <w:rPr>
                <w:rFonts w:ascii="Arial" w:hAnsi="Arial" w:cs="Arial"/>
                <w:b/>
                <w:sz w:val="22"/>
                <w:szCs w:val="22"/>
              </w:rPr>
            </w:pPr>
            <w:r w:rsidRPr="00870A9D">
              <w:rPr>
                <w:rFonts w:ascii="Arial" w:hAnsi="Arial" w:cs="Arial"/>
                <w:b/>
                <w:sz w:val="22"/>
                <w:szCs w:val="22"/>
              </w:rPr>
              <w:t>Nro. póliza afectada</w:t>
            </w:r>
          </w:p>
        </w:tc>
        <w:tc>
          <w:tcPr>
            <w:tcW w:w="3386" w:type="dxa"/>
            <w:vAlign w:val="center"/>
          </w:tcPr>
          <w:p w14:paraId="0F0E4D36" w14:textId="47CF4FDB" w:rsidR="00C26408" w:rsidRPr="00870A9D" w:rsidRDefault="001E638A" w:rsidP="00870A9D">
            <w:pPr>
              <w:spacing w:line="312" w:lineRule="auto"/>
              <w:jc w:val="both"/>
              <w:rPr>
                <w:rFonts w:ascii="Arial" w:hAnsi="Arial" w:cs="Arial"/>
                <w:sz w:val="22"/>
                <w:szCs w:val="22"/>
              </w:rPr>
            </w:pPr>
            <w:r w:rsidRPr="00870A9D">
              <w:rPr>
                <w:rFonts w:ascii="Arial" w:hAnsi="Arial" w:cs="Arial"/>
                <w:iCs/>
                <w:sz w:val="22"/>
                <w:szCs w:val="22"/>
              </w:rPr>
              <w:t>N/A</w:t>
            </w:r>
          </w:p>
        </w:tc>
        <w:tc>
          <w:tcPr>
            <w:tcW w:w="1702" w:type="dxa"/>
            <w:shd w:val="clear" w:color="auto" w:fill="0033A0"/>
            <w:vAlign w:val="center"/>
          </w:tcPr>
          <w:p w14:paraId="5E464232" w14:textId="5615B8FD" w:rsidR="007B6543" w:rsidRPr="00870A9D" w:rsidRDefault="00212C67" w:rsidP="00870A9D">
            <w:pPr>
              <w:autoSpaceDE w:val="0"/>
              <w:autoSpaceDN w:val="0"/>
              <w:adjustRightInd w:val="0"/>
              <w:spacing w:line="312" w:lineRule="auto"/>
              <w:jc w:val="both"/>
              <w:rPr>
                <w:rFonts w:ascii="Arial" w:hAnsi="Arial" w:cs="Arial"/>
                <w:b/>
                <w:sz w:val="22"/>
                <w:szCs w:val="22"/>
              </w:rPr>
            </w:pPr>
            <w:r w:rsidRPr="00870A9D">
              <w:rPr>
                <w:rFonts w:ascii="Arial" w:hAnsi="Arial" w:cs="Arial"/>
                <w:b/>
                <w:sz w:val="22"/>
                <w:szCs w:val="22"/>
              </w:rPr>
              <w:t>Ramo</w:t>
            </w:r>
          </w:p>
        </w:tc>
        <w:tc>
          <w:tcPr>
            <w:tcW w:w="2408" w:type="dxa"/>
            <w:gridSpan w:val="2"/>
            <w:vAlign w:val="center"/>
          </w:tcPr>
          <w:p w14:paraId="486667E2" w14:textId="0B05DF8C" w:rsidR="00C26408" w:rsidRPr="00870A9D" w:rsidRDefault="001E638A" w:rsidP="00870A9D">
            <w:pPr>
              <w:spacing w:line="312" w:lineRule="auto"/>
              <w:jc w:val="both"/>
              <w:rPr>
                <w:rFonts w:ascii="Arial" w:hAnsi="Arial" w:cs="Arial"/>
                <w:bCs/>
                <w:iCs/>
                <w:sz w:val="22"/>
                <w:szCs w:val="22"/>
              </w:rPr>
            </w:pPr>
            <w:r w:rsidRPr="00870A9D">
              <w:rPr>
                <w:rFonts w:ascii="Arial" w:hAnsi="Arial" w:cs="Arial"/>
                <w:iCs/>
                <w:sz w:val="22"/>
                <w:szCs w:val="22"/>
              </w:rPr>
              <w:t>N/A</w:t>
            </w:r>
          </w:p>
        </w:tc>
      </w:tr>
      <w:tr w:rsidR="0001168F" w:rsidRPr="00870A9D" w14:paraId="4EF15043" w14:textId="77777777" w:rsidTr="008F3801">
        <w:trPr>
          <w:cantSplit/>
          <w:trHeight w:val="340"/>
        </w:trPr>
        <w:tc>
          <w:tcPr>
            <w:tcW w:w="2353" w:type="dxa"/>
            <w:shd w:val="clear" w:color="auto" w:fill="0033A0"/>
            <w:vAlign w:val="center"/>
          </w:tcPr>
          <w:p w14:paraId="34C574BC" w14:textId="15D93DCE" w:rsidR="00FF66F3" w:rsidRPr="00870A9D" w:rsidRDefault="00212C67" w:rsidP="00870A9D">
            <w:pPr>
              <w:spacing w:line="312" w:lineRule="auto"/>
              <w:rPr>
                <w:rFonts w:ascii="Arial" w:hAnsi="Arial" w:cs="Arial"/>
                <w:b/>
                <w:sz w:val="22"/>
                <w:szCs w:val="22"/>
              </w:rPr>
            </w:pPr>
            <w:r w:rsidRPr="00870A9D">
              <w:rPr>
                <w:rFonts w:ascii="Arial" w:hAnsi="Arial" w:cs="Arial"/>
                <w:b/>
                <w:sz w:val="22"/>
                <w:szCs w:val="22"/>
              </w:rPr>
              <w:t>Vigencia</w:t>
            </w:r>
            <w:r w:rsidR="009572C0" w:rsidRPr="00870A9D">
              <w:rPr>
                <w:rFonts w:ascii="Arial" w:hAnsi="Arial" w:cs="Arial"/>
                <w:b/>
                <w:sz w:val="22"/>
                <w:szCs w:val="22"/>
              </w:rPr>
              <w:t xml:space="preserve"> afectada</w:t>
            </w:r>
          </w:p>
        </w:tc>
        <w:tc>
          <w:tcPr>
            <w:tcW w:w="7496" w:type="dxa"/>
            <w:gridSpan w:val="4"/>
            <w:vAlign w:val="center"/>
          </w:tcPr>
          <w:p w14:paraId="161C18D5" w14:textId="5AA5D877" w:rsidR="00C26408" w:rsidRPr="00870A9D" w:rsidRDefault="001E638A" w:rsidP="00870A9D">
            <w:pPr>
              <w:spacing w:line="312" w:lineRule="auto"/>
              <w:jc w:val="both"/>
              <w:rPr>
                <w:rFonts w:ascii="Arial" w:hAnsi="Arial" w:cs="Arial"/>
                <w:bCs/>
                <w:iCs/>
                <w:sz w:val="22"/>
                <w:szCs w:val="22"/>
              </w:rPr>
            </w:pPr>
            <w:r w:rsidRPr="00870A9D">
              <w:rPr>
                <w:rFonts w:ascii="Arial" w:hAnsi="Arial" w:cs="Arial"/>
                <w:iCs/>
                <w:sz w:val="22"/>
                <w:szCs w:val="22"/>
              </w:rPr>
              <w:t>N/A</w:t>
            </w:r>
          </w:p>
        </w:tc>
      </w:tr>
      <w:tr w:rsidR="00A70A97" w:rsidRPr="00870A9D" w14:paraId="25047409" w14:textId="77777777" w:rsidTr="008F3801">
        <w:trPr>
          <w:cantSplit/>
          <w:trHeight w:val="340"/>
        </w:trPr>
        <w:tc>
          <w:tcPr>
            <w:tcW w:w="2353" w:type="dxa"/>
            <w:shd w:val="clear" w:color="auto" w:fill="0033A0"/>
            <w:vAlign w:val="center"/>
          </w:tcPr>
          <w:p w14:paraId="1AA0EC9D" w14:textId="77777777" w:rsidR="00A70A97" w:rsidRPr="00870A9D" w:rsidRDefault="00A70A97" w:rsidP="00870A9D">
            <w:pPr>
              <w:spacing w:line="312" w:lineRule="auto"/>
              <w:rPr>
                <w:rFonts w:ascii="Arial" w:hAnsi="Arial" w:cs="Arial"/>
                <w:b/>
                <w:sz w:val="22"/>
                <w:szCs w:val="22"/>
              </w:rPr>
            </w:pPr>
            <w:r w:rsidRPr="00870A9D">
              <w:rPr>
                <w:rFonts w:ascii="Arial" w:hAnsi="Arial" w:cs="Arial"/>
                <w:b/>
                <w:sz w:val="22"/>
                <w:szCs w:val="22"/>
              </w:rPr>
              <w:t>Valor Asegurado</w:t>
            </w:r>
          </w:p>
        </w:tc>
        <w:tc>
          <w:tcPr>
            <w:tcW w:w="3386" w:type="dxa"/>
            <w:vAlign w:val="center"/>
          </w:tcPr>
          <w:p w14:paraId="1E069347" w14:textId="25327DF1" w:rsidR="00C26408" w:rsidRPr="00870A9D" w:rsidRDefault="001E638A" w:rsidP="00870A9D">
            <w:pPr>
              <w:autoSpaceDE w:val="0"/>
              <w:autoSpaceDN w:val="0"/>
              <w:adjustRightInd w:val="0"/>
              <w:spacing w:line="312" w:lineRule="auto"/>
              <w:rPr>
                <w:rFonts w:ascii="Arial" w:hAnsi="Arial" w:cs="Arial"/>
                <w:bCs/>
                <w:sz w:val="22"/>
                <w:szCs w:val="22"/>
              </w:rPr>
            </w:pPr>
            <w:r w:rsidRPr="00870A9D">
              <w:rPr>
                <w:rFonts w:ascii="Arial" w:hAnsi="Arial" w:cs="Arial"/>
                <w:iCs/>
                <w:sz w:val="22"/>
                <w:szCs w:val="22"/>
              </w:rPr>
              <w:t>N/A</w:t>
            </w:r>
          </w:p>
        </w:tc>
        <w:tc>
          <w:tcPr>
            <w:tcW w:w="1718" w:type="dxa"/>
            <w:gridSpan w:val="2"/>
            <w:shd w:val="clear" w:color="auto" w:fill="0033A0"/>
            <w:vAlign w:val="center"/>
          </w:tcPr>
          <w:p w14:paraId="7D4CD472" w14:textId="438AC017" w:rsidR="00A70A97" w:rsidRPr="00870A9D" w:rsidRDefault="00A70A97" w:rsidP="00870A9D">
            <w:pPr>
              <w:autoSpaceDE w:val="0"/>
              <w:autoSpaceDN w:val="0"/>
              <w:adjustRightInd w:val="0"/>
              <w:spacing w:line="312" w:lineRule="auto"/>
              <w:rPr>
                <w:rFonts w:ascii="Arial" w:hAnsi="Arial" w:cs="Arial"/>
                <w:b/>
                <w:bCs/>
                <w:sz w:val="22"/>
                <w:szCs w:val="22"/>
              </w:rPr>
            </w:pPr>
            <w:r w:rsidRPr="00870A9D">
              <w:rPr>
                <w:rFonts w:ascii="Arial" w:hAnsi="Arial" w:cs="Arial"/>
                <w:b/>
                <w:bCs/>
                <w:sz w:val="22"/>
                <w:szCs w:val="22"/>
              </w:rPr>
              <w:t>Placa</w:t>
            </w:r>
            <w:r w:rsidR="0091430C" w:rsidRPr="00870A9D">
              <w:rPr>
                <w:rFonts w:ascii="Arial" w:hAnsi="Arial" w:cs="Arial"/>
                <w:b/>
                <w:bCs/>
                <w:sz w:val="22"/>
                <w:szCs w:val="22"/>
              </w:rPr>
              <w:t xml:space="preserve"> </w:t>
            </w:r>
          </w:p>
        </w:tc>
        <w:tc>
          <w:tcPr>
            <w:tcW w:w="2392" w:type="dxa"/>
            <w:vAlign w:val="center"/>
          </w:tcPr>
          <w:p w14:paraId="2AA20772" w14:textId="56C1C6E2" w:rsidR="00A70A97" w:rsidRPr="00870A9D" w:rsidRDefault="001E638A" w:rsidP="00870A9D">
            <w:pPr>
              <w:autoSpaceDE w:val="0"/>
              <w:autoSpaceDN w:val="0"/>
              <w:adjustRightInd w:val="0"/>
              <w:spacing w:line="312" w:lineRule="auto"/>
              <w:rPr>
                <w:rFonts w:ascii="Arial" w:hAnsi="Arial" w:cs="Arial"/>
                <w:bCs/>
                <w:iCs/>
                <w:sz w:val="22"/>
                <w:szCs w:val="22"/>
              </w:rPr>
            </w:pPr>
            <w:r w:rsidRPr="00870A9D">
              <w:rPr>
                <w:rFonts w:ascii="Arial" w:hAnsi="Arial" w:cs="Arial"/>
                <w:iCs/>
                <w:sz w:val="22"/>
                <w:szCs w:val="22"/>
              </w:rPr>
              <w:t>N/A</w:t>
            </w:r>
          </w:p>
        </w:tc>
      </w:tr>
    </w:tbl>
    <w:p w14:paraId="7BBF8ED2" w14:textId="77777777" w:rsidR="00FF66F3" w:rsidRPr="00870A9D" w:rsidRDefault="00FF66F3" w:rsidP="00870A9D">
      <w:pPr>
        <w:spacing w:line="312" w:lineRule="auto"/>
        <w:rPr>
          <w:rFonts w:ascii="Arial" w:hAnsi="Arial" w:cs="Arial"/>
          <w:b/>
          <w:sz w:val="22"/>
          <w:szCs w:val="22"/>
          <w:u w:val="single"/>
        </w:rPr>
      </w:pPr>
    </w:p>
    <w:p w14:paraId="207F11E8" w14:textId="45DEB7B7" w:rsidR="00FF66F3" w:rsidRPr="00870A9D" w:rsidRDefault="00FF66F3" w:rsidP="00870A9D">
      <w:pPr>
        <w:spacing w:line="312" w:lineRule="auto"/>
        <w:rPr>
          <w:rFonts w:ascii="Arial" w:hAnsi="Arial" w:cs="Arial"/>
          <w:b/>
          <w:sz w:val="22"/>
          <w:szCs w:val="22"/>
        </w:rPr>
      </w:pPr>
    </w:p>
    <w:p w14:paraId="0C3AC512" w14:textId="5AD7BD07" w:rsidR="00FF66F3" w:rsidRPr="00870A9D" w:rsidRDefault="009E7D3B" w:rsidP="00870A9D">
      <w:pPr>
        <w:spacing w:line="312" w:lineRule="auto"/>
        <w:rPr>
          <w:rFonts w:ascii="Arial" w:hAnsi="Arial" w:cs="Arial"/>
          <w:b/>
          <w:sz w:val="22"/>
          <w:szCs w:val="22"/>
        </w:rPr>
      </w:pPr>
      <w:r w:rsidRPr="00870A9D">
        <w:rPr>
          <w:rFonts w:ascii="Arial" w:hAnsi="Arial" w:cs="Arial"/>
          <w:b/>
          <w:sz w:val="22"/>
          <w:szCs w:val="22"/>
        </w:rPr>
        <w:t>Datos específicos del proceso</w:t>
      </w:r>
    </w:p>
    <w:p w14:paraId="4D7ECE1C" w14:textId="77777777" w:rsidR="00247E08" w:rsidRPr="00870A9D" w:rsidRDefault="00247E08" w:rsidP="00870A9D">
      <w:pPr>
        <w:spacing w:line="312" w:lineRule="auto"/>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870A9D" w14:paraId="7AFB6461" w14:textId="77777777" w:rsidTr="008F3801">
        <w:trPr>
          <w:trHeight w:val="340"/>
        </w:trPr>
        <w:tc>
          <w:tcPr>
            <w:tcW w:w="2338" w:type="dxa"/>
            <w:shd w:val="clear" w:color="auto" w:fill="0033A0"/>
            <w:vAlign w:val="center"/>
          </w:tcPr>
          <w:p w14:paraId="61666A84" w14:textId="6256291F" w:rsidR="00247E08" w:rsidRPr="00870A9D" w:rsidRDefault="00247E08" w:rsidP="00870A9D">
            <w:pPr>
              <w:spacing w:line="312" w:lineRule="auto"/>
              <w:rPr>
                <w:rFonts w:ascii="Arial" w:hAnsi="Arial" w:cs="Arial"/>
                <w:b/>
                <w:sz w:val="22"/>
                <w:szCs w:val="22"/>
              </w:rPr>
            </w:pPr>
            <w:r w:rsidRPr="00870A9D">
              <w:rPr>
                <w:rFonts w:ascii="Arial" w:hAnsi="Arial" w:cs="Arial"/>
                <w:b/>
                <w:sz w:val="22"/>
                <w:szCs w:val="22"/>
              </w:rPr>
              <w:t>Demandante</w:t>
            </w:r>
            <w:r w:rsidR="009E7D3B" w:rsidRPr="00870A9D">
              <w:rPr>
                <w:rFonts w:ascii="Arial" w:hAnsi="Arial" w:cs="Arial"/>
                <w:b/>
                <w:sz w:val="22"/>
                <w:szCs w:val="22"/>
              </w:rPr>
              <w:t>s</w:t>
            </w:r>
          </w:p>
        </w:tc>
        <w:tc>
          <w:tcPr>
            <w:tcW w:w="7512" w:type="dxa"/>
            <w:gridSpan w:val="3"/>
            <w:vAlign w:val="center"/>
          </w:tcPr>
          <w:p w14:paraId="31112D16" w14:textId="38523688" w:rsidR="00247E08" w:rsidRPr="00870A9D" w:rsidRDefault="009F5B78" w:rsidP="00870A9D">
            <w:pPr>
              <w:spacing w:line="312" w:lineRule="auto"/>
              <w:jc w:val="both"/>
              <w:rPr>
                <w:rFonts w:ascii="Arial" w:hAnsi="Arial" w:cs="Arial"/>
                <w:iCs/>
                <w:sz w:val="22"/>
                <w:szCs w:val="22"/>
              </w:rPr>
            </w:pPr>
            <w:r w:rsidRPr="00870A9D">
              <w:rPr>
                <w:rFonts w:ascii="Arial" w:hAnsi="Arial" w:cs="Arial"/>
                <w:iCs/>
                <w:sz w:val="22"/>
                <w:szCs w:val="22"/>
              </w:rPr>
              <w:t>Consejo Superior de la Judicatura – Dirección Seccional de Cali – Dirección Ejecutiva Seccional de Administración Judicial de Cali</w:t>
            </w:r>
            <w:r w:rsidR="00FF326C" w:rsidRPr="00870A9D">
              <w:rPr>
                <w:rFonts w:ascii="Arial" w:hAnsi="Arial" w:cs="Arial"/>
                <w:iCs/>
                <w:sz w:val="22"/>
                <w:szCs w:val="22"/>
              </w:rPr>
              <w:t xml:space="preserve"> </w:t>
            </w:r>
          </w:p>
        </w:tc>
      </w:tr>
      <w:tr w:rsidR="00954C7D" w:rsidRPr="00870A9D" w14:paraId="3184660E" w14:textId="77777777" w:rsidTr="008F3801">
        <w:trPr>
          <w:trHeight w:val="545"/>
        </w:trPr>
        <w:tc>
          <w:tcPr>
            <w:tcW w:w="2338" w:type="dxa"/>
            <w:shd w:val="clear" w:color="auto" w:fill="0033A0"/>
            <w:vAlign w:val="center"/>
          </w:tcPr>
          <w:p w14:paraId="1946D0B5" w14:textId="1E747231" w:rsidR="00954C7D" w:rsidRPr="00870A9D" w:rsidRDefault="00954C7D" w:rsidP="00870A9D">
            <w:pPr>
              <w:spacing w:line="312" w:lineRule="auto"/>
              <w:rPr>
                <w:rFonts w:ascii="Arial" w:hAnsi="Arial" w:cs="Arial"/>
                <w:b/>
                <w:sz w:val="22"/>
                <w:szCs w:val="22"/>
              </w:rPr>
            </w:pPr>
            <w:r w:rsidRPr="00870A9D">
              <w:rPr>
                <w:rFonts w:ascii="Arial" w:hAnsi="Arial" w:cs="Arial"/>
                <w:b/>
                <w:sz w:val="22"/>
                <w:szCs w:val="22"/>
              </w:rPr>
              <w:t>Demandados</w:t>
            </w:r>
          </w:p>
        </w:tc>
        <w:tc>
          <w:tcPr>
            <w:tcW w:w="7512" w:type="dxa"/>
            <w:gridSpan w:val="3"/>
            <w:vAlign w:val="center"/>
          </w:tcPr>
          <w:p w14:paraId="4CC15FC8" w14:textId="6F597FD4" w:rsidR="002C6436" w:rsidRPr="00870A9D" w:rsidRDefault="009F5B78" w:rsidP="00870A9D">
            <w:pPr>
              <w:spacing w:line="312" w:lineRule="auto"/>
              <w:jc w:val="both"/>
              <w:rPr>
                <w:rFonts w:ascii="Arial" w:hAnsi="Arial" w:cs="Arial"/>
                <w:iCs/>
                <w:sz w:val="22"/>
                <w:szCs w:val="22"/>
              </w:rPr>
            </w:pPr>
            <w:r w:rsidRPr="00870A9D">
              <w:rPr>
                <w:rFonts w:ascii="Arial" w:hAnsi="Arial" w:cs="Arial"/>
                <w:bCs/>
                <w:sz w:val="22"/>
                <w:szCs w:val="22"/>
              </w:rPr>
              <w:t>EPS SURAMERICANA S.A.</w:t>
            </w:r>
          </w:p>
        </w:tc>
      </w:tr>
      <w:tr w:rsidR="003152D5" w:rsidRPr="00870A9D" w14:paraId="45AB4561" w14:textId="77777777" w:rsidTr="008F3801">
        <w:trPr>
          <w:trHeight w:val="545"/>
        </w:trPr>
        <w:tc>
          <w:tcPr>
            <w:tcW w:w="2338" w:type="dxa"/>
            <w:shd w:val="clear" w:color="auto" w:fill="0033A0"/>
            <w:vAlign w:val="center"/>
          </w:tcPr>
          <w:p w14:paraId="0220664F" w14:textId="74168ED4"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Llamante en garantía</w:t>
            </w:r>
          </w:p>
        </w:tc>
        <w:tc>
          <w:tcPr>
            <w:tcW w:w="7512" w:type="dxa"/>
            <w:gridSpan w:val="3"/>
            <w:vAlign w:val="center"/>
          </w:tcPr>
          <w:p w14:paraId="3001872B" w14:textId="44C07CAE" w:rsidR="003152D5" w:rsidRPr="00870A9D" w:rsidRDefault="00FF326C" w:rsidP="00870A9D">
            <w:pPr>
              <w:spacing w:line="312" w:lineRule="auto"/>
              <w:jc w:val="both"/>
              <w:rPr>
                <w:rFonts w:ascii="Arial" w:hAnsi="Arial" w:cs="Arial"/>
                <w:iCs/>
                <w:sz w:val="22"/>
                <w:szCs w:val="22"/>
              </w:rPr>
            </w:pPr>
            <w:r w:rsidRPr="00870A9D">
              <w:rPr>
                <w:rFonts w:ascii="Arial" w:hAnsi="Arial" w:cs="Arial"/>
                <w:bCs/>
                <w:sz w:val="22"/>
                <w:szCs w:val="22"/>
              </w:rPr>
              <w:t>N/A</w:t>
            </w:r>
          </w:p>
        </w:tc>
      </w:tr>
      <w:tr w:rsidR="003152D5" w:rsidRPr="00870A9D" w14:paraId="5BFE20EE" w14:textId="77777777" w:rsidTr="008F3801">
        <w:trPr>
          <w:cantSplit/>
          <w:trHeight w:val="566"/>
        </w:trPr>
        <w:tc>
          <w:tcPr>
            <w:tcW w:w="2338" w:type="dxa"/>
            <w:shd w:val="clear" w:color="auto" w:fill="0033A0"/>
            <w:vAlign w:val="center"/>
          </w:tcPr>
          <w:p w14:paraId="3F4BFE3A" w14:textId="14FECE14"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Autoridad de conocimiento</w:t>
            </w:r>
          </w:p>
        </w:tc>
        <w:tc>
          <w:tcPr>
            <w:tcW w:w="3827" w:type="dxa"/>
            <w:vAlign w:val="center"/>
          </w:tcPr>
          <w:p w14:paraId="52AE397D" w14:textId="4F2D28D5" w:rsidR="003152D5" w:rsidRPr="00870A9D" w:rsidRDefault="009F5B78" w:rsidP="00870A9D">
            <w:pPr>
              <w:spacing w:line="312" w:lineRule="auto"/>
              <w:jc w:val="both"/>
              <w:rPr>
                <w:rFonts w:ascii="Arial" w:hAnsi="Arial" w:cs="Arial"/>
                <w:iCs/>
                <w:sz w:val="22"/>
                <w:szCs w:val="22"/>
              </w:rPr>
            </w:pPr>
            <w:r w:rsidRPr="00870A9D">
              <w:rPr>
                <w:rFonts w:ascii="Arial" w:hAnsi="Arial" w:cs="Arial"/>
                <w:iCs/>
                <w:sz w:val="22"/>
                <w:szCs w:val="22"/>
              </w:rPr>
              <w:t>Consejo Superior de la Judicatura – Dirección Seccional de Cali – Dirección Ejecutiva Seccional de Administración Judicial de Cali</w:t>
            </w:r>
          </w:p>
        </w:tc>
        <w:tc>
          <w:tcPr>
            <w:tcW w:w="1276" w:type="dxa"/>
            <w:shd w:val="clear" w:color="auto" w:fill="0033A0"/>
            <w:vAlign w:val="center"/>
          </w:tcPr>
          <w:p w14:paraId="6164DA6C" w14:textId="179A804C" w:rsidR="003152D5" w:rsidRPr="00870A9D" w:rsidRDefault="003152D5" w:rsidP="00870A9D">
            <w:pPr>
              <w:spacing w:line="312" w:lineRule="auto"/>
              <w:jc w:val="both"/>
              <w:rPr>
                <w:rFonts w:ascii="Arial" w:hAnsi="Arial" w:cs="Arial"/>
                <w:b/>
                <w:bCs/>
                <w:sz w:val="22"/>
                <w:szCs w:val="22"/>
              </w:rPr>
            </w:pPr>
            <w:r w:rsidRPr="00870A9D">
              <w:rPr>
                <w:rFonts w:ascii="Arial" w:hAnsi="Arial" w:cs="Arial"/>
                <w:b/>
                <w:bCs/>
                <w:sz w:val="22"/>
                <w:szCs w:val="22"/>
              </w:rPr>
              <w:t>Radicado</w:t>
            </w:r>
          </w:p>
        </w:tc>
        <w:tc>
          <w:tcPr>
            <w:tcW w:w="2409" w:type="dxa"/>
            <w:vAlign w:val="center"/>
          </w:tcPr>
          <w:p w14:paraId="751C5BE4" w14:textId="76D41ED8" w:rsidR="003152D5" w:rsidRPr="00870A9D" w:rsidRDefault="00FE3D6E" w:rsidP="00870A9D">
            <w:pPr>
              <w:spacing w:line="312" w:lineRule="auto"/>
              <w:jc w:val="both"/>
              <w:rPr>
                <w:rFonts w:ascii="Arial" w:hAnsi="Arial" w:cs="Arial"/>
                <w:sz w:val="22"/>
                <w:szCs w:val="22"/>
              </w:rPr>
            </w:pPr>
            <w:r>
              <w:rPr>
                <w:rFonts w:ascii="Arial" w:eastAsiaTheme="minorHAnsi" w:hAnsi="Arial" w:cs="Arial"/>
                <w:sz w:val="22"/>
                <w:szCs w:val="22"/>
                <w:lang w:eastAsia="en-US"/>
              </w:rPr>
              <w:t>760011290000202400</w:t>
            </w:r>
            <w:r w:rsidR="00B309A4">
              <w:rPr>
                <w:rFonts w:ascii="Arial" w:eastAsiaTheme="minorHAnsi" w:hAnsi="Arial" w:cs="Arial"/>
                <w:sz w:val="22"/>
                <w:szCs w:val="22"/>
                <w:lang w:eastAsia="en-US"/>
              </w:rPr>
              <w:t>5</w:t>
            </w:r>
            <w:r>
              <w:rPr>
                <w:rFonts w:ascii="Arial" w:eastAsiaTheme="minorHAnsi" w:hAnsi="Arial" w:cs="Arial"/>
                <w:sz w:val="22"/>
                <w:szCs w:val="22"/>
                <w:lang w:eastAsia="en-US"/>
              </w:rPr>
              <w:t>7800</w:t>
            </w:r>
          </w:p>
        </w:tc>
      </w:tr>
      <w:tr w:rsidR="003152D5" w:rsidRPr="00870A9D" w14:paraId="2335A9D5" w14:textId="77777777" w:rsidTr="008F3801">
        <w:trPr>
          <w:trHeight w:val="516"/>
        </w:trPr>
        <w:tc>
          <w:tcPr>
            <w:tcW w:w="2338" w:type="dxa"/>
            <w:shd w:val="clear" w:color="auto" w:fill="0033A0"/>
            <w:vAlign w:val="center"/>
          </w:tcPr>
          <w:p w14:paraId="3F4221E7" w14:textId="120AFAC3" w:rsidR="003152D5" w:rsidRPr="00870A9D" w:rsidRDefault="003152D5" w:rsidP="00870A9D">
            <w:pPr>
              <w:pStyle w:val="Ttulo7"/>
              <w:spacing w:line="312" w:lineRule="auto"/>
              <w:rPr>
                <w:rFonts w:ascii="Arial" w:hAnsi="Arial" w:cs="Arial"/>
                <w:szCs w:val="22"/>
              </w:rPr>
            </w:pPr>
            <w:r w:rsidRPr="00870A9D">
              <w:rPr>
                <w:rFonts w:ascii="Arial" w:hAnsi="Arial" w:cs="Arial"/>
                <w:szCs w:val="22"/>
              </w:rPr>
              <w:lastRenderedPageBreak/>
              <w:t>Pretensiones solicitadas</w:t>
            </w:r>
          </w:p>
        </w:tc>
        <w:tc>
          <w:tcPr>
            <w:tcW w:w="7512" w:type="dxa"/>
            <w:gridSpan w:val="3"/>
            <w:vAlign w:val="center"/>
          </w:tcPr>
          <w:p w14:paraId="14D14BDC" w14:textId="77777777" w:rsidR="00FF326C" w:rsidRPr="00870A9D" w:rsidRDefault="003152D5" w:rsidP="00FD6885">
            <w:pPr>
              <w:pStyle w:val="Textoindependiente"/>
              <w:spacing w:after="0" w:line="312" w:lineRule="auto"/>
              <w:jc w:val="both"/>
              <w:rPr>
                <w:rFonts w:ascii="Arial" w:hAnsi="Arial" w:cs="Arial"/>
                <w:b/>
                <w:bCs/>
                <w:noProof/>
                <w:sz w:val="22"/>
                <w:szCs w:val="22"/>
                <w:u w:val="single"/>
              </w:rPr>
            </w:pPr>
            <w:r w:rsidRPr="00870A9D">
              <w:rPr>
                <w:rFonts w:ascii="Arial" w:hAnsi="Arial" w:cs="Arial"/>
                <w:b/>
                <w:bCs/>
                <w:noProof/>
                <w:sz w:val="22"/>
                <w:szCs w:val="22"/>
                <w:u w:val="single"/>
              </w:rPr>
              <w:t xml:space="preserve">Pretensiones: </w:t>
            </w:r>
          </w:p>
          <w:p w14:paraId="671B73C8" w14:textId="0A868D7B" w:rsidR="00A024F9" w:rsidRPr="00870A9D" w:rsidRDefault="009F5B78" w:rsidP="00FD6885">
            <w:pPr>
              <w:pStyle w:val="Textoindependiente"/>
              <w:spacing w:after="0" w:line="312" w:lineRule="auto"/>
              <w:jc w:val="both"/>
              <w:rPr>
                <w:rFonts w:ascii="Arial" w:hAnsi="Arial" w:cs="Arial"/>
                <w:bCs/>
                <w:sz w:val="22"/>
                <w:szCs w:val="22"/>
              </w:rPr>
            </w:pPr>
            <w:r w:rsidRPr="00870A9D">
              <w:rPr>
                <w:rFonts w:ascii="Arial" w:hAnsi="Arial" w:cs="Arial"/>
                <w:bCs/>
                <w:sz w:val="22"/>
                <w:szCs w:val="22"/>
              </w:rPr>
              <w:t>Que se ordene el reintegro de la suma de $</w:t>
            </w:r>
            <w:r w:rsidR="00C02672">
              <w:rPr>
                <w:rFonts w:ascii="Arial" w:hAnsi="Arial" w:cs="Arial"/>
                <w:bCs/>
                <w:sz w:val="22"/>
                <w:szCs w:val="22"/>
              </w:rPr>
              <w:t>73.406.658</w:t>
            </w:r>
            <w:r w:rsidR="00870A9D">
              <w:rPr>
                <w:rFonts w:ascii="Arial" w:hAnsi="Arial" w:cs="Arial"/>
                <w:bCs/>
                <w:sz w:val="22"/>
                <w:szCs w:val="22"/>
              </w:rPr>
              <w:t xml:space="preserve"> más los intereses </w:t>
            </w:r>
            <w:r w:rsidR="008A2EB7">
              <w:rPr>
                <w:rFonts w:ascii="Arial" w:hAnsi="Arial" w:cs="Arial"/>
                <w:bCs/>
                <w:sz w:val="22"/>
                <w:szCs w:val="22"/>
              </w:rPr>
              <w:t>que se causen.</w:t>
            </w:r>
            <w:r w:rsidR="00870A9D">
              <w:rPr>
                <w:rFonts w:ascii="Arial" w:hAnsi="Arial" w:cs="Arial"/>
                <w:bCs/>
                <w:sz w:val="22"/>
                <w:szCs w:val="22"/>
              </w:rPr>
              <w:t xml:space="preserve"> </w:t>
            </w:r>
          </w:p>
        </w:tc>
      </w:tr>
      <w:tr w:rsidR="003152D5" w:rsidRPr="00870A9D" w14:paraId="2CCDBF49" w14:textId="77777777" w:rsidTr="008F3801">
        <w:trPr>
          <w:trHeight w:val="340"/>
        </w:trPr>
        <w:tc>
          <w:tcPr>
            <w:tcW w:w="2338" w:type="dxa"/>
            <w:shd w:val="clear" w:color="auto" w:fill="0033A0"/>
            <w:vAlign w:val="center"/>
          </w:tcPr>
          <w:p w14:paraId="5CC1129D" w14:textId="03354AA7" w:rsidR="003152D5" w:rsidRPr="00870A9D" w:rsidRDefault="003152D5" w:rsidP="00870A9D">
            <w:pPr>
              <w:pStyle w:val="Ttulo7"/>
              <w:spacing w:line="312" w:lineRule="auto"/>
              <w:rPr>
                <w:rFonts w:ascii="Arial" w:hAnsi="Arial" w:cs="Arial"/>
                <w:szCs w:val="22"/>
              </w:rPr>
            </w:pPr>
            <w:r w:rsidRPr="00870A9D">
              <w:rPr>
                <w:rFonts w:ascii="Arial" w:hAnsi="Arial" w:cs="Arial"/>
                <w:szCs w:val="22"/>
              </w:rPr>
              <w:t>Pretensiones objetivadas</w:t>
            </w:r>
          </w:p>
        </w:tc>
        <w:tc>
          <w:tcPr>
            <w:tcW w:w="7512" w:type="dxa"/>
            <w:gridSpan w:val="3"/>
            <w:vAlign w:val="center"/>
          </w:tcPr>
          <w:p w14:paraId="117E9A35" w14:textId="77777777" w:rsidR="00FD237D" w:rsidRDefault="003152D5" w:rsidP="00FD6885">
            <w:pPr>
              <w:pStyle w:val="Sangra2detindependiente"/>
              <w:spacing w:after="0" w:line="312" w:lineRule="auto"/>
              <w:ind w:left="0"/>
              <w:jc w:val="both"/>
              <w:rPr>
                <w:rFonts w:ascii="Arial" w:hAnsi="Arial" w:cs="Arial"/>
                <w:sz w:val="22"/>
                <w:szCs w:val="22"/>
                <w:lang w:val="es-CO"/>
              </w:rPr>
            </w:pPr>
            <w:r w:rsidRPr="00870A9D">
              <w:rPr>
                <w:rFonts w:ascii="Arial" w:hAnsi="Arial" w:cs="Arial"/>
                <w:b/>
                <w:sz w:val="22"/>
                <w:szCs w:val="22"/>
                <w:lang w:val="es-CO"/>
              </w:rPr>
              <w:t>PRETENSIONES OBJETIVADAS</w:t>
            </w:r>
            <w:r w:rsidRPr="00870A9D">
              <w:rPr>
                <w:rFonts w:ascii="Arial" w:hAnsi="Arial" w:cs="Arial"/>
                <w:sz w:val="22"/>
                <w:szCs w:val="22"/>
                <w:lang w:val="es-CO"/>
              </w:rPr>
              <w:t xml:space="preserve">: </w:t>
            </w:r>
          </w:p>
          <w:p w14:paraId="3ABD5356" w14:textId="77777777" w:rsidR="006C145D" w:rsidRPr="00870A9D" w:rsidRDefault="006C145D" w:rsidP="00FD6885">
            <w:pPr>
              <w:pStyle w:val="Sangra2detindependiente"/>
              <w:spacing w:after="0" w:line="312" w:lineRule="auto"/>
              <w:ind w:left="0"/>
              <w:jc w:val="both"/>
              <w:rPr>
                <w:rFonts w:ascii="Arial" w:hAnsi="Arial" w:cs="Arial"/>
                <w:noProof/>
                <w:sz w:val="22"/>
                <w:szCs w:val="22"/>
                <w:lang w:val="es-CO"/>
              </w:rPr>
            </w:pPr>
          </w:p>
          <w:p w14:paraId="5BF8A3CC" w14:textId="676D6549" w:rsidR="00B17DDE" w:rsidRDefault="00870A9D" w:rsidP="00FD6885">
            <w:pPr>
              <w:pStyle w:val="Sangra2detindependiente"/>
              <w:spacing w:after="0" w:line="312" w:lineRule="auto"/>
              <w:ind w:left="0"/>
              <w:jc w:val="both"/>
              <w:rPr>
                <w:rFonts w:ascii="Arial" w:hAnsi="Arial" w:cs="Arial"/>
                <w:sz w:val="22"/>
                <w:szCs w:val="22"/>
                <w:lang w:val="es-CO"/>
              </w:rPr>
            </w:pPr>
            <w:r w:rsidRPr="00870A9D">
              <w:rPr>
                <w:rFonts w:ascii="Arial" w:hAnsi="Arial" w:cs="Arial"/>
                <w:sz w:val="22"/>
                <w:szCs w:val="22"/>
                <w:lang w:val="es-CO"/>
              </w:rPr>
              <w:t>La suma de $</w:t>
            </w:r>
            <w:r w:rsidR="00C02672">
              <w:rPr>
                <w:rFonts w:ascii="Arial" w:hAnsi="Arial" w:cs="Arial"/>
                <w:b/>
                <w:bCs/>
                <w:sz w:val="22"/>
                <w:szCs w:val="22"/>
                <w:u w:val="single"/>
                <w:lang w:val="es-CO"/>
              </w:rPr>
              <w:t>73.406.658</w:t>
            </w:r>
          </w:p>
          <w:p w14:paraId="144E4EDE" w14:textId="77777777" w:rsidR="006C145D" w:rsidRDefault="006C145D" w:rsidP="00FD6885">
            <w:pPr>
              <w:pStyle w:val="Sangra2detindependiente"/>
              <w:spacing w:after="0" w:line="312" w:lineRule="auto"/>
              <w:ind w:left="0"/>
              <w:jc w:val="both"/>
              <w:rPr>
                <w:rFonts w:ascii="Arial" w:hAnsi="Arial" w:cs="Arial"/>
                <w:sz w:val="22"/>
                <w:szCs w:val="22"/>
                <w:lang w:val="es-CO"/>
              </w:rPr>
            </w:pPr>
          </w:p>
          <w:p w14:paraId="544CE0ED" w14:textId="6952415C" w:rsidR="006C145D" w:rsidRDefault="006C145D" w:rsidP="00FD6885">
            <w:pPr>
              <w:pStyle w:val="Sangra2detindependiente"/>
              <w:spacing w:after="0" w:line="312" w:lineRule="auto"/>
              <w:ind w:left="0"/>
              <w:jc w:val="both"/>
              <w:rPr>
                <w:rFonts w:ascii="Arial" w:hAnsi="Arial" w:cs="Arial"/>
                <w:sz w:val="22"/>
                <w:szCs w:val="22"/>
              </w:rPr>
            </w:pPr>
            <w:r w:rsidRPr="006F745A">
              <w:rPr>
                <w:rFonts w:ascii="Arial" w:hAnsi="Arial" w:cs="Arial"/>
                <w:sz w:val="22"/>
                <w:szCs w:val="22"/>
              </w:rPr>
              <w:t>El valor de la liquidación se obtiene de lo ordenado a través de la Resolución No</w:t>
            </w:r>
            <w:r w:rsidRPr="00C02672">
              <w:rPr>
                <w:rFonts w:ascii="Arial" w:hAnsi="Arial" w:cs="Arial"/>
                <w:sz w:val="22"/>
                <w:szCs w:val="22"/>
              </w:rPr>
              <w:t xml:space="preserve">. </w:t>
            </w:r>
            <w:r w:rsidR="00C02672" w:rsidRPr="00C02672">
              <w:rPr>
                <w:rFonts w:ascii="Arial" w:hAnsi="Arial" w:cs="Arial"/>
                <w:sz w:val="22"/>
                <w:szCs w:val="22"/>
              </w:rPr>
              <w:t>DESAJCLR24-535 del 19 de febrero de 2024,</w:t>
            </w:r>
            <w:r w:rsidR="00C02672">
              <w:t xml:space="preserve"> </w:t>
            </w:r>
            <w:r w:rsidR="00FF5280">
              <w:rPr>
                <w:rFonts w:ascii="Arial" w:hAnsi="Arial" w:cs="Arial"/>
                <w:sz w:val="22"/>
                <w:szCs w:val="22"/>
              </w:rPr>
              <w:t xml:space="preserve">la cual quedó en firme porque no se presentaron recursos contra ella. </w:t>
            </w:r>
            <w:r w:rsidRPr="006F745A">
              <w:rPr>
                <w:rFonts w:ascii="Arial" w:hAnsi="Arial" w:cs="Arial"/>
                <w:sz w:val="22"/>
                <w:szCs w:val="22"/>
              </w:rPr>
              <w:t xml:space="preserve"> </w:t>
            </w:r>
          </w:p>
          <w:p w14:paraId="75F400C0" w14:textId="798A4355" w:rsidR="006C145D" w:rsidRPr="00870A9D" w:rsidRDefault="006C145D" w:rsidP="00FD6885">
            <w:pPr>
              <w:pStyle w:val="Sangra2detindependiente"/>
              <w:spacing w:after="0" w:line="312" w:lineRule="auto"/>
              <w:ind w:left="0"/>
              <w:jc w:val="both"/>
              <w:rPr>
                <w:rFonts w:ascii="Arial" w:hAnsi="Arial" w:cs="Arial"/>
                <w:sz w:val="22"/>
                <w:szCs w:val="22"/>
                <w:lang w:val="es-CO"/>
              </w:rPr>
            </w:pPr>
          </w:p>
        </w:tc>
      </w:tr>
      <w:tr w:rsidR="003152D5" w:rsidRPr="00870A9D" w14:paraId="47F9AB40" w14:textId="77777777" w:rsidTr="008F3801">
        <w:trPr>
          <w:trHeight w:val="1657"/>
        </w:trPr>
        <w:tc>
          <w:tcPr>
            <w:tcW w:w="2338" w:type="dxa"/>
            <w:shd w:val="clear" w:color="auto" w:fill="0033A0"/>
            <w:vAlign w:val="center"/>
          </w:tcPr>
          <w:p w14:paraId="6C301EF8" w14:textId="77D2D7C3" w:rsidR="003152D5" w:rsidRPr="00870A9D" w:rsidRDefault="003152D5" w:rsidP="00870A9D">
            <w:pPr>
              <w:pStyle w:val="Ttulo7"/>
              <w:spacing w:line="312" w:lineRule="auto"/>
              <w:rPr>
                <w:rFonts w:ascii="Arial" w:hAnsi="Arial" w:cs="Arial"/>
                <w:szCs w:val="22"/>
              </w:rPr>
            </w:pPr>
            <w:r w:rsidRPr="00870A9D">
              <w:rPr>
                <w:rFonts w:ascii="Arial" w:hAnsi="Arial" w:cs="Arial"/>
                <w:szCs w:val="22"/>
              </w:rPr>
              <w:t>Resumen del proceso</w:t>
            </w:r>
          </w:p>
        </w:tc>
        <w:tc>
          <w:tcPr>
            <w:tcW w:w="7512" w:type="dxa"/>
            <w:gridSpan w:val="3"/>
            <w:vAlign w:val="center"/>
          </w:tcPr>
          <w:p w14:paraId="35610EB2" w14:textId="2005C97C" w:rsidR="009F5B78" w:rsidRPr="00870A9D" w:rsidRDefault="009F5B78" w:rsidP="00FD6885">
            <w:pPr>
              <w:pStyle w:val="Default"/>
              <w:spacing w:line="312" w:lineRule="auto"/>
              <w:jc w:val="both"/>
              <w:rPr>
                <w:iCs/>
                <w:sz w:val="22"/>
                <w:szCs w:val="22"/>
              </w:rPr>
            </w:pPr>
            <w:r w:rsidRPr="00870A9D">
              <w:rPr>
                <w:iCs/>
                <w:sz w:val="22"/>
                <w:szCs w:val="22"/>
              </w:rPr>
              <w:t xml:space="preserve">De conformidad con los hechos de la demanda, por medio de la RESOLUCION </w:t>
            </w:r>
            <w:r w:rsidR="00641E01" w:rsidRPr="006F745A">
              <w:rPr>
                <w:sz w:val="22"/>
                <w:szCs w:val="22"/>
              </w:rPr>
              <w:t xml:space="preserve">No. </w:t>
            </w:r>
            <w:r w:rsidR="00C02672">
              <w:rPr>
                <w:sz w:val="22"/>
                <w:szCs w:val="22"/>
              </w:rPr>
              <w:t>DESAJCLR24-535 del 19 de febrero de 2024</w:t>
            </w:r>
            <w:r w:rsidRPr="00870A9D">
              <w:rPr>
                <w:iCs/>
                <w:sz w:val="22"/>
                <w:szCs w:val="22"/>
              </w:rPr>
              <w:t>, la Directora Ejecutiva Seccional de Administración Judicial (E) dispuso, previo a unas consideraciones de tipo administrativo, "ORDENAR el reintegro de la suma de $</w:t>
            </w:r>
            <w:r w:rsidR="00C02672">
              <w:rPr>
                <w:iCs/>
                <w:sz w:val="22"/>
                <w:szCs w:val="22"/>
              </w:rPr>
              <w:t>73.406.658</w:t>
            </w:r>
            <w:r w:rsidRPr="00870A9D">
              <w:rPr>
                <w:iCs/>
                <w:sz w:val="22"/>
                <w:szCs w:val="22"/>
              </w:rPr>
              <w:t xml:space="preserve"> por parte de EPS SURA a través de su representante legal o quien haga sus veces.</w:t>
            </w:r>
          </w:p>
          <w:p w14:paraId="677D935C" w14:textId="77777777" w:rsidR="009F5B78" w:rsidRPr="00870A9D" w:rsidRDefault="009F5B78" w:rsidP="00FD6885">
            <w:pPr>
              <w:pStyle w:val="Default"/>
              <w:spacing w:line="312" w:lineRule="auto"/>
              <w:jc w:val="both"/>
              <w:rPr>
                <w:iCs/>
                <w:sz w:val="22"/>
                <w:szCs w:val="22"/>
              </w:rPr>
            </w:pPr>
          </w:p>
          <w:p w14:paraId="578B2250" w14:textId="77777777" w:rsidR="009F5B78" w:rsidRPr="00870A9D" w:rsidRDefault="009F5B78" w:rsidP="00FD6885">
            <w:pPr>
              <w:pStyle w:val="Default"/>
              <w:spacing w:line="312" w:lineRule="auto"/>
              <w:jc w:val="both"/>
              <w:rPr>
                <w:iCs/>
                <w:sz w:val="22"/>
                <w:szCs w:val="22"/>
              </w:rPr>
            </w:pPr>
            <w:r w:rsidRPr="00870A9D">
              <w:rPr>
                <w:iCs/>
                <w:sz w:val="22"/>
                <w:szCs w:val="22"/>
              </w:rPr>
              <w:t xml:space="preserve">Indicó el actor que Así mismo indicó en el artículo 4 de la citada resolución, que de no realizarse las consignaciones relacionadas en el cuadro anterior, se procederá con el cobro coactivo de dichos “conceptos” por parte de la Oficina Jurídica de la Dirección Ejecutiva Seccional de Administración Judicial del Valle. </w:t>
            </w:r>
          </w:p>
          <w:p w14:paraId="0FB03480" w14:textId="77777777" w:rsidR="009F5B78" w:rsidRPr="00870A9D" w:rsidRDefault="009F5B78" w:rsidP="00FD6885">
            <w:pPr>
              <w:pStyle w:val="Default"/>
              <w:spacing w:line="312" w:lineRule="auto"/>
              <w:jc w:val="both"/>
              <w:rPr>
                <w:iCs/>
                <w:sz w:val="22"/>
                <w:szCs w:val="22"/>
              </w:rPr>
            </w:pPr>
          </w:p>
          <w:p w14:paraId="0D210CED" w14:textId="75DAD961" w:rsidR="003152D5" w:rsidRPr="00870A9D" w:rsidRDefault="009F5B78" w:rsidP="00FD6885">
            <w:pPr>
              <w:pStyle w:val="Default"/>
              <w:spacing w:line="312" w:lineRule="auto"/>
              <w:jc w:val="both"/>
              <w:rPr>
                <w:iCs/>
                <w:sz w:val="22"/>
                <w:szCs w:val="22"/>
              </w:rPr>
            </w:pPr>
            <w:r w:rsidRPr="00870A9D">
              <w:rPr>
                <w:iCs/>
                <w:sz w:val="22"/>
                <w:szCs w:val="22"/>
              </w:rPr>
              <w:t>Adujo el actor que los fundamentos de hecho que impulsaron la resolución, se respaldan en una auditoría de Oficio UA16-278 del 26 de agosto de 2016 de la Unidad de Auditoría del Consejo Superior de la Judicatura, donde se advierte una presunta y futura pérdida de recursos, y adicionalmente por lo dispuesto en la Circular DEAJC 16-79 de la Dirección Ejecutiva de Administración Judicial, ordena "emprender acciones, sobre los aspectos más relevantes que influirán en el resultado de las cifras ciertas de los estados financieros".</w:t>
            </w:r>
          </w:p>
        </w:tc>
      </w:tr>
      <w:tr w:rsidR="003152D5" w:rsidRPr="00870A9D" w14:paraId="51B3F58B" w14:textId="77777777" w:rsidTr="008F3801">
        <w:trPr>
          <w:trHeight w:val="559"/>
        </w:trPr>
        <w:tc>
          <w:tcPr>
            <w:tcW w:w="2338" w:type="dxa"/>
            <w:shd w:val="clear" w:color="auto" w:fill="0033A0"/>
            <w:vAlign w:val="center"/>
          </w:tcPr>
          <w:p w14:paraId="502B9735" w14:textId="77777777"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Calificación de la Contingencia</w:t>
            </w:r>
          </w:p>
        </w:tc>
        <w:tc>
          <w:tcPr>
            <w:tcW w:w="7512" w:type="dxa"/>
            <w:gridSpan w:val="3"/>
            <w:vAlign w:val="center"/>
          </w:tcPr>
          <w:p w14:paraId="3354A7BE" w14:textId="477165B1" w:rsidR="003152D5" w:rsidRPr="00870A9D" w:rsidRDefault="009F5B78" w:rsidP="00870A9D">
            <w:pPr>
              <w:spacing w:line="312" w:lineRule="auto"/>
              <w:jc w:val="both"/>
              <w:rPr>
                <w:rFonts w:ascii="Arial" w:hAnsi="Arial" w:cs="Arial"/>
                <w:b/>
                <w:iCs/>
                <w:sz w:val="22"/>
                <w:szCs w:val="22"/>
              </w:rPr>
            </w:pPr>
            <w:r w:rsidRPr="00870A9D">
              <w:rPr>
                <w:rFonts w:ascii="Arial" w:hAnsi="Arial" w:cs="Arial"/>
                <w:b/>
                <w:iCs/>
                <w:sz w:val="22"/>
                <w:szCs w:val="22"/>
              </w:rPr>
              <w:t>PROBABLE</w:t>
            </w:r>
          </w:p>
        </w:tc>
      </w:tr>
      <w:tr w:rsidR="003152D5" w:rsidRPr="00870A9D" w14:paraId="3816128F" w14:textId="77777777" w:rsidTr="008F3801">
        <w:trPr>
          <w:trHeight w:val="836"/>
        </w:trPr>
        <w:tc>
          <w:tcPr>
            <w:tcW w:w="2338" w:type="dxa"/>
            <w:shd w:val="clear" w:color="auto" w:fill="0033A0"/>
            <w:vAlign w:val="center"/>
          </w:tcPr>
          <w:p w14:paraId="7FDFC74F" w14:textId="7C9CBE7F"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Fundamento de la calificación</w:t>
            </w:r>
          </w:p>
        </w:tc>
        <w:tc>
          <w:tcPr>
            <w:tcW w:w="7512" w:type="dxa"/>
            <w:gridSpan w:val="3"/>
            <w:vAlign w:val="center"/>
          </w:tcPr>
          <w:p w14:paraId="48F11CA9" w14:textId="77777777" w:rsidR="00FD6885" w:rsidRDefault="00870A9D" w:rsidP="00FD6885">
            <w:pPr>
              <w:pStyle w:val="NormalWeb"/>
              <w:shd w:val="clear" w:color="auto" w:fill="FFFFFF"/>
              <w:spacing w:before="0" w:beforeAutospacing="0" w:after="0" w:afterAutospacing="0" w:line="312" w:lineRule="auto"/>
              <w:jc w:val="both"/>
              <w:textAlignment w:val="baseline"/>
              <w:rPr>
                <w:color w:val="000000"/>
              </w:rPr>
            </w:pPr>
            <w:r w:rsidRPr="00870A9D">
              <w:rPr>
                <w:rFonts w:ascii="Arial" w:hAnsi="Arial" w:cs="Arial"/>
                <w:b/>
                <w:bCs/>
                <w:color w:val="000000"/>
                <w:sz w:val="22"/>
                <w:szCs w:val="22"/>
                <w:bdr w:val="none" w:sz="0" w:space="0" w:color="auto" w:frame="1"/>
              </w:rPr>
              <w:t>CALIFICACION:</w:t>
            </w:r>
            <w:r w:rsidR="00FD6885">
              <w:rPr>
                <w:rFonts w:ascii="Arial" w:hAnsi="Arial" w:cs="Arial"/>
                <w:b/>
                <w:bCs/>
                <w:color w:val="000000"/>
                <w:sz w:val="22"/>
                <w:szCs w:val="22"/>
                <w:bdr w:val="none" w:sz="0" w:space="0" w:color="auto" w:frame="1"/>
              </w:rPr>
              <w:t xml:space="preserve"> </w:t>
            </w:r>
            <w:r w:rsidR="00FD6885">
              <w:rPr>
                <w:rFonts w:ascii="Arial" w:hAnsi="Arial" w:cs="Arial"/>
                <w:color w:val="000000"/>
                <w:sz w:val="22"/>
                <w:szCs w:val="22"/>
                <w:bdr w:val="none" w:sz="0" w:space="0" w:color="auto" w:frame="1"/>
              </w:rPr>
              <w:t>La contingencia se</w:t>
            </w:r>
            <w:r w:rsidR="00FD6885">
              <w:rPr>
                <w:rFonts w:ascii="Arial" w:hAnsi="Arial" w:cs="Arial"/>
                <w:color w:val="000000"/>
                <w:sz w:val="22"/>
                <w:szCs w:val="22"/>
                <w:bdr w:val="none" w:sz="0" w:space="0" w:color="auto" w:frame="1"/>
                <w:lang w:val="es-ES"/>
              </w:rPr>
              <w:t> califica como </w:t>
            </w:r>
            <w:r w:rsidR="00FD6885">
              <w:rPr>
                <w:rFonts w:ascii="Arial" w:hAnsi="Arial" w:cs="Arial"/>
                <w:b/>
                <w:bCs/>
                <w:color w:val="000000"/>
                <w:sz w:val="22"/>
                <w:szCs w:val="22"/>
                <w:bdr w:val="none" w:sz="0" w:space="0" w:color="auto" w:frame="1"/>
              </w:rPr>
              <w:t>PROBABLE</w:t>
            </w:r>
            <w:r w:rsidR="00FD6885">
              <w:rPr>
                <w:rFonts w:ascii="Arial" w:hAnsi="Arial" w:cs="Arial"/>
                <w:color w:val="000000"/>
                <w:sz w:val="22"/>
                <w:szCs w:val="22"/>
                <w:bdr w:val="none" w:sz="0" w:space="0" w:color="auto" w:frame="1"/>
              </w:rPr>
              <w:t>, toda vez que, a pesar de existir argumentos para revocar los actos administrativos, la Dirección Seccional en múltiples pronunciamientos ha mantenido las decisiones incólumes.  </w:t>
            </w:r>
          </w:p>
          <w:p w14:paraId="64E56C43" w14:textId="77777777" w:rsidR="00FD6885" w:rsidRDefault="00FD6885" w:rsidP="00FD6885">
            <w:pPr>
              <w:pStyle w:val="NormalWeb"/>
              <w:shd w:val="clear" w:color="auto" w:fill="FFFFFF"/>
              <w:spacing w:before="0" w:beforeAutospacing="0" w:after="0" w:afterAutospacing="0" w:line="312" w:lineRule="auto"/>
              <w:jc w:val="both"/>
              <w:textAlignment w:val="baseline"/>
              <w:rPr>
                <w:color w:val="000000"/>
              </w:rPr>
            </w:pPr>
            <w:r>
              <w:rPr>
                <w:rFonts w:ascii="Arial" w:hAnsi="Arial" w:cs="Arial"/>
                <w:color w:val="000000"/>
                <w:sz w:val="22"/>
                <w:szCs w:val="22"/>
                <w:bdr w:val="none" w:sz="0" w:space="0" w:color="auto" w:frame="1"/>
              </w:rPr>
              <w:t> </w:t>
            </w:r>
          </w:p>
          <w:p w14:paraId="46EE1E88" w14:textId="52E20254" w:rsidR="003152D5" w:rsidRPr="00192B11" w:rsidRDefault="00FD6885" w:rsidP="00FD6885">
            <w:pPr>
              <w:shd w:val="clear" w:color="auto" w:fill="FFFFFF"/>
              <w:spacing w:line="312" w:lineRule="auto"/>
              <w:jc w:val="both"/>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Si bien es cierto existen argumentos fácticos y jurídicos que permiten sustentar la revocatoria de los actos administrativos materializados en la Resolución DESAJCLR</w:t>
            </w:r>
            <w:r w:rsidR="009C52D9">
              <w:rPr>
                <w:rFonts w:ascii="Arial" w:hAnsi="Arial" w:cs="Arial"/>
                <w:color w:val="000000"/>
                <w:sz w:val="22"/>
                <w:szCs w:val="22"/>
                <w:bdr w:val="none" w:sz="0" w:space="0" w:color="auto" w:frame="1"/>
              </w:rPr>
              <w:t>24-535 del 19 de febrero de 2024</w:t>
            </w:r>
            <w:r>
              <w:rPr>
                <w:rFonts w:ascii="Arial" w:hAnsi="Arial" w:cs="Arial"/>
                <w:color w:val="000000"/>
                <w:sz w:val="22"/>
                <w:szCs w:val="22"/>
                <w:bdr w:val="none" w:sz="0" w:space="0" w:color="auto" w:frame="1"/>
              </w:rPr>
              <w:t xml:space="preserve">, lo son (i) que la entidad demandada no tenía competencia para adoptar las decisiones contenida en </w:t>
            </w:r>
            <w:r w:rsidR="00DE709C">
              <w:rPr>
                <w:rFonts w:ascii="Arial" w:hAnsi="Arial" w:cs="Arial"/>
                <w:color w:val="000000"/>
                <w:sz w:val="22"/>
                <w:szCs w:val="22"/>
                <w:bdr w:val="none" w:sz="0" w:space="0" w:color="auto" w:frame="1"/>
              </w:rPr>
              <w:t xml:space="preserve">el </w:t>
            </w:r>
            <w:r>
              <w:rPr>
                <w:rFonts w:ascii="Arial" w:hAnsi="Arial" w:cs="Arial"/>
                <w:color w:val="000000"/>
                <w:sz w:val="22"/>
                <w:szCs w:val="22"/>
                <w:bdr w:val="none" w:sz="0" w:space="0" w:color="auto" w:frame="1"/>
              </w:rPr>
              <w:t xml:space="preserve">acto administrativo mencionado (ii) </w:t>
            </w:r>
            <w:r w:rsidR="00DE709C">
              <w:rPr>
                <w:rFonts w:ascii="Arial" w:hAnsi="Arial" w:cs="Arial"/>
                <w:color w:val="000000"/>
                <w:sz w:val="22"/>
                <w:szCs w:val="22"/>
                <w:bdr w:val="none" w:sz="0" w:space="0" w:color="auto" w:frame="1"/>
              </w:rPr>
              <w:t xml:space="preserve">la falta de título ejecutivo (iii) </w:t>
            </w:r>
            <w:r>
              <w:rPr>
                <w:rFonts w:ascii="Arial" w:hAnsi="Arial" w:cs="Arial"/>
                <w:color w:val="000000"/>
                <w:sz w:val="22"/>
                <w:szCs w:val="22"/>
                <w:bdr w:val="none" w:sz="0" w:space="0" w:color="auto" w:frame="1"/>
              </w:rPr>
              <w:t xml:space="preserve">el pago de algunas prestaciones económicas; y (iii) el incumplimiento de requisitos para el pago de otras, sin embargo, </w:t>
            </w:r>
            <w:r w:rsidR="00192B11">
              <w:rPr>
                <w:rFonts w:ascii="Arial" w:hAnsi="Arial" w:cs="Arial"/>
                <w:color w:val="000000"/>
                <w:sz w:val="22"/>
                <w:szCs w:val="22"/>
                <w:bdr w:val="none" w:sz="0" w:space="0" w:color="auto" w:frame="1"/>
              </w:rPr>
              <w:t xml:space="preserve">en el presente asunto no se agotó la vía gubernativa y a través de las excepciones frente al mandamiento de pago, es poco probable que la Dirección Seccional cambie o modifique su decisión, máxime cuando en pronunciamiento anteriores ha hecho caso omiso. </w:t>
            </w:r>
            <w:r>
              <w:rPr>
                <w:rFonts w:ascii="Arial" w:hAnsi="Arial" w:cs="Arial"/>
                <w:color w:val="000000"/>
                <w:sz w:val="22"/>
                <w:szCs w:val="22"/>
                <w:bdr w:val="none" w:sz="0" w:space="0" w:color="auto" w:frame="1"/>
              </w:rPr>
              <w:t xml:space="preserve">Por lo anterior, en este proceso coactivo la calificación debe </w:t>
            </w:r>
            <w:r>
              <w:rPr>
                <w:rFonts w:ascii="Arial" w:hAnsi="Arial" w:cs="Arial"/>
                <w:color w:val="000000"/>
                <w:sz w:val="22"/>
                <w:szCs w:val="22"/>
                <w:bdr w:val="none" w:sz="0" w:space="0" w:color="auto" w:frame="1"/>
              </w:rPr>
              <w:lastRenderedPageBreak/>
              <w:t xml:space="preserve">mantenerse probable porque hay poca probabilidad de que </w:t>
            </w:r>
            <w:r w:rsidR="00555DFF">
              <w:rPr>
                <w:rFonts w:ascii="Arial" w:hAnsi="Arial" w:cs="Arial"/>
                <w:color w:val="000000"/>
                <w:sz w:val="22"/>
                <w:szCs w:val="22"/>
                <w:bdr w:val="none" w:sz="0" w:space="0" w:color="auto" w:frame="1"/>
              </w:rPr>
              <w:t xml:space="preserve">prosperen las excepciones y </w:t>
            </w:r>
            <w:r>
              <w:rPr>
                <w:rFonts w:ascii="Arial" w:hAnsi="Arial" w:cs="Arial"/>
                <w:color w:val="000000"/>
                <w:sz w:val="22"/>
                <w:szCs w:val="22"/>
                <w:bdr w:val="none" w:sz="0" w:space="0" w:color="auto" w:frame="1"/>
              </w:rPr>
              <w:t xml:space="preserve">la Dirección Seccional </w:t>
            </w:r>
            <w:r w:rsidR="00EF459D">
              <w:rPr>
                <w:rFonts w:ascii="Arial" w:hAnsi="Arial" w:cs="Arial"/>
                <w:color w:val="000000"/>
                <w:sz w:val="22"/>
                <w:szCs w:val="22"/>
                <w:bdr w:val="none" w:sz="0" w:space="0" w:color="auto" w:frame="1"/>
              </w:rPr>
              <w:t>modifique la decisión</w:t>
            </w:r>
            <w:r>
              <w:rPr>
                <w:rFonts w:ascii="Arial" w:hAnsi="Arial" w:cs="Arial"/>
                <w:color w:val="000000"/>
                <w:sz w:val="22"/>
                <w:szCs w:val="22"/>
                <w:bdr w:val="none" w:sz="0" w:space="0" w:color="auto" w:frame="1"/>
              </w:rPr>
              <w:t>. Lo anterior sin perjuicio del carácter contingente del proceso.  </w:t>
            </w:r>
          </w:p>
        </w:tc>
      </w:tr>
      <w:tr w:rsidR="003152D5" w:rsidRPr="00870A9D" w14:paraId="423EF0FF" w14:textId="77777777" w:rsidTr="008F3801">
        <w:trPr>
          <w:trHeight w:val="478"/>
        </w:trPr>
        <w:tc>
          <w:tcPr>
            <w:tcW w:w="2338" w:type="dxa"/>
            <w:shd w:val="clear" w:color="auto" w:fill="0033A0"/>
            <w:vAlign w:val="center"/>
          </w:tcPr>
          <w:p w14:paraId="2F9F4436" w14:textId="77777777"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lastRenderedPageBreak/>
              <w:t>Observaciones</w:t>
            </w:r>
          </w:p>
        </w:tc>
        <w:tc>
          <w:tcPr>
            <w:tcW w:w="7512" w:type="dxa"/>
            <w:gridSpan w:val="3"/>
            <w:vAlign w:val="center"/>
          </w:tcPr>
          <w:p w14:paraId="0C08A217" w14:textId="40EBE5E4" w:rsidR="003152D5" w:rsidRPr="00870A9D" w:rsidRDefault="00870A9D" w:rsidP="00870A9D">
            <w:pPr>
              <w:spacing w:line="312" w:lineRule="auto"/>
              <w:jc w:val="both"/>
              <w:rPr>
                <w:rFonts w:ascii="Arial" w:hAnsi="Arial" w:cs="Arial"/>
                <w:iCs/>
                <w:sz w:val="22"/>
                <w:szCs w:val="22"/>
              </w:rPr>
            </w:pPr>
            <w:r w:rsidRPr="00870A9D">
              <w:rPr>
                <w:rFonts w:ascii="Arial" w:hAnsi="Arial" w:cs="Arial"/>
                <w:iCs/>
                <w:sz w:val="22"/>
                <w:szCs w:val="22"/>
              </w:rPr>
              <w:t xml:space="preserve">Este informe corresponde al proceso coactivo que adelanta la Dirección Seccional Cali. </w:t>
            </w:r>
          </w:p>
        </w:tc>
      </w:tr>
    </w:tbl>
    <w:p w14:paraId="03B039A9" w14:textId="77777777" w:rsidR="00247E08" w:rsidRPr="00870A9D" w:rsidRDefault="00247E08" w:rsidP="00870A9D">
      <w:pPr>
        <w:spacing w:line="312" w:lineRule="auto"/>
        <w:rPr>
          <w:rFonts w:ascii="Arial" w:hAnsi="Arial" w:cs="Arial"/>
          <w:b/>
          <w:sz w:val="22"/>
          <w:szCs w:val="22"/>
          <w:u w:val="single"/>
        </w:rPr>
      </w:pPr>
    </w:p>
    <w:p w14:paraId="7C1537B2" w14:textId="77777777" w:rsidR="0096555E" w:rsidRPr="00870A9D" w:rsidRDefault="0096555E" w:rsidP="00870A9D">
      <w:pPr>
        <w:spacing w:line="312" w:lineRule="auto"/>
        <w:rPr>
          <w:rFonts w:ascii="Arial" w:hAnsi="Arial" w:cs="Arial"/>
          <w:b/>
          <w:sz w:val="22"/>
          <w:szCs w:val="22"/>
        </w:rPr>
      </w:pPr>
    </w:p>
    <w:p w14:paraId="1AA0C5C3" w14:textId="2FE4EAEC" w:rsidR="00247E08" w:rsidRPr="00870A9D" w:rsidRDefault="00E7768D" w:rsidP="00870A9D">
      <w:pPr>
        <w:spacing w:line="312" w:lineRule="auto"/>
        <w:rPr>
          <w:rFonts w:ascii="Arial" w:hAnsi="Arial" w:cs="Arial"/>
          <w:b/>
          <w:sz w:val="22"/>
          <w:szCs w:val="22"/>
        </w:rPr>
      </w:pPr>
      <w:r w:rsidRPr="00870A9D">
        <w:rPr>
          <w:rFonts w:ascii="Arial" w:hAnsi="Arial" w:cs="Arial"/>
          <w:b/>
          <w:sz w:val="22"/>
          <w:szCs w:val="22"/>
        </w:rPr>
        <w:t>Datos abogado interno</w:t>
      </w:r>
    </w:p>
    <w:p w14:paraId="30A5C309" w14:textId="62380A42" w:rsidR="00E7768D" w:rsidRPr="00870A9D" w:rsidRDefault="00E7768D" w:rsidP="00870A9D">
      <w:pPr>
        <w:spacing w:line="312" w:lineRule="auto"/>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870A9D" w14:paraId="6E3C6E8A" w14:textId="77777777" w:rsidTr="008F3801">
        <w:trPr>
          <w:trHeight w:val="340"/>
        </w:trPr>
        <w:tc>
          <w:tcPr>
            <w:tcW w:w="2353" w:type="dxa"/>
            <w:shd w:val="clear" w:color="auto" w:fill="0033A0"/>
            <w:vAlign w:val="center"/>
          </w:tcPr>
          <w:p w14:paraId="72BAF282" w14:textId="216ED2CA" w:rsidR="00527AC1" w:rsidRPr="00870A9D" w:rsidRDefault="00670B1C" w:rsidP="00870A9D">
            <w:pPr>
              <w:spacing w:line="312" w:lineRule="auto"/>
              <w:jc w:val="both"/>
              <w:rPr>
                <w:rFonts w:ascii="Arial" w:hAnsi="Arial" w:cs="Arial"/>
                <w:b/>
                <w:bCs/>
                <w:sz w:val="22"/>
                <w:szCs w:val="22"/>
              </w:rPr>
            </w:pPr>
            <w:r w:rsidRPr="00870A9D">
              <w:rPr>
                <w:rFonts w:ascii="Arial" w:hAnsi="Arial" w:cs="Arial"/>
                <w:b/>
                <w:bCs/>
                <w:sz w:val="22"/>
                <w:szCs w:val="22"/>
              </w:rPr>
              <w:t>Requiere siniestro</w:t>
            </w:r>
          </w:p>
        </w:tc>
        <w:tc>
          <w:tcPr>
            <w:tcW w:w="1260" w:type="dxa"/>
            <w:vAlign w:val="center"/>
          </w:tcPr>
          <w:p w14:paraId="7944CF82" w14:textId="77777777" w:rsidR="00527AC1" w:rsidRPr="00870A9D" w:rsidRDefault="00527AC1" w:rsidP="00870A9D">
            <w:pPr>
              <w:spacing w:line="312" w:lineRule="auto"/>
              <w:jc w:val="both"/>
              <w:rPr>
                <w:rFonts w:ascii="Arial" w:hAnsi="Arial" w:cs="Arial"/>
                <w:sz w:val="22"/>
                <w:szCs w:val="22"/>
              </w:rPr>
            </w:pPr>
          </w:p>
        </w:tc>
        <w:tc>
          <w:tcPr>
            <w:tcW w:w="2127" w:type="dxa"/>
            <w:shd w:val="clear" w:color="auto" w:fill="0033A0"/>
            <w:vAlign w:val="center"/>
          </w:tcPr>
          <w:p w14:paraId="5FD9B59F" w14:textId="57D650C4" w:rsidR="00527AC1" w:rsidRPr="00870A9D" w:rsidRDefault="00670B1C" w:rsidP="00870A9D">
            <w:pPr>
              <w:spacing w:line="312" w:lineRule="auto"/>
              <w:jc w:val="both"/>
              <w:rPr>
                <w:rFonts w:ascii="Arial" w:hAnsi="Arial" w:cs="Arial"/>
                <w:b/>
                <w:bCs/>
                <w:sz w:val="22"/>
                <w:szCs w:val="22"/>
              </w:rPr>
            </w:pPr>
            <w:r w:rsidRPr="00870A9D">
              <w:rPr>
                <w:rFonts w:ascii="Arial" w:hAnsi="Arial" w:cs="Arial"/>
                <w:b/>
                <w:bCs/>
                <w:sz w:val="22"/>
                <w:szCs w:val="22"/>
              </w:rPr>
              <w:t>Número de siniestro</w:t>
            </w:r>
          </w:p>
        </w:tc>
        <w:tc>
          <w:tcPr>
            <w:tcW w:w="4110" w:type="dxa"/>
            <w:vAlign w:val="center"/>
          </w:tcPr>
          <w:p w14:paraId="08F65C37" w14:textId="536588FA" w:rsidR="00527AC1" w:rsidRPr="00870A9D" w:rsidRDefault="00527AC1" w:rsidP="00870A9D">
            <w:pPr>
              <w:spacing w:line="312" w:lineRule="auto"/>
              <w:jc w:val="both"/>
              <w:rPr>
                <w:rFonts w:ascii="Arial" w:hAnsi="Arial" w:cs="Arial"/>
                <w:sz w:val="22"/>
                <w:szCs w:val="22"/>
              </w:rPr>
            </w:pPr>
          </w:p>
        </w:tc>
      </w:tr>
      <w:tr w:rsidR="00670B1C" w:rsidRPr="00870A9D" w14:paraId="02724D2B" w14:textId="77777777" w:rsidTr="008F3801">
        <w:trPr>
          <w:cantSplit/>
          <w:trHeight w:val="340"/>
        </w:trPr>
        <w:tc>
          <w:tcPr>
            <w:tcW w:w="2353" w:type="dxa"/>
            <w:shd w:val="clear" w:color="auto" w:fill="0033A0"/>
            <w:vAlign w:val="center"/>
          </w:tcPr>
          <w:p w14:paraId="712D0A9F" w14:textId="4E0FB124" w:rsidR="00670B1C" w:rsidRPr="00870A9D" w:rsidRDefault="004C53EC" w:rsidP="00870A9D">
            <w:pPr>
              <w:spacing w:line="312" w:lineRule="auto"/>
              <w:rPr>
                <w:rFonts w:ascii="Arial" w:hAnsi="Arial" w:cs="Arial"/>
                <w:b/>
                <w:sz w:val="22"/>
                <w:szCs w:val="22"/>
              </w:rPr>
            </w:pPr>
            <w:r w:rsidRPr="00870A9D">
              <w:rPr>
                <w:rFonts w:ascii="Arial" w:hAnsi="Arial" w:cs="Arial"/>
                <w:b/>
                <w:sz w:val="22"/>
                <w:szCs w:val="22"/>
              </w:rPr>
              <w:t>Vinculado</w:t>
            </w:r>
          </w:p>
        </w:tc>
        <w:tc>
          <w:tcPr>
            <w:tcW w:w="1260" w:type="dxa"/>
            <w:vAlign w:val="center"/>
          </w:tcPr>
          <w:p w14:paraId="6EE862B9" w14:textId="77777777" w:rsidR="00670B1C" w:rsidRPr="00870A9D" w:rsidRDefault="00670B1C" w:rsidP="00870A9D">
            <w:pPr>
              <w:spacing w:line="312" w:lineRule="auto"/>
              <w:jc w:val="both"/>
              <w:rPr>
                <w:rFonts w:ascii="Arial" w:hAnsi="Arial" w:cs="Arial"/>
                <w:sz w:val="22"/>
                <w:szCs w:val="22"/>
              </w:rPr>
            </w:pPr>
          </w:p>
        </w:tc>
        <w:tc>
          <w:tcPr>
            <w:tcW w:w="2127" w:type="dxa"/>
            <w:shd w:val="clear" w:color="auto" w:fill="0033A0"/>
            <w:vAlign w:val="center"/>
          </w:tcPr>
          <w:p w14:paraId="64204CF7" w14:textId="26B2CBCA" w:rsidR="00670B1C" w:rsidRPr="00870A9D" w:rsidRDefault="004C53EC" w:rsidP="00870A9D">
            <w:pPr>
              <w:spacing w:line="312" w:lineRule="auto"/>
              <w:jc w:val="both"/>
              <w:rPr>
                <w:rFonts w:ascii="Arial" w:hAnsi="Arial" w:cs="Arial"/>
                <w:b/>
                <w:sz w:val="22"/>
                <w:szCs w:val="22"/>
              </w:rPr>
            </w:pPr>
            <w:r w:rsidRPr="00870A9D">
              <w:rPr>
                <w:rFonts w:ascii="Arial" w:hAnsi="Arial" w:cs="Arial"/>
                <w:b/>
                <w:sz w:val="22"/>
                <w:szCs w:val="22"/>
              </w:rPr>
              <w:t>Asunto</w:t>
            </w:r>
          </w:p>
        </w:tc>
        <w:tc>
          <w:tcPr>
            <w:tcW w:w="4110" w:type="dxa"/>
            <w:vAlign w:val="center"/>
          </w:tcPr>
          <w:p w14:paraId="67FD7B5B" w14:textId="578D9DB7" w:rsidR="00670B1C" w:rsidRPr="00870A9D" w:rsidRDefault="00670B1C" w:rsidP="00870A9D">
            <w:pPr>
              <w:spacing w:line="312" w:lineRule="auto"/>
              <w:jc w:val="both"/>
              <w:rPr>
                <w:rFonts w:ascii="Arial" w:hAnsi="Arial" w:cs="Arial"/>
                <w:sz w:val="22"/>
                <w:szCs w:val="22"/>
              </w:rPr>
            </w:pPr>
          </w:p>
        </w:tc>
      </w:tr>
    </w:tbl>
    <w:p w14:paraId="1AEE6596" w14:textId="77777777" w:rsidR="00E7768D" w:rsidRPr="00870A9D" w:rsidRDefault="00E7768D" w:rsidP="00870A9D">
      <w:pPr>
        <w:spacing w:line="312" w:lineRule="auto"/>
        <w:rPr>
          <w:rFonts w:ascii="Arial" w:hAnsi="Arial" w:cs="Arial"/>
          <w:b/>
          <w:sz w:val="22"/>
          <w:szCs w:val="22"/>
          <w:u w:val="single"/>
        </w:rPr>
      </w:pPr>
    </w:p>
    <w:p w14:paraId="7AE6077F" w14:textId="77777777" w:rsidR="009F5B78" w:rsidRPr="00870A9D" w:rsidRDefault="009F5B78" w:rsidP="00870A9D">
      <w:pPr>
        <w:spacing w:line="312" w:lineRule="auto"/>
        <w:rPr>
          <w:rFonts w:ascii="Arial" w:hAnsi="Arial" w:cs="Arial"/>
          <w:b/>
          <w:sz w:val="22"/>
          <w:szCs w:val="22"/>
          <w:u w:val="single"/>
        </w:rPr>
      </w:pPr>
    </w:p>
    <w:p w14:paraId="424B9B6C" w14:textId="77777777" w:rsidR="009F5B78" w:rsidRPr="00870A9D" w:rsidRDefault="009F5B78" w:rsidP="00870A9D">
      <w:pPr>
        <w:spacing w:line="312" w:lineRule="auto"/>
        <w:rPr>
          <w:rFonts w:ascii="Arial" w:hAnsi="Arial" w:cs="Arial"/>
          <w:b/>
          <w:sz w:val="22"/>
          <w:szCs w:val="22"/>
          <w:u w:val="single"/>
        </w:rPr>
      </w:pPr>
    </w:p>
    <w:p w14:paraId="10E394ED" w14:textId="77777777" w:rsidR="00587D7B" w:rsidRPr="00870A9D" w:rsidRDefault="00587D7B" w:rsidP="00870A9D">
      <w:pPr>
        <w:spacing w:line="312" w:lineRule="auto"/>
        <w:jc w:val="both"/>
        <w:rPr>
          <w:rFonts w:ascii="Arial" w:hAnsi="Arial" w:cs="Arial"/>
          <w:bCs/>
          <w:sz w:val="22"/>
          <w:szCs w:val="22"/>
        </w:rPr>
      </w:pPr>
    </w:p>
    <w:sectPr w:rsidR="00587D7B" w:rsidRPr="00870A9D"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3647" w14:textId="77777777" w:rsidR="00313FE7" w:rsidRDefault="00313FE7" w:rsidP="00114170">
      <w:r>
        <w:separator/>
      </w:r>
    </w:p>
  </w:endnote>
  <w:endnote w:type="continuationSeparator" w:id="0">
    <w:p w14:paraId="0BFF713E" w14:textId="77777777" w:rsidR="00313FE7" w:rsidRDefault="00313FE7"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28C6" w14:textId="77777777" w:rsidR="00313FE7" w:rsidRDefault="00313FE7" w:rsidP="00114170">
      <w:r>
        <w:separator/>
      </w:r>
    </w:p>
  </w:footnote>
  <w:footnote w:type="continuationSeparator" w:id="0">
    <w:p w14:paraId="1463B303" w14:textId="77777777" w:rsidR="00313FE7" w:rsidRDefault="00313FE7"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47242">
    <w:abstractNumId w:val="20"/>
  </w:num>
  <w:num w:numId="2" w16cid:durableId="2086369117">
    <w:abstractNumId w:val="18"/>
  </w:num>
  <w:num w:numId="3" w16cid:durableId="487484337">
    <w:abstractNumId w:val="23"/>
  </w:num>
  <w:num w:numId="4" w16cid:durableId="1023823516">
    <w:abstractNumId w:val="21"/>
  </w:num>
  <w:num w:numId="5" w16cid:durableId="536814349">
    <w:abstractNumId w:val="14"/>
  </w:num>
  <w:num w:numId="6" w16cid:durableId="358242002">
    <w:abstractNumId w:val="29"/>
  </w:num>
  <w:num w:numId="7" w16cid:durableId="682440956">
    <w:abstractNumId w:val="9"/>
  </w:num>
  <w:num w:numId="8" w16cid:durableId="1857889753">
    <w:abstractNumId w:val="3"/>
  </w:num>
  <w:num w:numId="9" w16cid:durableId="1887179278">
    <w:abstractNumId w:val="31"/>
  </w:num>
  <w:num w:numId="10" w16cid:durableId="1164934662">
    <w:abstractNumId w:val="11"/>
  </w:num>
  <w:num w:numId="11" w16cid:durableId="1122726259">
    <w:abstractNumId w:val="1"/>
  </w:num>
  <w:num w:numId="12" w16cid:durableId="1708680498">
    <w:abstractNumId w:val="28"/>
  </w:num>
  <w:num w:numId="13" w16cid:durableId="1610358479">
    <w:abstractNumId w:val="10"/>
  </w:num>
  <w:num w:numId="14" w16cid:durableId="1554735258">
    <w:abstractNumId w:val="4"/>
  </w:num>
  <w:num w:numId="15" w16cid:durableId="1894077784">
    <w:abstractNumId w:val="19"/>
  </w:num>
  <w:num w:numId="16" w16cid:durableId="2106460291">
    <w:abstractNumId w:val="30"/>
  </w:num>
  <w:num w:numId="17" w16cid:durableId="1866559252">
    <w:abstractNumId w:val="27"/>
  </w:num>
  <w:num w:numId="18" w16cid:durableId="520121004">
    <w:abstractNumId w:val="26"/>
  </w:num>
  <w:num w:numId="19" w16cid:durableId="960918008">
    <w:abstractNumId w:val="8"/>
  </w:num>
  <w:num w:numId="20" w16cid:durableId="392393919">
    <w:abstractNumId w:val="22"/>
  </w:num>
  <w:num w:numId="21" w16cid:durableId="397746487">
    <w:abstractNumId w:val="7"/>
  </w:num>
  <w:num w:numId="22" w16cid:durableId="1632398692">
    <w:abstractNumId w:val="32"/>
  </w:num>
  <w:num w:numId="23" w16cid:durableId="521823226">
    <w:abstractNumId w:val="12"/>
  </w:num>
  <w:num w:numId="24" w16cid:durableId="1071274208">
    <w:abstractNumId w:val="16"/>
  </w:num>
  <w:num w:numId="25" w16cid:durableId="1604339781">
    <w:abstractNumId w:val="25"/>
  </w:num>
  <w:num w:numId="26" w16cid:durableId="104079440">
    <w:abstractNumId w:val="15"/>
  </w:num>
  <w:num w:numId="27" w16cid:durableId="1290470816">
    <w:abstractNumId w:val="17"/>
  </w:num>
  <w:num w:numId="28" w16cid:durableId="978606203">
    <w:abstractNumId w:val="24"/>
  </w:num>
  <w:num w:numId="29" w16cid:durableId="1619944858">
    <w:abstractNumId w:val="6"/>
  </w:num>
  <w:num w:numId="30" w16cid:durableId="1165364513">
    <w:abstractNumId w:val="5"/>
  </w:num>
  <w:num w:numId="31" w16cid:durableId="202982718">
    <w:abstractNumId w:val="0"/>
  </w:num>
  <w:num w:numId="32" w16cid:durableId="199361995">
    <w:abstractNumId w:val="2"/>
  </w:num>
  <w:num w:numId="33" w16cid:durableId="8328342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90D76"/>
    <w:rsid w:val="0009260D"/>
    <w:rsid w:val="00094F3F"/>
    <w:rsid w:val="000A0A02"/>
    <w:rsid w:val="000C1B02"/>
    <w:rsid w:val="000C26D4"/>
    <w:rsid w:val="000D4CF1"/>
    <w:rsid w:val="000E47B9"/>
    <w:rsid w:val="000E7522"/>
    <w:rsid w:val="000F3BCA"/>
    <w:rsid w:val="00114170"/>
    <w:rsid w:val="00123760"/>
    <w:rsid w:val="001253CC"/>
    <w:rsid w:val="00130DDE"/>
    <w:rsid w:val="0013149B"/>
    <w:rsid w:val="00183FC6"/>
    <w:rsid w:val="00184BEB"/>
    <w:rsid w:val="00190D99"/>
    <w:rsid w:val="00192B11"/>
    <w:rsid w:val="00197AE5"/>
    <w:rsid w:val="001B5C91"/>
    <w:rsid w:val="001C281E"/>
    <w:rsid w:val="001C4AB7"/>
    <w:rsid w:val="001C6442"/>
    <w:rsid w:val="001D5B1E"/>
    <w:rsid w:val="001E638A"/>
    <w:rsid w:val="00205973"/>
    <w:rsid w:val="00207388"/>
    <w:rsid w:val="00212C67"/>
    <w:rsid w:val="00213571"/>
    <w:rsid w:val="00216E9C"/>
    <w:rsid w:val="00221F8F"/>
    <w:rsid w:val="002277B8"/>
    <w:rsid w:val="00230417"/>
    <w:rsid w:val="002311CE"/>
    <w:rsid w:val="0023279C"/>
    <w:rsid w:val="002422AF"/>
    <w:rsid w:val="00247E08"/>
    <w:rsid w:val="002513CE"/>
    <w:rsid w:val="00255339"/>
    <w:rsid w:val="002554FB"/>
    <w:rsid w:val="00263159"/>
    <w:rsid w:val="0027255B"/>
    <w:rsid w:val="00285038"/>
    <w:rsid w:val="002958C0"/>
    <w:rsid w:val="002A58E2"/>
    <w:rsid w:val="002B706B"/>
    <w:rsid w:val="002B7B35"/>
    <w:rsid w:val="002C2E84"/>
    <w:rsid w:val="002C48B4"/>
    <w:rsid w:val="002C6436"/>
    <w:rsid w:val="002D5CC7"/>
    <w:rsid w:val="0030784C"/>
    <w:rsid w:val="00313FE7"/>
    <w:rsid w:val="00314784"/>
    <w:rsid w:val="003152D5"/>
    <w:rsid w:val="00316B10"/>
    <w:rsid w:val="00326883"/>
    <w:rsid w:val="00337E0F"/>
    <w:rsid w:val="00346423"/>
    <w:rsid w:val="00354234"/>
    <w:rsid w:val="00373807"/>
    <w:rsid w:val="00374C2E"/>
    <w:rsid w:val="00380545"/>
    <w:rsid w:val="003810F4"/>
    <w:rsid w:val="00392D26"/>
    <w:rsid w:val="003A17AC"/>
    <w:rsid w:val="003A544A"/>
    <w:rsid w:val="003A5FDC"/>
    <w:rsid w:val="003B79E0"/>
    <w:rsid w:val="003D1FDE"/>
    <w:rsid w:val="003D20D7"/>
    <w:rsid w:val="003E59C2"/>
    <w:rsid w:val="003F2547"/>
    <w:rsid w:val="00407B3B"/>
    <w:rsid w:val="004113B5"/>
    <w:rsid w:val="0042254E"/>
    <w:rsid w:val="004252B9"/>
    <w:rsid w:val="0043197D"/>
    <w:rsid w:val="00447AE4"/>
    <w:rsid w:val="004526CC"/>
    <w:rsid w:val="00454945"/>
    <w:rsid w:val="00474305"/>
    <w:rsid w:val="00475D6D"/>
    <w:rsid w:val="004803E3"/>
    <w:rsid w:val="00484071"/>
    <w:rsid w:val="00490443"/>
    <w:rsid w:val="00497787"/>
    <w:rsid w:val="004A5D12"/>
    <w:rsid w:val="004B05BE"/>
    <w:rsid w:val="004B709D"/>
    <w:rsid w:val="004C2407"/>
    <w:rsid w:val="004C2E9C"/>
    <w:rsid w:val="004C34B7"/>
    <w:rsid w:val="004C3DEB"/>
    <w:rsid w:val="004C53EC"/>
    <w:rsid w:val="004D0B1D"/>
    <w:rsid w:val="004D0F28"/>
    <w:rsid w:val="004D6B61"/>
    <w:rsid w:val="00500604"/>
    <w:rsid w:val="00504ED6"/>
    <w:rsid w:val="00522B60"/>
    <w:rsid w:val="00527AC1"/>
    <w:rsid w:val="00530052"/>
    <w:rsid w:val="0054566E"/>
    <w:rsid w:val="00551367"/>
    <w:rsid w:val="0055384F"/>
    <w:rsid w:val="005540BF"/>
    <w:rsid w:val="00555DFF"/>
    <w:rsid w:val="00563295"/>
    <w:rsid w:val="005700BC"/>
    <w:rsid w:val="00575C3A"/>
    <w:rsid w:val="00577E84"/>
    <w:rsid w:val="00587D7B"/>
    <w:rsid w:val="00596831"/>
    <w:rsid w:val="005A6258"/>
    <w:rsid w:val="005F707F"/>
    <w:rsid w:val="00611F74"/>
    <w:rsid w:val="00615F8B"/>
    <w:rsid w:val="00623929"/>
    <w:rsid w:val="00632829"/>
    <w:rsid w:val="00641E01"/>
    <w:rsid w:val="00642A17"/>
    <w:rsid w:val="00652568"/>
    <w:rsid w:val="00670B1C"/>
    <w:rsid w:val="00672B99"/>
    <w:rsid w:val="0068118E"/>
    <w:rsid w:val="00685622"/>
    <w:rsid w:val="0069333C"/>
    <w:rsid w:val="00693718"/>
    <w:rsid w:val="00696EDE"/>
    <w:rsid w:val="006A16E9"/>
    <w:rsid w:val="006A6736"/>
    <w:rsid w:val="006B0E2A"/>
    <w:rsid w:val="006C145D"/>
    <w:rsid w:val="006C1F03"/>
    <w:rsid w:val="006C2C55"/>
    <w:rsid w:val="006D71E7"/>
    <w:rsid w:val="006E0BB5"/>
    <w:rsid w:val="006F1BB7"/>
    <w:rsid w:val="006F4FE6"/>
    <w:rsid w:val="006F6152"/>
    <w:rsid w:val="00703C75"/>
    <w:rsid w:val="00724202"/>
    <w:rsid w:val="00734BD8"/>
    <w:rsid w:val="00741D06"/>
    <w:rsid w:val="0074603F"/>
    <w:rsid w:val="00781F87"/>
    <w:rsid w:val="0079796A"/>
    <w:rsid w:val="007A3BF4"/>
    <w:rsid w:val="007B6543"/>
    <w:rsid w:val="007E5666"/>
    <w:rsid w:val="007F4341"/>
    <w:rsid w:val="00817E08"/>
    <w:rsid w:val="00824DA6"/>
    <w:rsid w:val="0082787A"/>
    <w:rsid w:val="0083094B"/>
    <w:rsid w:val="008324AA"/>
    <w:rsid w:val="00833C2B"/>
    <w:rsid w:val="008359F5"/>
    <w:rsid w:val="00840314"/>
    <w:rsid w:val="00870A9D"/>
    <w:rsid w:val="008815AD"/>
    <w:rsid w:val="00881BE6"/>
    <w:rsid w:val="00894EBE"/>
    <w:rsid w:val="008A2EB7"/>
    <w:rsid w:val="008C473A"/>
    <w:rsid w:val="008C5FF9"/>
    <w:rsid w:val="008D6AFB"/>
    <w:rsid w:val="008E59B1"/>
    <w:rsid w:val="008F10F0"/>
    <w:rsid w:val="008F3801"/>
    <w:rsid w:val="0091430C"/>
    <w:rsid w:val="00926FCC"/>
    <w:rsid w:val="0094361E"/>
    <w:rsid w:val="009534D1"/>
    <w:rsid w:val="00954C7D"/>
    <w:rsid w:val="00955F5A"/>
    <w:rsid w:val="009572C0"/>
    <w:rsid w:val="0096555E"/>
    <w:rsid w:val="009666D9"/>
    <w:rsid w:val="00981826"/>
    <w:rsid w:val="009A3E8D"/>
    <w:rsid w:val="009C52D9"/>
    <w:rsid w:val="009C5F90"/>
    <w:rsid w:val="009E6A05"/>
    <w:rsid w:val="009E7D3B"/>
    <w:rsid w:val="009F5B78"/>
    <w:rsid w:val="00A024F9"/>
    <w:rsid w:val="00A2645B"/>
    <w:rsid w:val="00A26802"/>
    <w:rsid w:val="00A40839"/>
    <w:rsid w:val="00A62320"/>
    <w:rsid w:val="00A70A97"/>
    <w:rsid w:val="00A70E11"/>
    <w:rsid w:val="00A70FC1"/>
    <w:rsid w:val="00A718A1"/>
    <w:rsid w:val="00A73C84"/>
    <w:rsid w:val="00AA042C"/>
    <w:rsid w:val="00AA09C9"/>
    <w:rsid w:val="00AA1753"/>
    <w:rsid w:val="00AB38A7"/>
    <w:rsid w:val="00AB7CA0"/>
    <w:rsid w:val="00AE2901"/>
    <w:rsid w:val="00AF1DAC"/>
    <w:rsid w:val="00AF4AB7"/>
    <w:rsid w:val="00AF4F23"/>
    <w:rsid w:val="00B0219C"/>
    <w:rsid w:val="00B0599A"/>
    <w:rsid w:val="00B16396"/>
    <w:rsid w:val="00B17DDE"/>
    <w:rsid w:val="00B309A4"/>
    <w:rsid w:val="00B346BF"/>
    <w:rsid w:val="00B40EE6"/>
    <w:rsid w:val="00B41631"/>
    <w:rsid w:val="00B4653E"/>
    <w:rsid w:val="00B5082C"/>
    <w:rsid w:val="00B6358F"/>
    <w:rsid w:val="00B65477"/>
    <w:rsid w:val="00B66AF0"/>
    <w:rsid w:val="00B937A0"/>
    <w:rsid w:val="00B949AF"/>
    <w:rsid w:val="00B977DA"/>
    <w:rsid w:val="00BC0395"/>
    <w:rsid w:val="00BF75F6"/>
    <w:rsid w:val="00C02672"/>
    <w:rsid w:val="00C031BC"/>
    <w:rsid w:val="00C2054E"/>
    <w:rsid w:val="00C26408"/>
    <w:rsid w:val="00C4710B"/>
    <w:rsid w:val="00C55D97"/>
    <w:rsid w:val="00C57A64"/>
    <w:rsid w:val="00C65D73"/>
    <w:rsid w:val="00C803D5"/>
    <w:rsid w:val="00C84F6C"/>
    <w:rsid w:val="00CC2635"/>
    <w:rsid w:val="00CC74D9"/>
    <w:rsid w:val="00CD2308"/>
    <w:rsid w:val="00CD6E45"/>
    <w:rsid w:val="00CE2626"/>
    <w:rsid w:val="00D06467"/>
    <w:rsid w:val="00D07DF7"/>
    <w:rsid w:val="00D17D49"/>
    <w:rsid w:val="00D24F6F"/>
    <w:rsid w:val="00D252A8"/>
    <w:rsid w:val="00D3438F"/>
    <w:rsid w:val="00D454F1"/>
    <w:rsid w:val="00D6573A"/>
    <w:rsid w:val="00D84690"/>
    <w:rsid w:val="00D87E0E"/>
    <w:rsid w:val="00DC492A"/>
    <w:rsid w:val="00DE20D1"/>
    <w:rsid w:val="00DE3986"/>
    <w:rsid w:val="00DE51B7"/>
    <w:rsid w:val="00DE5A62"/>
    <w:rsid w:val="00DE709C"/>
    <w:rsid w:val="00E028BD"/>
    <w:rsid w:val="00E15C4C"/>
    <w:rsid w:val="00E16566"/>
    <w:rsid w:val="00E171AF"/>
    <w:rsid w:val="00E22AE6"/>
    <w:rsid w:val="00E52842"/>
    <w:rsid w:val="00E55821"/>
    <w:rsid w:val="00E62DC0"/>
    <w:rsid w:val="00E7062F"/>
    <w:rsid w:val="00E76ABC"/>
    <w:rsid w:val="00E7768D"/>
    <w:rsid w:val="00EB2CAD"/>
    <w:rsid w:val="00EC1321"/>
    <w:rsid w:val="00EC7AD8"/>
    <w:rsid w:val="00ED1342"/>
    <w:rsid w:val="00ED6DFF"/>
    <w:rsid w:val="00EF459D"/>
    <w:rsid w:val="00F14DF4"/>
    <w:rsid w:val="00F165E5"/>
    <w:rsid w:val="00F2234B"/>
    <w:rsid w:val="00F256B0"/>
    <w:rsid w:val="00F6228C"/>
    <w:rsid w:val="00F67FE4"/>
    <w:rsid w:val="00F77CBB"/>
    <w:rsid w:val="00F84E5B"/>
    <w:rsid w:val="00F94E43"/>
    <w:rsid w:val="00FA1BED"/>
    <w:rsid w:val="00FD237D"/>
    <w:rsid w:val="00FD6885"/>
    <w:rsid w:val="00FD7619"/>
    <w:rsid w:val="00FE3D6E"/>
    <w:rsid w:val="00FF326C"/>
    <w:rsid w:val="00FF5280"/>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69608558">
      <w:bodyDiv w:val="1"/>
      <w:marLeft w:val="0"/>
      <w:marRight w:val="0"/>
      <w:marTop w:val="0"/>
      <w:marBottom w:val="0"/>
      <w:divBdr>
        <w:top w:val="none" w:sz="0" w:space="0" w:color="auto"/>
        <w:left w:val="none" w:sz="0" w:space="0" w:color="auto"/>
        <w:bottom w:val="none" w:sz="0" w:space="0" w:color="auto"/>
        <w:right w:val="none" w:sz="0" w:space="0" w:color="auto"/>
      </w:divBdr>
      <w:divsChild>
        <w:div w:id="582685236">
          <w:marLeft w:val="0"/>
          <w:marRight w:val="0"/>
          <w:marTop w:val="0"/>
          <w:marBottom w:val="0"/>
          <w:divBdr>
            <w:top w:val="none" w:sz="0" w:space="0" w:color="auto"/>
            <w:left w:val="none" w:sz="0" w:space="0" w:color="auto"/>
            <w:bottom w:val="none" w:sz="0" w:space="0" w:color="auto"/>
            <w:right w:val="none" w:sz="0" w:space="0" w:color="auto"/>
          </w:divBdr>
        </w:div>
        <w:div w:id="193902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52C95-3E2C-B048-B9C8-99EA83E6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Kennie Lorena García Madrid</cp:lastModifiedBy>
  <cp:revision>19</cp:revision>
  <cp:lastPrinted>2023-03-16T13:56:00Z</cp:lastPrinted>
  <dcterms:created xsi:type="dcterms:W3CDTF">2023-03-17T22:49:00Z</dcterms:created>
  <dcterms:modified xsi:type="dcterms:W3CDTF">2024-06-07T22:33:00Z</dcterms:modified>
</cp:coreProperties>
</file>