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875B3C" w14:textId="77777777" w:rsidR="00C44EB0" w:rsidRDefault="00C44EB0" w:rsidP="001739CC">
      <w:pPr>
        <w:jc w:val="center"/>
        <w:rPr>
          <w:b/>
        </w:rPr>
      </w:pPr>
      <w:r w:rsidRPr="00C44EB0">
        <w:rPr>
          <w:b/>
        </w:rPr>
        <w:t>INFORME INICIAL DEL PROCESO</w:t>
      </w:r>
    </w:p>
    <w:tbl>
      <w:tblPr>
        <w:tblStyle w:val="Tablaconcuadrcula"/>
        <w:tblW w:w="0" w:type="auto"/>
        <w:tblLook w:val="04A0" w:firstRow="1" w:lastRow="0" w:firstColumn="1" w:lastColumn="0" w:noHBand="0" w:noVBand="1"/>
      </w:tblPr>
      <w:tblGrid>
        <w:gridCol w:w="4414"/>
        <w:gridCol w:w="4414"/>
      </w:tblGrid>
      <w:tr w:rsidR="00C44EB0" w14:paraId="00875B3F" w14:textId="77777777" w:rsidTr="00AE03CA">
        <w:tc>
          <w:tcPr>
            <w:tcW w:w="4414" w:type="dxa"/>
            <w:shd w:val="clear" w:color="auto" w:fill="D9D9D9" w:themeFill="background1" w:themeFillShade="D9"/>
          </w:tcPr>
          <w:p w14:paraId="00875B3D" w14:textId="77777777" w:rsidR="00C44EB0" w:rsidRPr="006D716C" w:rsidRDefault="00C44EB0" w:rsidP="001739CC">
            <w:pPr>
              <w:jc w:val="both"/>
              <w:rPr>
                <w:b/>
                <w:sz w:val="20"/>
                <w:szCs w:val="20"/>
              </w:rPr>
            </w:pPr>
            <w:r w:rsidRPr="006D716C">
              <w:rPr>
                <w:b/>
                <w:sz w:val="20"/>
                <w:szCs w:val="20"/>
              </w:rPr>
              <w:t>Apoderado</w:t>
            </w:r>
            <w:r w:rsidR="00AE03CA" w:rsidRPr="006D716C">
              <w:rPr>
                <w:b/>
                <w:sz w:val="20"/>
                <w:szCs w:val="20"/>
              </w:rPr>
              <w:t>:</w:t>
            </w:r>
          </w:p>
        </w:tc>
        <w:tc>
          <w:tcPr>
            <w:tcW w:w="4414" w:type="dxa"/>
          </w:tcPr>
          <w:p w14:paraId="00875B3E" w14:textId="77777777" w:rsidR="00C44EB0" w:rsidRPr="00C43C7B" w:rsidRDefault="00B632BF" w:rsidP="001739CC">
            <w:pPr>
              <w:jc w:val="both"/>
            </w:pPr>
            <w:r w:rsidRPr="00C43C7B">
              <w:t>GUSTAVO ALBERTO HERRERA ÁVILA</w:t>
            </w:r>
          </w:p>
        </w:tc>
      </w:tr>
      <w:tr w:rsidR="00AE03CA" w14:paraId="00875B42" w14:textId="77777777" w:rsidTr="00AE03CA">
        <w:tc>
          <w:tcPr>
            <w:tcW w:w="4414" w:type="dxa"/>
            <w:shd w:val="clear" w:color="auto" w:fill="D9D9D9" w:themeFill="background1" w:themeFillShade="D9"/>
          </w:tcPr>
          <w:p w14:paraId="00875B40" w14:textId="77777777" w:rsidR="00AE03CA" w:rsidRPr="006D716C" w:rsidRDefault="00AE03CA" w:rsidP="001739CC">
            <w:pPr>
              <w:jc w:val="both"/>
              <w:rPr>
                <w:b/>
                <w:sz w:val="20"/>
                <w:szCs w:val="20"/>
              </w:rPr>
            </w:pPr>
            <w:r w:rsidRPr="006D716C">
              <w:rPr>
                <w:b/>
                <w:sz w:val="20"/>
                <w:szCs w:val="20"/>
              </w:rPr>
              <w:t xml:space="preserve">Tipo </w:t>
            </w:r>
            <w:r w:rsidR="006D716C">
              <w:rPr>
                <w:b/>
                <w:sz w:val="20"/>
                <w:szCs w:val="20"/>
              </w:rPr>
              <w:t xml:space="preserve">y # </w:t>
            </w:r>
            <w:r w:rsidRPr="006D716C">
              <w:rPr>
                <w:b/>
                <w:sz w:val="20"/>
                <w:szCs w:val="20"/>
              </w:rPr>
              <w:t>de Póliza:</w:t>
            </w:r>
          </w:p>
        </w:tc>
        <w:tc>
          <w:tcPr>
            <w:tcW w:w="4414" w:type="dxa"/>
          </w:tcPr>
          <w:p w14:paraId="00875B41" w14:textId="67BFEAB8" w:rsidR="00BF597B" w:rsidRPr="00C43C7B" w:rsidRDefault="00BF597B" w:rsidP="001739CC">
            <w:pPr>
              <w:jc w:val="both"/>
            </w:pPr>
            <w:r>
              <w:t>LO-40-88825-1 – Póliza seguro de automoviles</w:t>
            </w:r>
          </w:p>
        </w:tc>
      </w:tr>
      <w:tr w:rsidR="00AE03CA" w14:paraId="00875B45" w14:textId="77777777" w:rsidTr="00AE03CA">
        <w:tc>
          <w:tcPr>
            <w:tcW w:w="4414" w:type="dxa"/>
            <w:shd w:val="clear" w:color="auto" w:fill="D9D9D9" w:themeFill="background1" w:themeFillShade="D9"/>
          </w:tcPr>
          <w:p w14:paraId="00875B43" w14:textId="77777777" w:rsidR="00AE03CA" w:rsidRPr="006D716C" w:rsidRDefault="00AE03CA" w:rsidP="001739CC">
            <w:pPr>
              <w:jc w:val="both"/>
              <w:rPr>
                <w:b/>
                <w:sz w:val="20"/>
                <w:szCs w:val="20"/>
              </w:rPr>
            </w:pPr>
            <w:r w:rsidRPr="006D716C">
              <w:rPr>
                <w:b/>
                <w:sz w:val="20"/>
                <w:szCs w:val="20"/>
              </w:rPr>
              <w:t>Amparo</w:t>
            </w:r>
            <w:r w:rsidR="006D716C">
              <w:rPr>
                <w:b/>
                <w:sz w:val="20"/>
                <w:szCs w:val="20"/>
              </w:rPr>
              <w:t>s</w:t>
            </w:r>
            <w:r w:rsidRPr="006D716C">
              <w:rPr>
                <w:b/>
                <w:sz w:val="20"/>
                <w:szCs w:val="20"/>
              </w:rPr>
              <w:t xml:space="preserve"> afectado</w:t>
            </w:r>
            <w:r w:rsidR="006D716C">
              <w:rPr>
                <w:b/>
                <w:sz w:val="20"/>
                <w:szCs w:val="20"/>
              </w:rPr>
              <w:t>s</w:t>
            </w:r>
            <w:r w:rsidRPr="006D716C">
              <w:rPr>
                <w:b/>
                <w:sz w:val="20"/>
                <w:szCs w:val="20"/>
              </w:rPr>
              <w:t>:</w:t>
            </w:r>
          </w:p>
        </w:tc>
        <w:tc>
          <w:tcPr>
            <w:tcW w:w="4414" w:type="dxa"/>
          </w:tcPr>
          <w:p w14:paraId="00875B44" w14:textId="0CFE0175" w:rsidR="00AE03CA" w:rsidRPr="00C43C7B" w:rsidRDefault="00BF597B" w:rsidP="001739CC">
            <w:pPr>
              <w:jc w:val="both"/>
            </w:pPr>
            <w:r>
              <w:t>RCE Lesión/muerte 1 pers.</w:t>
            </w:r>
          </w:p>
        </w:tc>
      </w:tr>
      <w:tr w:rsidR="00AE03CA" w14:paraId="00875B48" w14:textId="77777777" w:rsidTr="00AE03CA">
        <w:tc>
          <w:tcPr>
            <w:tcW w:w="4414" w:type="dxa"/>
            <w:shd w:val="clear" w:color="auto" w:fill="D9D9D9" w:themeFill="background1" w:themeFillShade="D9"/>
          </w:tcPr>
          <w:p w14:paraId="00875B46" w14:textId="77777777" w:rsidR="00AE03CA" w:rsidRPr="006D716C" w:rsidRDefault="00AE03CA" w:rsidP="001739CC">
            <w:pPr>
              <w:jc w:val="both"/>
              <w:rPr>
                <w:b/>
                <w:sz w:val="20"/>
                <w:szCs w:val="20"/>
              </w:rPr>
            </w:pPr>
            <w:r w:rsidRPr="006D716C">
              <w:rPr>
                <w:b/>
                <w:sz w:val="20"/>
                <w:szCs w:val="20"/>
              </w:rPr>
              <w:t>Tomador:</w:t>
            </w:r>
          </w:p>
        </w:tc>
        <w:tc>
          <w:tcPr>
            <w:tcW w:w="4414" w:type="dxa"/>
          </w:tcPr>
          <w:p w14:paraId="00875B47" w14:textId="11231B6C" w:rsidR="00BF597B" w:rsidRPr="00C43C7B" w:rsidRDefault="00BF597B" w:rsidP="001739CC">
            <w:pPr>
              <w:jc w:val="both"/>
            </w:pPr>
            <w:r>
              <w:t>Banco de Occidente S.A.</w:t>
            </w:r>
          </w:p>
        </w:tc>
      </w:tr>
      <w:tr w:rsidR="00AE03CA" w14:paraId="00875B4B" w14:textId="77777777" w:rsidTr="00AE03CA">
        <w:tc>
          <w:tcPr>
            <w:tcW w:w="4414" w:type="dxa"/>
            <w:shd w:val="clear" w:color="auto" w:fill="D9D9D9" w:themeFill="background1" w:themeFillShade="D9"/>
          </w:tcPr>
          <w:p w14:paraId="00875B49" w14:textId="77777777" w:rsidR="00AE03CA" w:rsidRPr="006D716C" w:rsidRDefault="00AE03CA" w:rsidP="001739CC">
            <w:pPr>
              <w:jc w:val="both"/>
              <w:rPr>
                <w:b/>
                <w:sz w:val="20"/>
                <w:szCs w:val="20"/>
              </w:rPr>
            </w:pPr>
            <w:r w:rsidRPr="006D716C">
              <w:rPr>
                <w:b/>
                <w:sz w:val="20"/>
                <w:szCs w:val="20"/>
              </w:rPr>
              <w:t>Asegurado:</w:t>
            </w:r>
          </w:p>
        </w:tc>
        <w:tc>
          <w:tcPr>
            <w:tcW w:w="4414" w:type="dxa"/>
          </w:tcPr>
          <w:p w14:paraId="00875B4A" w14:textId="5C79D8F4" w:rsidR="00AE03CA" w:rsidRPr="00C43C7B" w:rsidRDefault="00BF597B" w:rsidP="001739CC">
            <w:pPr>
              <w:jc w:val="both"/>
            </w:pPr>
            <w:r>
              <w:t>Adriana Alban Ceballos</w:t>
            </w:r>
          </w:p>
        </w:tc>
      </w:tr>
      <w:tr w:rsidR="00C44EB0" w14:paraId="00875B4E" w14:textId="77777777" w:rsidTr="00AE03CA">
        <w:tc>
          <w:tcPr>
            <w:tcW w:w="4414" w:type="dxa"/>
            <w:shd w:val="clear" w:color="auto" w:fill="D9D9D9" w:themeFill="background1" w:themeFillShade="D9"/>
          </w:tcPr>
          <w:p w14:paraId="00875B4C" w14:textId="77777777" w:rsidR="00C44EB0" w:rsidRPr="006D716C" w:rsidRDefault="00C44EB0" w:rsidP="001739CC">
            <w:pPr>
              <w:jc w:val="both"/>
              <w:rPr>
                <w:b/>
                <w:sz w:val="20"/>
                <w:szCs w:val="20"/>
              </w:rPr>
            </w:pPr>
            <w:r w:rsidRPr="006D716C">
              <w:rPr>
                <w:b/>
                <w:sz w:val="20"/>
                <w:szCs w:val="20"/>
              </w:rPr>
              <w:t>Tipo de Proceso</w:t>
            </w:r>
            <w:r w:rsidR="00AE03CA" w:rsidRPr="006D716C">
              <w:rPr>
                <w:b/>
                <w:sz w:val="20"/>
                <w:szCs w:val="20"/>
              </w:rPr>
              <w:t>:</w:t>
            </w:r>
          </w:p>
        </w:tc>
        <w:tc>
          <w:tcPr>
            <w:tcW w:w="4414" w:type="dxa"/>
          </w:tcPr>
          <w:p w14:paraId="00875B4D" w14:textId="02F90812" w:rsidR="00C44EB0" w:rsidRPr="00C43C7B" w:rsidRDefault="00BF597B" w:rsidP="001739CC">
            <w:pPr>
              <w:jc w:val="both"/>
            </w:pPr>
            <w:r>
              <w:t>Incidente de reparación integral</w:t>
            </w:r>
          </w:p>
        </w:tc>
      </w:tr>
      <w:tr w:rsidR="006D716C" w14:paraId="00875B51" w14:textId="77777777" w:rsidTr="00AE03CA">
        <w:tc>
          <w:tcPr>
            <w:tcW w:w="4414" w:type="dxa"/>
            <w:shd w:val="clear" w:color="auto" w:fill="D9D9D9" w:themeFill="background1" w:themeFillShade="D9"/>
          </w:tcPr>
          <w:p w14:paraId="00875B4F" w14:textId="77777777" w:rsidR="006D716C" w:rsidRPr="006D716C" w:rsidRDefault="006D716C" w:rsidP="001739CC">
            <w:pPr>
              <w:jc w:val="both"/>
              <w:rPr>
                <w:b/>
                <w:sz w:val="20"/>
                <w:szCs w:val="20"/>
              </w:rPr>
            </w:pPr>
            <w:r>
              <w:rPr>
                <w:b/>
                <w:sz w:val="20"/>
                <w:szCs w:val="20"/>
              </w:rPr>
              <w:t>Jurisdicción:</w:t>
            </w:r>
          </w:p>
        </w:tc>
        <w:tc>
          <w:tcPr>
            <w:tcW w:w="4414" w:type="dxa"/>
          </w:tcPr>
          <w:p w14:paraId="00875B50" w14:textId="5E312F33" w:rsidR="006D716C" w:rsidRPr="00C43C7B" w:rsidRDefault="00BF597B" w:rsidP="001739CC">
            <w:pPr>
              <w:jc w:val="both"/>
            </w:pPr>
            <w:r>
              <w:t>Penal</w:t>
            </w:r>
          </w:p>
        </w:tc>
      </w:tr>
      <w:tr w:rsidR="00C44EB0" w14:paraId="00875B54" w14:textId="77777777" w:rsidTr="00AE03CA">
        <w:tc>
          <w:tcPr>
            <w:tcW w:w="4414" w:type="dxa"/>
            <w:shd w:val="clear" w:color="auto" w:fill="D9D9D9" w:themeFill="background1" w:themeFillShade="D9"/>
          </w:tcPr>
          <w:p w14:paraId="00875B52" w14:textId="77777777" w:rsidR="00C44EB0" w:rsidRPr="006D716C" w:rsidRDefault="00C44EB0" w:rsidP="001739CC">
            <w:pPr>
              <w:jc w:val="both"/>
              <w:rPr>
                <w:b/>
                <w:sz w:val="20"/>
                <w:szCs w:val="20"/>
              </w:rPr>
            </w:pPr>
            <w:r w:rsidRPr="006D716C">
              <w:rPr>
                <w:b/>
                <w:sz w:val="20"/>
                <w:szCs w:val="20"/>
              </w:rPr>
              <w:t>Despacho</w:t>
            </w:r>
            <w:r w:rsidR="00AE03CA" w:rsidRPr="006D716C">
              <w:rPr>
                <w:b/>
                <w:sz w:val="20"/>
                <w:szCs w:val="20"/>
              </w:rPr>
              <w:t>:</w:t>
            </w:r>
          </w:p>
        </w:tc>
        <w:tc>
          <w:tcPr>
            <w:tcW w:w="4414" w:type="dxa"/>
          </w:tcPr>
          <w:p w14:paraId="00875B53" w14:textId="1F996C61" w:rsidR="00C44EB0" w:rsidRPr="00C43C7B" w:rsidRDefault="00BF597B" w:rsidP="001739CC">
            <w:pPr>
              <w:jc w:val="both"/>
            </w:pPr>
            <w:r>
              <w:t xml:space="preserve">Juzgado Primero Promiscuo Municipal </w:t>
            </w:r>
          </w:p>
        </w:tc>
      </w:tr>
      <w:tr w:rsidR="00C44EB0" w14:paraId="00875B57" w14:textId="77777777" w:rsidTr="00AE03CA">
        <w:tc>
          <w:tcPr>
            <w:tcW w:w="4414" w:type="dxa"/>
            <w:shd w:val="clear" w:color="auto" w:fill="D9D9D9" w:themeFill="background1" w:themeFillShade="D9"/>
          </w:tcPr>
          <w:p w14:paraId="00875B55" w14:textId="77777777" w:rsidR="00C44EB0" w:rsidRPr="006D716C" w:rsidRDefault="00C44EB0" w:rsidP="001739CC">
            <w:pPr>
              <w:jc w:val="both"/>
              <w:rPr>
                <w:b/>
                <w:sz w:val="20"/>
                <w:szCs w:val="20"/>
              </w:rPr>
            </w:pPr>
            <w:r w:rsidRPr="006D716C">
              <w:rPr>
                <w:b/>
                <w:sz w:val="20"/>
                <w:szCs w:val="20"/>
              </w:rPr>
              <w:t>Ciudad</w:t>
            </w:r>
            <w:r w:rsidR="00AE03CA" w:rsidRPr="006D716C">
              <w:rPr>
                <w:b/>
                <w:sz w:val="20"/>
                <w:szCs w:val="20"/>
              </w:rPr>
              <w:t>:</w:t>
            </w:r>
          </w:p>
        </w:tc>
        <w:tc>
          <w:tcPr>
            <w:tcW w:w="4414" w:type="dxa"/>
          </w:tcPr>
          <w:p w14:paraId="00875B56" w14:textId="358E0385" w:rsidR="00C44EB0" w:rsidRPr="00C43C7B" w:rsidRDefault="00BF597B" w:rsidP="001739CC">
            <w:pPr>
              <w:jc w:val="both"/>
            </w:pPr>
            <w:r>
              <w:t>La Cumbre – Valle</w:t>
            </w:r>
          </w:p>
        </w:tc>
      </w:tr>
      <w:tr w:rsidR="00C44EB0" w14:paraId="00875B5A" w14:textId="77777777" w:rsidTr="00AE03CA">
        <w:tc>
          <w:tcPr>
            <w:tcW w:w="4414" w:type="dxa"/>
            <w:shd w:val="clear" w:color="auto" w:fill="D9D9D9" w:themeFill="background1" w:themeFillShade="D9"/>
          </w:tcPr>
          <w:p w14:paraId="00875B58" w14:textId="77777777" w:rsidR="00C44EB0" w:rsidRPr="006D716C" w:rsidRDefault="00C44EB0" w:rsidP="001739CC">
            <w:pPr>
              <w:jc w:val="both"/>
              <w:rPr>
                <w:b/>
                <w:sz w:val="20"/>
                <w:szCs w:val="20"/>
              </w:rPr>
            </w:pPr>
            <w:r w:rsidRPr="006D716C">
              <w:rPr>
                <w:b/>
                <w:sz w:val="20"/>
                <w:szCs w:val="20"/>
              </w:rPr>
              <w:t>Radicado (23 dígitos)</w:t>
            </w:r>
            <w:r w:rsidR="00AE03CA" w:rsidRPr="006D716C">
              <w:rPr>
                <w:b/>
                <w:sz w:val="20"/>
                <w:szCs w:val="20"/>
              </w:rPr>
              <w:t>:</w:t>
            </w:r>
          </w:p>
        </w:tc>
        <w:tc>
          <w:tcPr>
            <w:tcW w:w="4414" w:type="dxa"/>
          </w:tcPr>
          <w:p w14:paraId="00875B59" w14:textId="2285AFE4" w:rsidR="00C44EB0" w:rsidRPr="00C43C7B" w:rsidRDefault="00BF597B" w:rsidP="001739CC">
            <w:pPr>
              <w:jc w:val="both"/>
            </w:pPr>
            <w:r>
              <w:t>768926000191201700015</w:t>
            </w:r>
          </w:p>
        </w:tc>
      </w:tr>
      <w:tr w:rsidR="00C44EB0" w14:paraId="00875B5D" w14:textId="77777777" w:rsidTr="00AE03CA">
        <w:tc>
          <w:tcPr>
            <w:tcW w:w="4414" w:type="dxa"/>
            <w:shd w:val="clear" w:color="auto" w:fill="D9D9D9" w:themeFill="background1" w:themeFillShade="D9"/>
          </w:tcPr>
          <w:p w14:paraId="00875B5B" w14:textId="77777777" w:rsidR="00C44EB0" w:rsidRPr="006D716C" w:rsidRDefault="00AE03CA" w:rsidP="001739CC">
            <w:pPr>
              <w:jc w:val="both"/>
              <w:rPr>
                <w:b/>
                <w:sz w:val="20"/>
                <w:szCs w:val="20"/>
              </w:rPr>
            </w:pPr>
            <w:r w:rsidRPr="006D716C">
              <w:rPr>
                <w:b/>
                <w:sz w:val="20"/>
                <w:szCs w:val="20"/>
              </w:rPr>
              <w:t>Demandantes:</w:t>
            </w:r>
          </w:p>
        </w:tc>
        <w:tc>
          <w:tcPr>
            <w:tcW w:w="4414" w:type="dxa"/>
          </w:tcPr>
          <w:p w14:paraId="00875B5C" w14:textId="172A6BD1" w:rsidR="00C44EB0" w:rsidRPr="00C43C7B" w:rsidRDefault="00BF597B" w:rsidP="001739CC">
            <w:pPr>
              <w:jc w:val="both"/>
            </w:pPr>
            <w:r>
              <w:t xml:space="preserve">Brayan Mayorga Tejada </w:t>
            </w:r>
          </w:p>
        </w:tc>
      </w:tr>
      <w:tr w:rsidR="00C44EB0" w14:paraId="00875B60" w14:textId="77777777" w:rsidTr="00AE03CA">
        <w:tc>
          <w:tcPr>
            <w:tcW w:w="4414" w:type="dxa"/>
            <w:shd w:val="clear" w:color="auto" w:fill="D9D9D9" w:themeFill="background1" w:themeFillShade="D9"/>
          </w:tcPr>
          <w:p w14:paraId="00875B5E" w14:textId="77777777" w:rsidR="00C44EB0" w:rsidRPr="006D716C" w:rsidRDefault="00AE03CA" w:rsidP="001739CC">
            <w:pPr>
              <w:jc w:val="both"/>
              <w:rPr>
                <w:b/>
                <w:sz w:val="20"/>
                <w:szCs w:val="20"/>
              </w:rPr>
            </w:pPr>
            <w:r w:rsidRPr="006D716C">
              <w:rPr>
                <w:b/>
                <w:sz w:val="20"/>
                <w:szCs w:val="20"/>
              </w:rPr>
              <w:t>Demandados:</w:t>
            </w:r>
          </w:p>
        </w:tc>
        <w:tc>
          <w:tcPr>
            <w:tcW w:w="4414" w:type="dxa"/>
          </w:tcPr>
          <w:p w14:paraId="00875B5F" w14:textId="1592B474" w:rsidR="00C44EB0" w:rsidRPr="00C43C7B" w:rsidRDefault="00BF597B" w:rsidP="001739CC">
            <w:pPr>
              <w:jc w:val="both"/>
            </w:pPr>
            <w:r>
              <w:t>John Jairo Restrepo Bedoya – Adriana Alban Ceballos</w:t>
            </w:r>
          </w:p>
        </w:tc>
      </w:tr>
      <w:tr w:rsidR="00C44EB0" w14:paraId="00875B63" w14:textId="77777777" w:rsidTr="00AE03CA">
        <w:tc>
          <w:tcPr>
            <w:tcW w:w="4414" w:type="dxa"/>
            <w:shd w:val="clear" w:color="auto" w:fill="D9D9D9" w:themeFill="background1" w:themeFillShade="D9"/>
          </w:tcPr>
          <w:p w14:paraId="00875B61" w14:textId="77777777" w:rsidR="00C44EB0" w:rsidRPr="006D716C" w:rsidRDefault="00AE03CA" w:rsidP="001739CC">
            <w:pPr>
              <w:jc w:val="both"/>
              <w:rPr>
                <w:b/>
                <w:sz w:val="20"/>
                <w:szCs w:val="20"/>
              </w:rPr>
            </w:pPr>
            <w:r w:rsidRPr="006D716C">
              <w:rPr>
                <w:b/>
                <w:sz w:val="20"/>
                <w:szCs w:val="20"/>
              </w:rPr>
              <w:t>Tipo de vinculación de Liberty (directa, llamamiento en garantía, litisconsorte):</w:t>
            </w:r>
          </w:p>
        </w:tc>
        <w:tc>
          <w:tcPr>
            <w:tcW w:w="4414" w:type="dxa"/>
          </w:tcPr>
          <w:p w14:paraId="00875B62" w14:textId="7AFEE3D6" w:rsidR="00C44EB0" w:rsidRPr="00C43C7B" w:rsidRDefault="00BF597B" w:rsidP="001739CC">
            <w:pPr>
              <w:jc w:val="both"/>
            </w:pPr>
            <w:r>
              <w:t>Llamamiento en garantía</w:t>
            </w:r>
          </w:p>
        </w:tc>
      </w:tr>
      <w:tr w:rsidR="00C44EB0" w14:paraId="00875B70" w14:textId="77777777" w:rsidTr="00AE03CA">
        <w:tc>
          <w:tcPr>
            <w:tcW w:w="4414" w:type="dxa"/>
            <w:shd w:val="clear" w:color="auto" w:fill="D9D9D9" w:themeFill="background1" w:themeFillShade="D9"/>
          </w:tcPr>
          <w:p w14:paraId="00875B64" w14:textId="77777777" w:rsidR="00C44EB0" w:rsidRPr="006D716C" w:rsidRDefault="00AE03CA" w:rsidP="001739CC">
            <w:pPr>
              <w:jc w:val="both"/>
              <w:rPr>
                <w:b/>
                <w:sz w:val="20"/>
                <w:szCs w:val="20"/>
              </w:rPr>
            </w:pPr>
            <w:r w:rsidRPr="006D716C">
              <w:rPr>
                <w:b/>
                <w:sz w:val="20"/>
                <w:szCs w:val="20"/>
              </w:rPr>
              <w:t>Resumen de los hechos:</w:t>
            </w:r>
          </w:p>
        </w:tc>
        <w:tc>
          <w:tcPr>
            <w:tcW w:w="4414" w:type="dxa"/>
          </w:tcPr>
          <w:p w14:paraId="00875B6F" w14:textId="48E3A4ED" w:rsidR="00C44EB0" w:rsidRPr="00AC1AAA" w:rsidRDefault="00BF597B" w:rsidP="001739CC">
            <w:pPr>
              <w:jc w:val="both"/>
            </w:pPr>
            <w:r>
              <w:t xml:space="preserve">El día 24 de enero de 2017, a eso de las 9:20 de la noche, el señor Brayan Mayorga Tejada se desplazaba en un vehículo tipo motocicleta, por la vía </w:t>
            </w:r>
            <w:r w:rsidR="003040ED">
              <w:t xml:space="preserve">que conduce a acopi Yumbo, a la altura del Jm 1 vía Dapa, Colinas de Arroyohondo, cuando colisiona con el vehículo de placas MWW794, de propiedad de la señora Adriana Alban Ceballos, y que para el momento del accidente iba siendo conducido por el señor John Jairo Restrepo Bedoya. Debido al accidente, el señor Mayorga resultó lesionado, siendo valorado por medicina legal, quien dictamino una incapacidad definitiva de 50 días con secuelas </w:t>
            </w:r>
            <w:proofErr w:type="gramStart"/>
            <w:r w:rsidR="003040ED">
              <w:t>médico legales</w:t>
            </w:r>
            <w:proofErr w:type="gramEnd"/>
            <w:r w:rsidR="003040ED">
              <w:t xml:space="preserve"> de deformidad física que afecta el cuerpo de carácter permanente, y perturbación funcional de miembro superior derecho de carácter transitorio. Por estos hechos se adelantó proceso penal que adelantó la Fiscalía Local 72 de Yumbo y terminó con sentencia condenatoria en contra del señor Restrepo Bedoya mediante decisión No. 008 del 20 de febrero de 2023, proferida por el Juzgado Primero Promiscuo Municipal de la Cumbre – Valle.</w:t>
            </w:r>
          </w:p>
        </w:tc>
      </w:tr>
      <w:tr w:rsidR="00C44EB0" w14:paraId="00875B73" w14:textId="77777777" w:rsidTr="00AE03CA">
        <w:tc>
          <w:tcPr>
            <w:tcW w:w="4414" w:type="dxa"/>
            <w:shd w:val="clear" w:color="auto" w:fill="D9D9D9" w:themeFill="background1" w:themeFillShade="D9"/>
          </w:tcPr>
          <w:p w14:paraId="00875B71" w14:textId="77777777" w:rsidR="00C44EB0" w:rsidRPr="006D716C" w:rsidRDefault="00AE03CA" w:rsidP="001739CC">
            <w:pPr>
              <w:jc w:val="both"/>
              <w:rPr>
                <w:b/>
                <w:sz w:val="20"/>
                <w:szCs w:val="20"/>
              </w:rPr>
            </w:pPr>
            <w:r w:rsidRPr="006D716C">
              <w:rPr>
                <w:b/>
                <w:sz w:val="20"/>
                <w:szCs w:val="20"/>
              </w:rPr>
              <w:t>Descripción de las pretensiones:</w:t>
            </w:r>
          </w:p>
        </w:tc>
        <w:tc>
          <w:tcPr>
            <w:tcW w:w="4414" w:type="dxa"/>
          </w:tcPr>
          <w:p w14:paraId="00875B72" w14:textId="7BF6A78F" w:rsidR="00C44EB0" w:rsidRPr="009C3B96" w:rsidRDefault="003040ED" w:rsidP="001739CC">
            <w:pPr>
              <w:jc w:val="both"/>
            </w:pPr>
            <w:r>
              <w:t>La víctima solicita como pretensiones las siguientes: 1. Daño emergente: $</w:t>
            </w:r>
            <w:r w:rsidR="003C4AD1">
              <w:t>3.293.948; 2. Lucro cesante: $3.250.000; 3. Daño moral: $26.000.000; 4. Daño a la salud. $26.000.000</w:t>
            </w:r>
          </w:p>
        </w:tc>
      </w:tr>
      <w:tr w:rsidR="00C44EB0" w14:paraId="00875B76" w14:textId="77777777" w:rsidTr="00AE03CA">
        <w:tc>
          <w:tcPr>
            <w:tcW w:w="4414" w:type="dxa"/>
            <w:shd w:val="clear" w:color="auto" w:fill="D9D9D9" w:themeFill="background1" w:themeFillShade="D9"/>
          </w:tcPr>
          <w:p w14:paraId="00875B74" w14:textId="77777777" w:rsidR="00C44EB0" w:rsidRPr="006D716C" w:rsidRDefault="00AE03CA" w:rsidP="001739CC">
            <w:pPr>
              <w:jc w:val="both"/>
              <w:rPr>
                <w:b/>
                <w:sz w:val="20"/>
                <w:szCs w:val="20"/>
              </w:rPr>
            </w:pPr>
            <w:r w:rsidRPr="006D716C">
              <w:rPr>
                <w:b/>
                <w:sz w:val="20"/>
                <w:szCs w:val="20"/>
              </w:rPr>
              <w:t>Pretensiones cuantificadas</w:t>
            </w:r>
            <w:r w:rsidR="006D716C">
              <w:rPr>
                <w:b/>
                <w:sz w:val="20"/>
                <w:szCs w:val="20"/>
              </w:rPr>
              <w:t xml:space="preserve"> ($)</w:t>
            </w:r>
            <w:r w:rsidRPr="006D716C">
              <w:rPr>
                <w:b/>
                <w:sz w:val="20"/>
                <w:szCs w:val="20"/>
              </w:rPr>
              <w:t>:</w:t>
            </w:r>
          </w:p>
        </w:tc>
        <w:tc>
          <w:tcPr>
            <w:tcW w:w="4414" w:type="dxa"/>
          </w:tcPr>
          <w:p w14:paraId="00875B75" w14:textId="42827721" w:rsidR="00C44EB0" w:rsidRPr="00ED176B" w:rsidRDefault="003C4AD1" w:rsidP="001739CC">
            <w:pPr>
              <w:jc w:val="both"/>
            </w:pPr>
            <w:r>
              <w:t>$55.293.948</w:t>
            </w:r>
          </w:p>
        </w:tc>
      </w:tr>
      <w:tr w:rsidR="00AE03CA" w14:paraId="00875B79" w14:textId="77777777" w:rsidTr="00AE03CA">
        <w:tc>
          <w:tcPr>
            <w:tcW w:w="4414" w:type="dxa"/>
            <w:shd w:val="clear" w:color="auto" w:fill="D9D9D9" w:themeFill="background1" w:themeFillShade="D9"/>
          </w:tcPr>
          <w:p w14:paraId="00875B77" w14:textId="77777777" w:rsidR="00AE03CA" w:rsidRPr="006D716C" w:rsidRDefault="00AE03CA" w:rsidP="001739CC">
            <w:pPr>
              <w:jc w:val="both"/>
              <w:rPr>
                <w:b/>
                <w:sz w:val="20"/>
                <w:szCs w:val="20"/>
              </w:rPr>
            </w:pPr>
            <w:r w:rsidRPr="006D716C">
              <w:rPr>
                <w:b/>
                <w:sz w:val="20"/>
                <w:szCs w:val="20"/>
              </w:rPr>
              <w:t>Valor asegurado amparo</w:t>
            </w:r>
            <w:r w:rsidR="006D716C">
              <w:rPr>
                <w:b/>
                <w:sz w:val="20"/>
                <w:szCs w:val="20"/>
              </w:rPr>
              <w:t>s</w:t>
            </w:r>
            <w:r w:rsidRPr="006D716C">
              <w:rPr>
                <w:b/>
                <w:sz w:val="20"/>
                <w:szCs w:val="20"/>
              </w:rPr>
              <w:t xml:space="preserve"> afectado</w:t>
            </w:r>
            <w:r w:rsidR="006D716C">
              <w:rPr>
                <w:b/>
                <w:sz w:val="20"/>
                <w:szCs w:val="20"/>
              </w:rPr>
              <w:t>s</w:t>
            </w:r>
            <w:r w:rsidRPr="006D716C">
              <w:rPr>
                <w:b/>
                <w:sz w:val="20"/>
                <w:szCs w:val="20"/>
              </w:rPr>
              <w:t>:</w:t>
            </w:r>
          </w:p>
        </w:tc>
        <w:tc>
          <w:tcPr>
            <w:tcW w:w="4414" w:type="dxa"/>
          </w:tcPr>
          <w:p w14:paraId="00875B78" w14:textId="349081FA" w:rsidR="00AE03CA" w:rsidRDefault="003C4AD1" w:rsidP="001739CC">
            <w:pPr>
              <w:jc w:val="both"/>
              <w:rPr>
                <w:b/>
              </w:rPr>
            </w:pPr>
            <w:r>
              <w:rPr>
                <w:b/>
              </w:rPr>
              <w:t>$400.000.000</w:t>
            </w:r>
          </w:p>
        </w:tc>
      </w:tr>
      <w:tr w:rsidR="00C44EB0" w14:paraId="00875B7C" w14:textId="77777777" w:rsidTr="00AE03CA">
        <w:tc>
          <w:tcPr>
            <w:tcW w:w="4414" w:type="dxa"/>
            <w:shd w:val="clear" w:color="auto" w:fill="D9D9D9" w:themeFill="background1" w:themeFillShade="D9"/>
          </w:tcPr>
          <w:p w14:paraId="00875B7A" w14:textId="77777777" w:rsidR="00C44EB0" w:rsidRPr="006D716C" w:rsidRDefault="00AE03CA" w:rsidP="001739CC">
            <w:pPr>
              <w:jc w:val="both"/>
              <w:rPr>
                <w:b/>
                <w:sz w:val="20"/>
                <w:szCs w:val="20"/>
              </w:rPr>
            </w:pPr>
            <w:r w:rsidRPr="006D716C">
              <w:rPr>
                <w:b/>
                <w:sz w:val="20"/>
                <w:szCs w:val="20"/>
              </w:rPr>
              <w:lastRenderedPageBreak/>
              <w:t>Valoración objetiva de las pretensiones:</w:t>
            </w:r>
          </w:p>
        </w:tc>
        <w:tc>
          <w:tcPr>
            <w:tcW w:w="4414" w:type="dxa"/>
          </w:tcPr>
          <w:p w14:paraId="325236E0" w14:textId="77777777" w:rsidR="00C44EB0" w:rsidRDefault="00300336" w:rsidP="001739CC">
            <w:pPr>
              <w:jc w:val="both"/>
            </w:pPr>
            <w:r>
              <w:rPr>
                <w:b/>
              </w:rPr>
              <w:t xml:space="preserve">Liquidación objetiva: </w:t>
            </w:r>
            <w:r w:rsidR="003C4AD1">
              <w:rPr>
                <w:b/>
              </w:rPr>
              <w:t xml:space="preserve"> </w:t>
            </w:r>
            <w:r>
              <w:t xml:space="preserve">Como liquidación objetiva de perjuicios tenemos la suma de </w:t>
            </w:r>
            <w:r>
              <w:rPr>
                <w:b/>
              </w:rPr>
              <w:t>$</w:t>
            </w:r>
            <w:r w:rsidR="003C4AD1">
              <w:rPr>
                <w:b/>
              </w:rPr>
              <w:t>15</w:t>
            </w:r>
            <w:r>
              <w:rPr>
                <w:b/>
              </w:rPr>
              <w:t xml:space="preserve">.508.644 M/Cte., </w:t>
            </w:r>
            <w:r>
              <w:t>a la cual se llegó de la siguiente manera:</w:t>
            </w:r>
          </w:p>
          <w:p w14:paraId="5CDF78EB" w14:textId="77777777" w:rsidR="00300336" w:rsidRDefault="00300336" w:rsidP="001739CC">
            <w:pPr>
              <w:jc w:val="both"/>
            </w:pPr>
          </w:p>
          <w:p w14:paraId="58573391" w14:textId="77777777" w:rsidR="00300336" w:rsidRDefault="00300336" w:rsidP="001739CC">
            <w:pPr>
              <w:jc w:val="both"/>
            </w:pPr>
            <w:r>
              <w:t xml:space="preserve">1. Por daño emergente, se reconocerá la suma de $693948, teniendo en cuenta </w:t>
            </w:r>
            <w:proofErr w:type="gramStart"/>
            <w:r>
              <w:t>que</w:t>
            </w:r>
            <w:proofErr w:type="gramEnd"/>
            <w:r>
              <w:t xml:space="preserve"> revisadas las facturas aportadas al incidente, sólo se tendrán en cuenta las que tengan soporte probatorio. En este caso se descartan las facturas o recibos de caja que sustentan los gastos de trasnporte por $1.000.000 y los recibos que soportan el cuidado en casa por $1.600.000</w:t>
            </w:r>
          </w:p>
          <w:p w14:paraId="6527CD35" w14:textId="77777777" w:rsidR="00300336" w:rsidRDefault="00300336" w:rsidP="001739CC">
            <w:pPr>
              <w:jc w:val="both"/>
            </w:pPr>
          </w:p>
          <w:p w14:paraId="6BDFAA32" w14:textId="77777777" w:rsidR="00300336" w:rsidRDefault="00300336" w:rsidP="001739CC">
            <w:pPr>
              <w:jc w:val="both"/>
            </w:pPr>
            <w:r>
              <w:t>2. Por Lucro cesante, se reconocerá la suma de $1.814.696, teniendo en cuenta que se aportó al incidente una certificación laboral que establece el salario mensual del señor Brayan Mayorga Tejada en la suma de $938.818, más $150.000 por horas extras, lo que nos da la suma promedio de un salario mensual promedio de $1.088.818. Al liquidar ese valor con los 50 días de incapacidad definitiva dictaminados por médicina legal, nos da una suma de $1.814.696.</w:t>
            </w:r>
          </w:p>
          <w:p w14:paraId="204062DF" w14:textId="77777777" w:rsidR="00300336" w:rsidRDefault="00300336" w:rsidP="001739CC">
            <w:pPr>
              <w:jc w:val="both"/>
            </w:pPr>
          </w:p>
          <w:p w14:paraId="4104523F" w14:textId="77777777" w:rsidR="001739CC" w:rsidRDefault="00300336" w:rsidP="001739CC">
            <w:pPr>
              <w:jc w:val="both"/>
            </w:pPr>
            <w:r>
              <w:t xml:space="preserve">3. Por daño moral se reconocerá la suma de 10 SMLMV o en su defecto la suma de $13.000.000. Lo anterior teniendo en cuenta que, tanto la Corte Suprema de Justicia </w:t>
            </w:r>
            <w:r w:rsidR="001739CC">
              <w:t>como el Consejo de Estado, han utilizado este baremo para casos con similares caracteristicas.</w:t>
            </w:r>
          </w:p>
          <w:p w14:paraId="2E599C28" w14:textId="77777777" w:rsidR="001739CC" w:rsidRDefault="001739CC" w:rsidP="001739CC">
            <w:pPr>
              <w:jc w:val="both"/>
            </w:pPr>
          </w:p>
          <w:p w14:paraId="40EF030B" w14:textId="12CC3A1C" w:rsidR="001739CC" w:rsidRPr="001739CC" w:rsidRDefault="001739CC" w:rsidP="001739CC">
            <w:pPr>
              <w:jc w:val="both"/>
            </w:pPr>
            <w:r>
              <w:t>4. Por daño a la salud no se reconocerá ningún emolumento teniendo en cuenta que e</w:t>
            </w:r>
            <w:r w:rsidRPr="001739CC">
              <w:t xml:space="preserve">l incidente de reparación integral sigue las lógicas del procedimiento civil, se descarta la tasación de este tipo de perjuicio por ser extraño a la jurisdicción civil. El daño a la salud se encuentra desarrollado por la jurisprudencia de la jurisdicción contenciosa administrativa, la cual es inaplicable al caso concreto al estar frente a un conflicto de responsabilidad civil extracontractual entre particulares. </w:t>
            </w:r>
          </w:p>
          <w:p w14:paraId="00875B7B" w14:textId="60C05E74" w:rsidR="00300336" w:rsidRPr="00300336" w:rsidRDefault="00300336" w:rsidP="001739CC">
            <w:pPr>
              <w:jc w:val="both"/>
            </w:pPr>
            <w:r>
              <w:t xml:space="preserve">  </w:t>
            </w:r>
          </w:p>
        </w:tc>
      </w:tr>
      <w:tr w:rsidR="00033127" w14:paraId="00875B7F" w14:textId="77777777" w:rsidTr="00AE03CA">
        <w:tc>
          <w:tcPr>
            <w:tcW w:w="4414" w:type="dxa"/>
            <w:shd w:val="clear" w:color="auto" w:fill="D9D9D9" w:themeFill="background1" w:themeFillShade="D9"/>
          </w:tcPr>
          <w:p w14:paraId="00875B7D" w14:textId="77777777" w:rsidR="00033127" w:rsidRPr="006D716C" w:rsidRDefault="00033127" w:rsidP="00033127">
            <w:pPr>
              <w:jc w:val="both"/>
              <w:rPr>
                <w:b/>
                <w:sz w:val="20"/>
                <w:szCs w:val="20"/>
              </w:rPr>
            </w:pPr>
            <w:r w:rsidRPr="006D716C">
              <w:rPr>
                <w:b/>
                <w:sz w:val="20"/>
                <w:szCs w:val="20"/>
              </w:rPr>
              <w:t>Calificación de la contingencia:</w:t>
            </w:r>
          </w:p>
        </w:tc>
        <w:tc>
          <w:tcPr>
            <w:tcW w:w="4414" w:type="dxa"/>
          </w:tcPr>
          <w:p w14:paraId="00875B7E" w14:textId="313106D3" w:rsidR="00033127" w:rsidRPr="00D807C9" w:rsidRDefault="004E06F5" w:rsidP="00033127">
            <w:pPr>
              <w:jc w:val="both"/>
            </w:pPr>
            <w:r>
              <w:t>Se considera PROBABLE</w:t>
            </w:r>
          </w:p>
        </w:tc>
      </w:tr>
      <w:tr w:rsidR="004E06F5" w14:paraId="00875B83" w14:textId="77777777" w:rsidTr="00AE03CA">
        <w:tc>
          <w:tcPr>
            <w:tcW w:w="4414" w:type="dxa"/>
            <w:shd w:val="clear" w:color="auto" w:fill="D9D9D9" w:themeFill="background1" w:themeFillShade="D9"/>
          </w:tcPr>
          <w:p w14:paraId="00875B80" w14:textId="77777777" w:rsidR="004E06F5" w:rsidRPr="006D716C" w:rsidRDefault="004E06F5" w:rsidP="004E06F5">
            <w:pPr>
              <w:jc w:val="both"/>
              <w:rPr>
                <w:b/>
                <w:sz w:val="20"/>
                <w:szCs w:val="20"/>
              </w:rPr>
            </w:pPr>
            <w:r>
              <w:rPr>
                <w:b/>
                <w:sz w:val="20"/>
                <w:szCs w:val="20"/>
              </w:rPr>
              <w:lastRenderedPageBreak/>
              <w:t>Motivos de la c</w:t>
            </w:r>
            <w:r w:rsidRPr="006D716C">
              <w:rPr>
                <w:b/>
                <w:sz w:val="20"/>
                <w:szCs w:val="20"/>
              </w:rPr>
              <w:t>alificación:</w:t>
            </w:r>
          </w:p>
        </w:tc>
        <w:tc>
          <w:tcPr>
            <w:tcW w:w="4414" w:type="dxa"/>
          </w:tcPr>
          <w:p w14:paraId="6103D8B5" w14:textId="77777777" w:rsidR="004E06F5" w:rsidRPr="005519D1" w:rsidRDefault="004E06F5" w:rsidP="004E06F5">
            <w:pPr>
              <w:jc w:val="both"/>
            </w:pPr>
            <w:r w:rsidRPr="004A03F9">
              <w:rPr>
                <w:highlight w:val="yellow"/>
              </w:rPr>
              <w:t>Se califica como PROBABLE, debido a que el contrato de seguro presta cobertura material y temporal.</w:t>
            </w:r>
          </w:p>
          <w:p w14:paraId="6B9D7749" w14:textId="77777777" w:rsidR="004E06F5" w:rsidRPr="005519D1" w:rsidRDefault="004E06F5" w:rsidP="004E06F5">
            <w:pPr>
              <w:jc w:val="both"/>
            </w:pPr>
            <w:r w:rsidRPr="005519D1">
              <w:t xml:space="preserve"> </w:t>
            </w:r>
          </w:p>
          <w:p w14:paraId="12F61C11" w14:textId="77777777" w:rsidR="004E06F5" w:rsidRPr="005519D1" w:rsidRDefault="004E06F5" w:rsidP="004E06F5">
            <w:pPr>
              <w:jc w:val="both"/>
            </w:pPr>
            <w:r w:rsidRPr="005519D1">
              <w:t xml:space="preserve">Lo primero que debe tomarse en consideración, es que la Póliza de </w:t>
            </w:r>
            <w:r>
              <w:t xml:space="preserve">seguros de </w:t>
            </w:r>
            <w:r w:rsidRPr="005F4DA0">
              <w:rPr>
                <w:lang w:val="es-ES_tradnl"/>
              </w:rPr>
              <w:t>automóviles</w:t>
            </w:r>
            <w:r w:rsidRPr="005519D1">
              <w:t xml:space="preserve">, emitida por LIBERTY SEGUROS S.A., cuyo tomador es </w:t>
            </w:r>
            <w:r>
              <w:t xml:space="preserve">BANCO DE OCCIDENTE S.A., </w:t>
            </w:r>
            <w:r w:rsidRPr="005519D1">
              <w:t xml:space="preserve">y el asegurado </w:t>
            </w:r>
            <w:r>
              <w:t>la señora Adriana Alban Ceballos</w:t>
            </w:r>
            <w:r w:rsidRPr="005519D1">
              <w:t>, presta cobertura material y temporal. Presta cobertura material en tanto cuenta con amparo sobre perjuicios extrapatrimoniales</w:t>
            </w:r>
            <w:r>
              <w:t xml:space="preserve"> frente al vehículo de placas MWW794.</w:t>
            </w:r>
            <w:r w:rsidRPr="005519D1">
              <w:t xml:space="preserve"> Frente a la cobertura temporal, debe decirse que la póliza opera bajo la modalidad </w:t>
            </w:r>
            <w:r>
              <w:t>ocurrencia</w:t>
            </w:r>
            <w:r w:rsidRPr="005519D1">
              <w:t xml:space="preserve">, la cual aplica </w:t>
            </w:r>
            <w:r>
              <w:t>por hechos ocurridos</w:t>
            </w:r>
            <w:r w:rsidRPr="005519D1">
              <w:t xml:space="preserve"> durante la vigencia del seguro. </w:t>
            </w:r>
            <w:r>
              <w:t>Asi las cosas, y teniendo en cuenta que el accidente ocurrió el 24 de enero de 2017, encontramos que la póliza tiene una vigencia desde el 2016-03-11 hasta el 2017-03-11, por lo que el siniestro se enmarca en dicha cobertura.</w:t>
            </w:r>
          </w:p>
          <w:p w14:paraId="069F6510" w14:textId="77777777" w:rsidR="004E06F5" w:rsidRPr="005519D1" w:rsidRDefault="004E06F5" w:rsidP="004E06F5">
            <w:pPr>
              <w:jc w:val="both"/>
            </w:pPr>
          </w:p>
          <w:p w14:paraId="2BF4C2B9" w14:textId="77777777" w:rsidR="004E06F5" w:rsidRDefault="004E06F5" w:rsidP="004E06F5">
            <w:pPr>
              <w:jc w:val="both"/>
            </w:pPr>
            <w:r w:rsidRPr="005519D1">
              <w:t xml:space="preserve">En cuanto a la responsabilidad del </w:t>
            </w:r>
            <w:r>
              <w:t xml:space="preserve">conductor del vehículo </w:t>
            </w:r>
            <w:r w:rsidRPr="005519D1">
              <w:t xml:space="preserve">asegurado, esta </w:t>
            </w:r>
            <w:r>
              <w:t>ya fue decantada en el proceso penal, dentro del cual se le condenó por el delito de lesiones personales culposas, hallandolo responsable del accidente de tránsito en el que resultó lesionado el señor Brayan Mayorga</w:t>
            </w:r>
          </w:p>
          <w:p w14:paraId="67DEF79D" w14:textId="77777777" w:rsidR="004E06F5" w:rsidRDefault="004E06F5" w:rsidP="004E06F5">
            <w:pPr>
              <w:jc w:val="both"/>
            </w:pPr>
          </w:p>
          <w:p w14:paraId="6FCE3C04" w14:textId="77777777" w:rsidR="004E06F5" w:rsidRDefault="004E06F5" w:rsidP="004E06F5">
            <w:pPr>
              <w:jc w:val="both"/>
            </w:pPr>
            <w:r>
              <w:t>En cuanto a la posibilidad de solicitar la prescripción derivada del contrato de seguros, es importante manifestar, que los Tribunales de la Jurisdicción Penal, comparten una posición en la cual se establece que el tiempo de computo en el que puede iniciar el ejercicio de la acción civil, se debe tener a partir de la ejecutoria de la sentencia condenatoria, es decir, en el presente caso, es a partir del mes de febrero de 2023, por lo que no se toma como un arguemento de peso para variar la contingencia, pese a que está claramente probado que la acción civil se inció después de haberse configurado las prescripciones de las acciones en lo referente al contrato de seguros.</w:t>
            </w:r>
          </w:p>
          <w:p w14:paraId="55E15A91" w14:textId="77777777" w:rsidR="004E06F5" w:rsidRDefault="004E06F5" w:rsidP="004E06F5">
            <w:pPr>
              <w:jc w:val="both"/>
              <w:rPr>
                <w:b/>
                <w:u w:val="single"/>
              </w:rPr>
            </w:pPr>
          </w:p>
          <w:p w14:paraId="00875B82" w14:textId="70B18D09" w:rsidR="004E06F5" w:rsidRPr="008D2BA7" w:rsidRDefault="004E06F5" w:rsidP="004E06F5">
            <w:pPr>
              <w:spacing w:before="100" w:beforeAutospacing="1" w:after="100" w:afterAutospacing="1" w:line="276" w:lineRule="auto"/>
              <w:jc w:val="both"/>
              <w:rPr>
                <w:rFonts w:ascii="Arial" w:hAnsi="Arial" w:cs="Arial"/>
              </w:rPr>
            </w:pPr>
          </w:p>
        </w:tc>
      </w:tr>
      <w:tr w:rsidR="004E06F5" w14:paraId="00875BA1" w14:textId="77777777" w:rsidTr="00AE03CA">
        <w:tc>
          <w:tcPr>
            <w:tcW w:w="4414" w:type="dxa"/>
            <w:shd w:val="clear" w:color="auto" w:fill="D9D9D9" w:themeFill="background1" w:themeFillShade="D9"/>
          </w:tcPr>
          <w:p w14:paraId="00875B84" w14:textId="77777777" w:rsidR="004E06F5" w:rsidRPr="006D716C" w:rsidRDefault="004E06F5" w:rsidP="004E06F5">
            <w:pPr>
              <w:jc w:val="both"/>
              <w:rPr>
                <w:b/>
                <w:sz w:val="20"/>
                <w:szCs w:val="20"/>
              </w:rPr>
            </w:pPr>
            <w:r w:rsidRPr="006D716C">
              <w:rPr>
                <w:b/>
                <w:sz w:val="20"/>
                <w:szCs w:val="20"/>
              </w:rPr>
              <w:lastRenderedPageBreak/>
              <w:t>Excepciones propuestas:</w:t>
            </w:r>
          </w:p>
        </w:tc>
        <w:tc>
          <w:tcPr>
            <w:tcW w:w="4414" w:type="dxa"/>
          </w:tcPr>
          <w:p w14:paraId="00875B85" w14:textId="47E64371" w:rsidR="004E06F5" w:rsidRDefault="004E06F5" w:rsidP="004E06F5">
            <w:pPr>
              <w:jc w:val="both"/>
              <w:rPr>
                <w:lang w:val="es-ES_tradnl"/>
              </w:rPr>
            </w:pPr>
            <w:r w:rsidRPr="00D807C9">
              <w:t>EXCEPCIONES DE FONDO FRENTE A LA DEMANDA:</w:t>
            </w:r>
            <w:r>
              <w:t xml:space="preserve"> L</w:t>
            </w:r>
            <w:r w:rsidRPr="004E06F5">
              <w:rPr>
                <w:lang w:val="es-ES_tradnl"/>
              </w:rPr>
              <w:t xml:space="preserve">as excepciones planteadas por quien efectúa el llamamiento en garantía a </w:t>
            </w:r>
            <w:r>
              <w:rPr>
                <w:lang w:val="es-ES_tradnl"/>
              </w:rPr>
              <w:t>L</w:t>
            </w:r>
            <w:r w:rsidRPr="004E06F5">
              <w:rPr>
                <w:lang w:val="es-ES_tradnl"/>
              </w:rPr>
              <w:t xml:space="preserve">iberty </w:t>
            </w:r>
            <w:r>
              <w:rPr>
                <w:lang w:val="es-ES_tradnl"/>
              </w:rPr>
              <w:t>S</w:t>
            </w:r>
            <w:r w:rsidRPr="004E06F5">
              <w:rPr>
                <w:lang w:val="es-ES_tradnl"/>
              </w:rPr>
              <w:t xml:space="preserve">eguros </w:t>
            </w:r>
            <w:r>
              <w:rPr>
                <w:lang w:val="es-ES_tradnl"/>
              </w:rPr>
              <w:t>S</w:t>
            </w:r>
            <w:r w:rsidRPr="004E06F5">
              <w:rPr>
                <w:lang w:val="es-ES_tradnl"/>
              </w:rPr>
              <w:t>.</w:t>
            </w:r>
            <w:r>
              <w:rPr>
                <w:lang w:val="es-ES_tradnl"/>
              </w:rPr>
              <w:t>A</w:t>
            </w:r>
            <w:r w:rsidRPr="004E06F5">
              <w:rPr>
                <w:lang w:val="es-ES_tradnl"/>
              </w:rPr>
              <w:t>.</w:t>
            </w:r>
            <w:r>
              <w:rPr>
                <w:lang w:val="es-ES_tradnl"/>
              </w:rPr>
              <w:t>, serán las siguientes:</w:t>
            </w:r>
          </w:p>
          <w:p w14:paraId="67B61745" w14:textId="77777777" w:rsidR="004E06F5" w:rsidRDefault="004E06F5" w:rsidP="004E06F5">
            <w:pPr>
              <w:jc w:val="both"/>
            </w:pPr>
          </w:p>
          <w:p w14:paraId="65AA43BA" w14:textId="77777777" w:rsidR="004E06F5" w:rsidRPr="004E06F5" w:rsidRDefault="004E06F5" w:rsidP="004E06F5">
            <w:pPr>
              <w:pStyle w:val="Prrafodelista"/>
              <w:numPr>
                <w:ilvl w:val="0"/>
                <w:numId w:val="6"/>
              </w:numPr>
              <w:jc w:val="both"/>
            </w:pPr>
            <w:r>
              <w:rPr>
                <w:bCs/>
              </w:rPr>
              <w:t>C</w:t>
            </w:r>
            <w:r w:rsidRPr="004E06F5">
              <w:rPr>
                <w:bCs/>
              </w:rPr>
              <w:t xml:space="preserve">arencia de prueba de los supuestos perjuicios e incorrecta tasación de </w:t>
            </w:r>
            <w:proofErr w:type="gramStart"/>
            <w:r w:rsidRPr="004E06F5">
              <w:rPr>
                <w:bCs/>
              </w:rPr>
              <w:t>los mismos</w:t>
            </w:r>
            <w:proofErr w:type="gramEnd"/>
          </w:p>
          <w:p w14:paraId="72A42902" w14:textId="77777777" w:rsidR="004E06F5" w:rsidRDefault="004E06F5" w:rsidP="004E06F5">
            <w:pPr>
              <w:jc w:val="both"/>
              <w:rPr>
                <w:b/>
              </w:rPr>
            </w:pPr>
          </w:p>
          <w:p w14:paraId="3F84A97D" w14:textId="14F763F3" w:rsidR="004E06F5" w:rsidRPr="004E06F5" w:rsidRDefault="004E06F5" w:rsidP="004E06F5">
            <w:pPr>
              <w:jc w:val="both"/>
            </w:pPr>
            <w:r w:rsidRPr="005C2D0B">
              <w:t>EXCEPCIONES FRENTE AL LLAMAMIENTO EN GARANTÍA:</w:t>
            </w:r>
            <w:r>
              <w:t xml:space="preserve"> L</w:t>
            </w:r>
            <w:r w:rsidRPr="004E06F5">
              <w:rPr>
                <w:lang w:val="es-ES_tradnl"/>
              </w:rPr>
              <w:t xml:space="preserve">as excepciones planteadas por quien efectúa el llamamiento en garantía a </w:t>
            </w:r>
            <w:r>
              <w:rPr>
                <w:lang w:val="es-ES_tradnl"/>
              </w:rPr>
              <w:t>L</w:t>
            </w:r>
            <w:r w:rsidRPr="004E06F5">
              <w:rPr>
                <w:lang w:val="es-ES_tradnl"/>
              </w:rPr>
              <w:t xml:space="preserve">iberty </w:t>
            </w:r>
            <w:r>
              <w:rPr>
                <w:lang w:val="es-ES_tradnl"/>
              </w:rPr>
              <w:t>S</w:t>
            </w:r>
            <w:r w:rsidRPr="004E06F5">
              <w:rPr>
                <w:lang w:val="es-ES_tradnl"/>
              </w:rPr>
              <w:t xml:space="preserve">eguros </w:t>
            </w:r>
            <w:r>
              <w:rPr>
                <w:lang w:val="es-ES_tradnl"/>
              </w:rPr>
              <w:t>S</w:t>
            </w:r>
            <w:r w:rsidRPr="004E06F5">
              <w:rPr>
                <w:lang w:val="es-ES_tradnl"/>
              </w:rPr>
              <w:t>.</w:t>
            </w:r>
            <w:r>
              <w:rPr>
                <w:lang w:val="es-ES_tradnl"/>
              </w:rPr>
              <w:t>A</w:t>
            </w:r>
            <w:r w:rsidRPr="004E06F5">
              <w:rPr>
                <w:lang w:val="es-ES_tradnl"/>
              </w:rPr>
              <w:t>.</w:t>
            </w:r>
            <w:r>
              <w:rPr>
                <w:lang w:val="es-ES_tradnl"/>
              </w:rPr>
              <w:t>, serán las siguientes:</w:t>
            </w:r>
          </w:p>
          <w:p w14:paraId="14EAA5D5" w14:textId="08E898C6" w:rsidR="004E06F5" w:rsidRDefault="004E06F5" w:rsidP="004E06F5">
            <w:pPr>
              <w:jc w:val="both"/>
            </w:pPr>
          </w:p>
          <w:p w14:paraId="5E39A6D7" w14:textId="5302984A" w:rsidR="004E06F5" w:rsidRPr="004E06F5" w:rsidRDefault="004E06F5" w:rsidP="004E06F5">
            <w:pPr>
              <w:pStyle w:val="Prrafodelista"/>
              <w:numPr>
                <w:ilvl w:val="0"/>
                <w:numId w:val="6"/>
              </w:numPr>
              <w:jc w:val="both"/>
            </w:pPr>
            <w:r>
              <w:rPr>
                <w:bCs/>
              </w:rPr>
              <w:t>C</w:t>
            </w:r>
            <w:r w:rsidRPr="004E06F5">
              <w:rPr>
                <w:bCs/>
              </w:rPr>
              <w:t xml:space="preserve">arencia de prueba de los supuestos perjuicios e incorrecta tasación de </w:t>
            </w:r>
            <w:proofErr w:type="gramStart"/>
            <w:r w:rsidRPr="004E06F5">
              <w:rPr>
                <w:bCs/>
              </w:rPr>
              <w:t>los mismos</w:t>
            </w:r>
            <w:proofErr w:type="gramEnd"/>
          </w:p>
          <w:p w14:paraId="25993E3A" w14:textId="4BA8A6D6" w:rsidR="004E06F5" w:rsidRDefault="004E06F5" w:rsidP="004E06F5">
            <w:pPr>
              <w:pStyle w:val="Prrafodelista"/>
              <w:numPr>
                <w:ilvl w:val="0"/>
                <w:numId w:val="6"/>
              </w:numPr>
              <w:jc w:val="both"/>
            </w:pPr>
            <w:r>
              <w:t>El contrato es ley para las partes</w:t>
            </w:r>
          </w:p>
          <w:p w14:paraId="20153EE7" w14:textId="6203CE53" w:rsidR="004E06F5" w:rsidRDefault="004E06F5" w:rsidP="004E06F5">
            <w:pPr>
              <w:pStyle w:val="Prrafodelista"/>
              <w:numPr>
                <w:ilvl w:val="0"/>
                <w:numId w:val="6"/>
              </w:numPr>
              <w:jc w:val="both"/>
            </w:pPr>
            <w:r>
              <w:t>Pese a lo que se informó en el acapite anterior, se solicitará se de aplicación a los artículos 1081 y 1131 del Co.Co., respecto a la prescripción derivada del contrato de seguros.</w:t>
            </w:r>
          </w:p>
          <w:p w14:paraId="73ABE786" w14:textId="77777777" w:rsidR="004E06F5" w:rsidRDefault="004E06F5" w:rsidP="004E06F5">
            <w:pPr>
              <w:jc w:val="both"/>
            </w:pPr>
          </w:p>
          <w:p w14:paraId="00875BA0" w14:textId="6C6B83CB" w:rsidR="004E06F5" w:rsidRPr="00A71844" w:rsidRDefault="004E06F5" w:rsidP="004E06F5">
            <w:pPr>
              <w:jc w:val="both"/>
            </w:pPr>
          </w:p>
        </w:tc>
      </w:tr>
      <w:tr w:rsidR="004E06F5" w14:paraId="00875BA4" w14:textId="77777777" w:rsidTr="00AE03CA">
        <w:tc>
          <w:tcPr>
            <w:tcW w:w="4414" w:type="dxa"/>
            <w:shd w:val="clear" w:color="auto" w:fill="D9D9D9" w:themeFill="background1" w:themeFillShade="D9"/>
          </w:tcPr>
          <w:p w14:paraId="00875BA2" w14:textId="77777777" w:rsidR="004E06F5" w:rsidRPr="006D716C" w:rsidRDefault="004E06F5" w:rsidP="004E06F5">
            <w:pPr>
              <w:jc w:val="both"/>
              <w:rPr>
                <w:b/>
                <w:sz w:val="20"/>
                <w:szCs w:val="20"/>
              </w:rPr>
            </w:pPr>
            <w:r w:rsidRPr="006D716C">
              <w:rPr>
                <w:b/>
                <w:sz w:val="20"/>
                <w:szCs w:val="20"/>
              </w:rPr>
              <w:t>Concepto del abogado sobre la posibilidad de conciliar el caso y valor de una propuesta conciliatoria:</w:t>
            </w:r>
          </w:p>
        </w:tc>
        <w:tc>
          <w:tcPr>
            <w:tcW w:w="4414" w:type="dxa"/>
          </w:tcPr>
          <w:p w14:paraId="00875BA3" w14:textId="3F46BCC7" w:rsidR="004E06F5" w:rsidRPr="004E06F5" w:rsidRDefault="004E06F5" w:rsidP="004E06F5">
            <w:pPr>
              <w:jc w:val="both"/>
            </w:pPr>
            <w:r w:rsidRPr="004E06F5">
              <w:t>Se recomienda conciliar el caso, toda vez que existe la alta probabilidad de una alta condena en contra de los demandados, principalmente de la aseguradora. Se sugiere ofrecer la suma de $15.000.000, con el fin de lograr un acuerdo que de fin al proceso de forma anticipada.</w:t>
            </w:r>
          </w:p>
        </w:tc>
      </w:tr>
    </w:tbl>
    <w:p w14:paraId="00875BA5" w14:textId="77777777" w:rsidR="00C44EB0" w:rsidRDefault="00C44EB0" w:rsidP="001739CC">
      <w:pPr>
        <w:jc w:val="both"/>
        <w:rPr>
          <w:b/>
        </w:rPr>
      </w:pPr>
    </w:p>
    <w:p w14:paraId="00875BA6" w14:textId="77777777" w:rsidR="00B5554B" w:rsidRDefault="00B5554B" w:rsidP="001739CC">
      <w:pPr>
        <w:jc w:val="both"/>
        <w:rPr>
          <w:b/>
        </w:rPr>
      </w:pPr>
    </w:p>
    <w:p w14:paraId="00875BA7" w14:textId="77777777" w:rsidR="005D416E" w:rsidRDefault="005D416E" w:rsidP="001739CC">
      <w:pPr>
        <w:jc w:val="both"/>
        <w:rPr>
          <w:b/>
        </w:rPr>
      </w:pPr>
      <w:r>
        <w:rPr>
          <w:b/>
        </w:rPr>
        <w:t>INFORMACIÓN PARA LA AUDIENCIA DE CONCILIACIÓN:</w:t>
      </w:r>
    </w:p>
    <w:tbl>
      <w:tblPr>
        <w:tblStyle w:val="Tablaconcuadrcula"/>
        <w:tblW w:w="0" w:type="auto"/>
        <w:tblLook w:val="04A0" w:firstRow="1" w:lastRow="0" w:firstColumn="1" w:lastColumn="0" w:noHBand="0" w:noVBand="1"/>
      </w:tblPr>
      <w:tblGrid>
        <w:gridCol w:w="4414"/>
        <w:gridCol w:w="4414"/>
      </w:tblGrid>
      <w:tr w:rsidR="005D416E" w14:paraId="00875BAA" w14:textId="77777777" w:rsidTr="005D416E">
        <w:tc>
          <w:tcPr>
            <w:tcW w:w="4414" w:type="dxa"/>
            <w:shd w:val="clear" w:color="auto" w:fill="D9D9D9" w:themeFill="background1" w:themeFillShade="D9"/>
          </w:tcPr>
          <w:p w14:paraId="00875BA8" w14:textId="77777777" w:rsidR="005D416E" w:rsidRPr="006D716C" w:rsidRDefault="005D416E" w:rsidP="001739CC">
            <w:pPr>
              <w:jc w:val="both"/>
              <w:rPr>
                <w:b/>
                <w:sz w:val="20"/>
                <w:szCs w:val="20"/>
              </w:rPr>
            </w:pPr>
            <w:r w:rsidRPr="006D716C">
              <w:rPr>
                <w:b/>
                <w:sz w:val="20"/>
                <w:szCs w:val="20"/>
              </w:rPr>
              <w:t>Fecha y hora de la diligencia:</w:t>
            </w:r>
          </w:p>
        </w:tc>
        <w:tc>
          <w:tcPr>
            <w:tcW w:w="4414" w:type="dxa"/>
          </w:tcPr>
          <w:p w14:paraId="00875BA9" w14:textId="713040BB" w:rsidR="005D416E" w:rsidRDefault="0011339D" w:rsidP="001739CC">
            <w:pPr>
              <w:jc w:val="both"/>
              <w:rPr>
                <w:b/>
              </w:rPr>
            </w:pPr>
            <w:r>
              <w:rPr>
                <w:b/>
              </w:rPr>
              <w:t>11 de septiembre de 2024 a partir de las 3 de la tarde</w:t>
            </w:r>
          </w:p>
        </w:tc>
      </w:tr>
      <w:tr w:rsidR="005D416E" w14:paraId="00875BAD" w14:textId="77777777" w:rsidTr="005D416E">
        <w:tc>
          <w:tcPr>
            <w:tcW w:w="4414" w:type="dxa"/>
            <w:shd w:val="clear" w:color="auto" w:fill="D9D9D9" w:themeFill="background1" w:themeFillShade="D9"/>
          </w:tcPr>
          <w:p w14:paraId="00875BAB" w14:textId="77777777" w:rsidR="005D416E" w:rsidRPr="006D716C" w:rsidRDefault="005D416E" w:rsidP="001739CC">
            <w:pPr>
              <w:jc w:val="both"/>
              <w:rPr>
                <w:b/>
                <w:sz w:val="20"/>
                <w:szCs w:val="20"/>
              </w:rPr>
            </w:pPr>
            <w:r w:rsidRPr="006D716C">
              <w:rPr>
                <w:b/>
                <w:sz w:val="20"/>
                <w:szCs w:val="20"/>
              </w:rPr>
              <w:t>Síntesis de los argumentos de la Compañía:</w:t>
            </w:r>
          </w:p>
        </w:tc>
        <w:tc>
          <w:tcPr>
            <w:tcW w:w="4414" w:type="dxa"/>
          </w:tcPr>
          <w:p w14:paraId="00875BAC" w14:textId="3D332838" w:rsidR="005D416E" w:rsidRPr="009871E0" w:rsidRDefault="005D416E" w:rsidP="001739CC">
            <w:pPr>
              <w:pStyle w:val="Prrafodelista"/>
              <w:jc w:val="both"/>
            </w:pPr>
          </w:p>
        </w:tc>
      </w:tr>
      <w:tr w:rsidR="005D416E" w14:paraId="00875BB0" w14:textId="77777777" w:rsidTr="005D416E">
        <w:tc>
          <w:tcPr>
            <w:tcW w:w="4414" w:type="dxa"/>
            <w:shd w:val="clear" w:color="auto" w:fill="D9D9D9" w:themeFill="background1" w:themeFillShade="D9"/>
          </w:tcPr>
          <w:p w14:paraId="00875BAE" w14:textId="77777777" w:rsidR="005D416E" w:rsidRPr="006D716C" w:rsidRDefault="005D416E" w:rsidP="001739CC">
            <w:pPr>
              <w:jc w:val="both"/>
              <w:rPr>
                <w:b/>
                <w:sz w:val="20"/>
                <w:szCs w:val="20"/>
              </w:rPr>
            </w:pPr>
            <w:r w:rsidRPr="006D716C">
              <w:rPr>
                <w:b/>
                <w:sz w:val="20"/>
                <w:szCs w:val="20"/>
              </w:rPr>
              <w:t>Recomendaciones para la diligencia:</w:t>
            </w:r>
          </w:p>
        </w:tc>
        <w:tc>
          <w:tcPr>
            <w:tcW w:w="4414" w:type="dxa"/>
          </w:tcPr>
          <w:p w14:paraId="00875BAF" w14:textId="3097F28F" w:rsidR="005D416E" w:rsidRPr="004D6468" w:rsidRDefault="005D416E" w:rsidP="001739CC">
            <w:pPr>
              <w:jc w:val="both"/>
              <w:rPr>
                <w:bCs/>
              </w:rPr>
            </w:pPr>
          </w:p>
        </w:tc>
      </w:tr>
    </w:tbl>
    <w:p w14:paraId="00875BB1" w14:textId="77777777" w:rsidR="005D416E" w:rsidRPr="00C44EB0" w:rsidRDefault="005D416E" w:rsidP="001739CC">
      <w:pPr>
        <w:jc w:val="both"/>
        <w:rPr>
          <w:b/>
        </w:rPr>
      </w:pPr>
    </w:p>
    <w:sectPr w:rsidR="005D416E" w:rsidRPr="00C44EB0" w:rsidSect="00110714">
      <w:headerReference w:type="even" r:id="rId7"/>
      <w:headerReference w:type="default" r:id="rId8"/>
      <w:footerReference w:type="even" r:id="rId9"/>
      <w:footerReference w:type="default" r:id="rId10"/>
      <w:headerReference w:type="first" r:id="rId11"/>
      <w:footerReference w:type="first" r:id="rId12"/>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949E24" w14:textId="77777777" w:rsidR="00C75D38" w:rsidRDefault="00C75D38" w:rsidP="00110714">
      <w:pPr>
        <w:spacing w:after="0" w:line="240" w:lineRule="auto"/>
      </w:pPr>
      <w:r>
        <w:separator/>
      </w:r>
    </w:p>
  </w:endnote>
  <w:endnote w:type="continuationSeparator" w:id="0">
    <w:p w14:paraId="40A52E2C" w14:textId="77777777" w:rsidR="00C75D38" w:rsidRDefault="00C75D38" w:rsidP="001107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875BB8" w14:textId="77777777" w:rsidR="00110714" w:rsidRDefault="00110714" w:rsidP="0011071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875BB9" w14:textId="77777777" w:rsidR="00110714" w:rsidRDefault="00110714">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875BBB" w14:textId="77777777" w:rsidR="00110714" w:rsidRDefault="00110714" w:rsidP="0011071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5CE733" w14:textId="77777777" w:rsidR="00C75D38" w:rsidRDefault="00C75D38" w:rsidP="00110714">
      <w:pPr>
        <w:spacing w:after="0" w:line="240" w:lineRule="auto"/>
      </w:pPr>
      <w:r>
        <w:separator/>
      </w:r>
    </w:p>
  </w:footnote>
  <w:footnote w:type="continuationSeparator" w:id="0">
    <w:p w14:paraId="049A0BD9" w14:textId="77777777" w:rsidR="00C75D38" w:rsidRDefault="00C75D38" w:rsidP="001107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875BB6" w14:textId="77777777" w:rsidR="00110714" w:rsidRDefault="00110714" w:rsidP="0011071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875BB7" w14:textId="77777777" w:rsidR="00110714" w:rsidRDefault="00110714">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875BBA" w14:textId="77777777" w:rsidR="00110714" w:rsidRDefault="00110714" w:rsidP="0011071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26444E"/>
    <w:multiLevelType w:val="hybridMultilevel"/>
    <w:tmpl w:val="4AD2D836"/>
    <w:lvl w:ilvl="0" w:tplc="29E82EB6">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21811940"/>
    <w:multiLevelType w:val="hybridMultilevel"/>
    <w:tmpl w:val="79448C18"/>
    <w:lvl w:ilvl="0" w:tplc="79288220">
      <w:start w:val="4"/>
      <w:numFmt w:val="bullet"/>
      <w:lvlText w:val="-"/>
      <w:lvlJc w:val="left"/>
      <w:pPr>
        <w:ind w:left="720" w:hanging="360"/>
      </w:pPr>
      <w:rPr>
        <w:rFonts w:ascii="Calibri" w:eastAsiaTheme="minorHAnsi" w:hAnsi="Calibri" w:cs="Calibr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43C10E8C"/>
    <w:multiLevelType w:val="hybridMultilevel"/>
    <w:tmpl w:val="E43C735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530A5BE3"/>
    <w:multiLevelType w:val="hybridMultilevel"/>
    <w:tmpl w:val="4AD2D836"/>
    <w:lvl w:ilvl="0" w:tplc="29E82EB6">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58730E3E"/>
    <w:multiLevelType w:val="hybridMultilevel"/>
    <w:tmpl w:val="2A78C5A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73B95108"/>
    <w:multiLevelType w:val="hybridMultilevel"/>
    <w:tmpl w:val="7370FB96"/>
    <w:lvl w:ilvl="0" w:tplc="4B94C7AE">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15217760">
    <w:abstractNumId w:val="3"/>
  </w:num>
  <w:num w:numId="2" w16cid:durableId="227889492">
    <w:abstractNumId w:val="5"/>
  </w:num>
  <w:num w:numId="3" w16cid:durableId="1262639264">
    <w:abstractNumId w:val="4"/>
  </w:num>
  <w:num w:numId="4" w16cid:durableId="546719855">
    <w:abstractNumId w:val="0"/>
  </w:num>
  <w:num w:numId="5" w16cid:durableId="1153831168">
    <w:abstractNumId w:val="2"/>
  </w:num>
  <w:num w:numId="6" w16cid:durableId="1202680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4EB0"/>
    <w:rsid w:val="00033127"/>
    <w:rsid w:val="0007236D"/>
    <w:rsid w:val="00074E4D"/>
    <w:rsid w:val="000E79B7"/>
    <w:rsid w:val="00110714"/>
    <w:rsid w:val="0011339D"/>
    <w:rsid w:val="00117816"/>
    <w:rsid w:val="001350E9"/>
    <w:rsid w:val="001739CC"/>
    <w:rsid w:val="001E292C"/>
    <w:rsid w:val="001E70EC"/>
    <w:rsid w:val="001F0FB7"/>
    <w:rsid w:val="0028346B"/>
    <w:rsid w:val="00285EF7"/>
    <w:rsid w:val="002E55B4"/>
    <w:rsid w:val="00300336"/>
    <w:rsid w:val="00300C59"/>
    <w:rsid w:val="003040ED"/>
    <w:rsid w:val="003B46C1"/>
    <w:rsid w:val="003C4AD1"/>
    <w:rsid w:val="00422756"/>
    <w:rsid w:val="00434C76"/>
    <w:rsid w:val="00477487"/>
    <w:rsid w:val="004D6468"/>
    <w:rsid w:val="004E06F5"/>
    <w:rsid w:val="005273BB"/>
    <w:rsid w:val="00543FA8"/>
    <w:rsid w:val="005C2D0B"/>
    <w:rsid w:val="005D416E"/>
    <w:rsid w:val="005F4DA0"/>
    <w:rsid w:val="006D4C14"/>
    <w:rsid w:val="006D716C"/>
    <w:rsid w:val="007253C4"/>
    <w:rsid w:val="0075008C"/>
    <w:rsid w:val="00786461"/>
    <w:rsid w:val="008D2BA7"/>
    <w:rsid w:val="0090036B"/>
    <w:rsid w:val="00977791"/>
    <w:rsid w:val="009871E0"/>
    <w:rsid w:val="009C3B96"/>
    <w:rsid w:val="00A16E62"/>
    <w:rsid w:val="00A40AF2"/>
    <w:rsid w:val="00A47435"/>
    <w:rsid w:val="00A71844"/>
    <w:rsid w:val="00AC1AAA"/>
    <w:rsid w:val="00AE03CA"/>
    <w:rsid w:val="00B404F0"/>
    <w:rsid w:val="00B5554B"/>
    <w:rsid w:val="00B632BF"/>
    <w:rsid w:val="00BE177E"/>
    <w:rsid w:val="00BF597B"/>
    <w:rsid w:val="00C43C7B"/>
    <w:rsid w:val="00C44EB0"/>
    <w:rsid w:val="00C758F4"/>
    <w:rsid w:val="00C75D38"/>
    <w:rsid w:val="00CA20E0"/>
    <w:rsid w:val="00D807C9"/>
    <w:rsid w:val="00E227BF"/>
    <w:rsid w:val="00E27188"/>
    <w:rsid w:val="00E76D69"/>
    <w:rsid w:val="00ED176B"/>
    <w:rsid w:val="00EF5792"/>
    <w:rsid w:val="00F4705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875B3C"/>
  <w15:chartTrackingRefBased/>
  <w15:docId w15:val="{985EC92A-330D-45E1-8D80-E304D31F4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C44E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11071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0714"/>
  </w:style>
  <w:style w:type="paragraph" w:styleId="Piedepgina">
    <w:name w:val="footer"/>
    <w:basedOn w:val="Normal"/>
    <w:link w:val="PiedepginaCar"/>
    <w:uiPriority w:val="99"/>
    <w:unhideWhenUsed/>
    <w:rsid w:val="0011071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0714"/>
  </w:style>
  <w:style w:type="paragraph" w:styleId="Prrafodelista">
    <w:name w:val="List Paragraph"/>
    <w:basedOn w:val="Normal"/>
    <w:uiPriority w:val="34"/>
    <w:qFormat/>
    <w:rsid w:val="00D807C9"/>
    <w:pPr>
      <w:ind w:left="720"/>
      <w:contextualSpacing/>
    </w:pPr>
  </w:style>
  <w:style w:type="paragraph" w:styleId="NormalWeb">
    <w:name w:val="Normal (Web)"/>
    <w:basedOn w:val="Normal"/>
    <w:uiPriority w:val="99"/>
    <w:semiHidden/>
    <w:unhideWhenUsed/>
    <w:rsid w:val="001739CC"/>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4230502">
      <w:bodyDiv w:val="1"/>
      <w:marLeft w:val="0"/>
      <w:marRight w:val="0"/>
      <w:marTop w:val="0"/>
      <w:marBottom w:val="0"/>
      <w:divBdr>
        <w:top w:val="none" w:sz="0" w:space="0" w:color="auto"/>
        <w:left w:val="none" w:sz="0" w:space="0" w:color="auto"/>
        <w:bottom w:val="none" w:sz="0" w:space="0" w:color="auto"/>
        <w:right w:val="none" w:sz="0" w:space="0" w:color="auto"/>
      </w:divBdr>
    </w:div>
    <w:div w:id="683435667">
      <w:bodyDiv w:val="1"/>
      <w:marLeft w:val="0"/>
      <w:marRight w:val="0"/>
      <w:marTop w:val="0"/>
      <w:marBottom w:val="0"/>
      <w:divBdr>
        <w:top w:val="none" w:sz="0" w:space="0" w:color="auto"/>
        <w:left w:val="none" w:sz="0" w:space="0" w:color="auto"/>
        <w:bottom w:val="none" w:sz="0" w:space="0" w:color="auto"/>
        <w:right w:val="none" w:sz="0" w:space="0" w:color="auto"/>
      </w:divBdr>
      <w:divsChild>
        <w:div w:id="504326990">
          <w:marLeft w:val="0"/>
          <w:marRight w:val="0"/>
          <w:marTop w:val="0"/>
          <w:marBottom w:val="0"/>
          <w:divBdr>
            <w:top w:val="none" w:sz="0" w:space="0" w:color="auto"/>
            <w:left w:val="none" w:sz="0" w:space="0" w:color="auto"/>
            <w:bottom w:val="none" w:sz="0" w:space="0" w:color="auto"/>
            <w:right w:val="none" w:sz="0" w:space="0" w:color="auto"/>
          </w:divBdr>
          <w:divsChild>
            <w:div w:id="1866210964">
              <w:marLeft w:val="0"/>
              <w:marRight w:val="0"/>
              <w:marTop w:val="0"/>
              <w:marBottom w:val="0"/>
              <w:divBdr>
                <w:top w:val="none" w:sz="0" w:space="0" w:color="auto"/>
                <w:left w:val="none" w:sz="0" w:space="0" w:color="auto"/>
                <w:bottom w:val="none" w:sz="0" w:space="0" w:color="auto"/>
                <w:right w:val="none" w:sz="0" w:space="0" w:color="auto"/>
              </w:divBdr>
              <w:divsChild>
                <w:div w:id="95035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850380">
      <w:bodyDiv w:val="1"/>
      <w:marLeft w:val="0"/>
      <w:marRight w:val="0"/>
      <w:marTop w:val="0"/>
      <w:marBottom w:val="0"/>
      <w:divBdr>
        <w:top w:val="none" w:sz="0" w:space="0" w:color="auto"/>
        <w:left w:val="none" w:sz="0" w:space="0" w:color="auto"/>
        <w:bottom w:val="none" w:sz="0" w:space="0" w:color="auto"/>
        <w:right w:val="none" w:sz="0" w:space="0" w:color="auto"/>
      </w:divBdr>
    </w:div>
    <w:div w:id="1600986342">
      <w:bodyDiv w:val="1"/>
      <w:marLeft w:val="0"/>
      <w:marRight w:val="0"/>
      <w:marTop w:val="0"/>
      <w:marBottom w:val="0"/>
      <w:divBdr>
        <w:top w:val="none" w:sz="0" w:space="0" w:color="auto"/>
        <w:left w:val="none" w:sz="0" w:space="0" w:color="auto"/>
        <w:bottom w:val="none" w:sz="0" w:space="0" w:color="auto"/>
        <w:right w:val="none" w:sz="0" w:space="0" w:color="auto"/>
      </w:divBdr>
      <w:divsChild>
        <w:div w:id="1022898265">
          <w:marLeft w:val="0"/>
          <w:marRight w:val="0"/>
          <w:marTop w:val="0"/>
          <w:marBottom w:val="0"/>
          <w:divBdr>
            <w:top w:val="none" w:sz="0" w:space="0" w:color="auto"/>
            <w:left w:val="none" w:sz="0" w:space="0" w:color="auto"/>
            <w:bottom w:val="none" w:sz="0" w:space="0" w:color="auto"/>
            <w:right w:val="none" w:sz="0" w:space="0" w:color="auto"/>
          </w:divBdr>
          <w:divsChild>
            <w:div w:id="2019431187">
              <w:marLeft w:val="0"/>
              <w:marRight w:val="0"/>
              <w:marTop w:val="0"/>
              <w:marBottom w:val="0"/>
              <w:divBdr>
                <w:top w:val="none" w:sz="0" w:space="0" w:color="auto"/>
                <w:left w:val="none" w:sz="0" w:space="0" w:color="auto"/>
                <w:bottom w:val="none" w:sz="0" w:space="0" w:color="auto"/>
                <w:right w:val="none" w:sz="0" w:space="0" w:color="auto"/>
              </w:divBdr>
              <w:divsChild>
                <w:div w:id="1915893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1084</Words>
  <Characters>5968</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Mejia Guzman, Katy (Colombia)</dc:creator>
  <cp:keywords/>
  <dc:description/>
  <cp:lastModifiedBy>Caro Benitez Freyre</cp:lastModifiedBy>
  <cp:revision>2</cp:revision>
  <dcterms:created xsi:type="dcterms:W3CDTF">2024-11-01T21:29:00Z</dcterms:created>
  <dcterms:modified xsi:type="dcterms:W3CDTF">2024-11-01T21:29:00Z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50dc07d3-189a-455e-8b7f-dc2fa8e5d363</vt:lpwstr>
  </property>
  <property fmtid="{D5CDD505-2E9C-101B-9397-08002B2CF9AE}" pid="3" name="Clasificaciones">
    <vt:lpwstr>INTERNA</vt:lpwstr>
  </property>
</Properties>
</file>