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BE5A" w14:textId="357D72F4" w:rsidR="000D26E8" w:rsidRDefault="0044349E" w:rsidP="000D26E8">
      <w:pPr>
        <w:shd w:val="clear" w:color="auto" w:fill="FFFFFF"/>
        <w:spacing w:after="0" w:line="240" w:lineRule="auto"/>
        <w:jc w:val="both"/>
        <w:textAlignment w:val="baseline"/>
        <w:rPr>
          <w:rFonts w:ascii="Arial" w:eastAsia="Times New Roman" w:hAnsi="Arial" w:cs="Arial"/>
          <w:color w:val="000000" w:themeColor="text1"/>
          <w:kern w:val="0"/>
          <w:bdr w:val="none" w:sz="0" w:space="0" w:color="auto" w:frame="1"/>
          <w:shd w:val="clear" w:color="auto" w:fill="FFFFFF"/>
          <w:lang w:eastAsia="es-CO"/>
          <w14:ligatures w14:val="none"/>
        </w:rPr>
      </w:pPr>
      <w:r w:rsidRPr="008A4E67">
        <w:rPr>
          <w:rFonts w:ascii="Arial" w:eastAsia="Times New Roman" w:hAnsi="Arial" w:cs="Arial"/>
          <w:color w:val="000000" w:themeColor="text1"/>
          <w:kern w:val="0"/>
          <w:bdr w:val="none" w:sz="0" w:space="0" w:color="auto" w:frame="1"/>
          <w:shd w:val="clear" w:color="auto" w:fill="FFFFFF"/>
          <w:lang w:eastAsia="es-CO"/>
          <w14:ligatures w14:val="none"/>
        </w:rPr>
        <w:t>L</w:t>
      </w:r>
      <w:r w:rsidR="000A7E53" w:rsidRPr="008A4E67">
        <w:rPr>
          <w:rFonts w:ascii="Arial" w:eastAsia="Times New Roman" w:hAnsi="Arial" w:cs="Arial"/>
          <w:color w:val="000000" w:themeColor="text1"/>
          <w:kern w:val="0"/>
          <w:bdr w:val="none" w:sz="0" w:space="0" w:color="auto" w:frame="1"/>
          <w:shd w:val="clear" w:color="auto" w:fill="FFFFFF"/>
          <w:lang w:eastAsia="es-CO"/>
          <w14:ligatures w14:val="none"/>
        </w:rPr>
        <w:t>a contingencia del proceso se califica como </w:t>
      </w:r>
      <w:r w:rsidR="008A4E67" w:rsidRPr="008A4E67">
        <w:rPr>
          <w:rFonts w:ascii="Arial" w:eastAsia="Times New Roman" w:hAnsi="Arial" w:cs="Arial"/>
          <w:b/>
          <w:bCs/>
          <w:color w:val="000000" w:themeColor="text1"/>
          <w:kern w:val="0"/>
          <w:u w:val="single"/>
          <w:bdr w:val="none" w:sz="0" w:space="0" w:color="auto" w:frame="1"/>
          <w:shd w:val="clear" w:color="auto" w:fill="FFFFFF"/>
          <w:lang w:eastAsia="es-CO"/>
          <w14:ligatures w14:val="none"/>
        </w:rPr>
        <w:t>EVENTUAL</w:t>
      </w:r>
      <w:r w:rsidR="000A7E53" w:rsidRPr="008A4E67">
        <w:rPr>
          <w:rFonts w:ascii="Arial" w:eastAsia="Times New Roman" w:hAnsi="Arial" w:cs="Arial"/>
          <w:color w:val="000000" w:themeColor="text1"/>
          <w:kern w:val="0"/>
          <w:bdr w:val="none" w:sz="0" w:space="0" w:color="auto" w:frame="1"/>
          <w:shd w:val="clear" w:color="auto" w:fill="FFFFFF"/>
          <w:lang w:eastAsia="es-CO"/>
          <w14:ligatures w14:val="none"/>
        </w:rPr>
        <w:t xml:space="preserve">, </w:t>
      </w:r>
      <w:r w:rsidR="004D7696" w:rsidRPr="008A4E67">
        <w:rPr>
          <w:rFonts w:ascii="Arial" w:eastAsia="Times New Roman" w:hAnsi="Arial" w:cs="Arial"/>
          <w:color w:val="000000" w:themeColor="text1"/>
          <w:kern w:val="0"/>
          <w:bdr w:val="none" w:sz="0" w:space="0" w:color="auto" w:frame="1"/>
          <w:shd w:val="clear" w:color="auto" w:fill="FFFFFF"/>
          <w:lang w:eastAsia="es-CO"/>
          <w14:ligatures w14:val="none"/>
        </w:rPr>
        <w:t xml:space="preserve">dado que la </w:t>
      </w:r>
      <w:r w:rsidR="000D26E8" w:rsidRPr="008A4E67">
        <w:rPr>
          <w:rFonts w:ascii="Arial" w:eastAsia="Times New Roman" w:hAnsi="Arial" w:cs="Arial"/>
          <w:color w:val="000000" w:themeColor="text1"/>
          <w:kern w:val="0"/>
          <w:bdr w:val="none" w:sz="0" w:space="0" w:color="auto" w:frame="1"/>
          <w:shd w:val="clear" w:color="auto" w:fill="FFFFFF"/>
          <w:lang w:eastAsia="es-CO"/>
          <w14:ligatures w14:val="none"/>
        </w:rPr>
        <w:t>Póliza de Seguro de Cumplimiento de Entidades Estatales N°</w:t>
      </w:r>
      <w:r w:rsidR="008A4E67" w:rsidRPr="008A4E67">
        <w:rPr>
          <w:rFonts w:ascii="Arial" w:eastAsia="Times New Roman" w:hAnsi="Arial" w:cs="Arial"/>
          <w:color w:val="000000" w:themeColor="text1"/>
          <w:kern w:val="0"/>
          <w:bdr w:val="none" w:sz="0" w:space="0" w:color="auto" w:frame="1"/>
          <w:shd w:val="clear" w:color="auto" w:fill="FFFFFF"/>
          <w:lang w:eastAsia="es-CO"/>
          <w14:ligatures w14:val="none"/>
        </w:rPr>
        <w:t>630-47-994000006141</w:t>
      </w:r>
      <w:r w:rsidR="000D26E8" w:rsidRPr="008A4E67">
        <w:rPr>
          <w:rFonts w:ascii="Arial" w:eastAsia="Times New Roman" w:hAnsi="Arial" w:cs="Arial"/>
          <w:color w:val="000000" w:themeColor="text1"/>
          <w:kern w:val="0"/>
          <w:bdr w:val="none" w:sz="0" w:space="0" w:color="auto" w:frame="1"/>
          <w:shd w:val="clear" w:color="auto" w:fill="FFFFFF"/>
          <w:lang w:eastAsia="es-CO"/>
          <w14:ligatures w14:val="none"/>
        </w:rPr>
        <w:t>, presta cobertura material</w:t>
      </w:r>
      <w:r w:rsidR="008A4E67">
        <w:rPr>
          <w:rFonts w:ascii="Arial" w:eastAsia="Times New Roman" w:hAnsi="Arial" w:cs="Arial"/>
          <w:color w:val="000000" w:themeColor="text1"/>
          <w:kern w:val="0"/>
          <w:bdr w:val="none" w:sz="0" w:space="0" w:color="auto" w:frame="1"/>
          <w:shd w:val="clear" w:color="auto" w:fill="FFFFFF"/>
          <w:lang w:eastAsia="es-CO"/>
          <w14:ligatures w14:val="none"/>
        </w:rPr>
        <w:t xml:space="preserve"> y temporal para los hechos objeto de controversia.</w:t>
      </w:r>
    </w:p>
    <w:p w14:paraId="78D6CE20" w14:textId="77777777" w:rsidR="008A4E67" w:rsidRPr="00F969EE" w:rsidRDefault="008A4E67" w:rsidP="000D26E8">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p>
    <w:p w14:paraId="671E1911" w14:textId="0DE40213" w:rsidR="00674A06" w:rsidRDefault="000A7E53" w:rsidP="000D26E8">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L</w:t>
      </w:r>
      <w:r w:rsidRPr="00F969EE">
        <w:rPr>
          <w:rFonts w:ascii="Arial" w:eastAsia="Times New Roman" w:hAnsi="Arial" w:cs="Arial"/>
          <w:color w:val="000000"/>
          <w:kern w:val="0"/>
          <w:bdr w:val="none" w:sz="0" w:space="0" w:color="auto" w:frame="1"/>
          <w:shd w:val="clear" w:color="auto" w:fill="FFFFFF"/>
          <w:lang w:eastAsia="es-CO"/>
          <w14:ligatures w14:val="none"/>
        </w:rPr>
        <w:t xml:space="preserve">a Póliza </w:t>
      </w:r>
      <w:r w:rsidR="000D26E8">
        <w:rPr>
          <w:rFonts w:ascii="Arial" w:eastAsia="Times New Roman" w:hAnsi="Arial" w:cs="Arial"/>
          <w:color w:val="000000"/>
          <w:kern w:val="0"/>
          <w:bdr w:val="none" w:sz="0" w:space="0" w:color="auto" w:frame="1"/>
          <w:shd w:val="clear" w:color="auto" w:fill="FFFFFF"/>
          <w:lang w:eastAsia="es-CO"/>
          <w14:ligatures w14:val="none"/>
        </w:rPr>
        <w:t xml:space="preserve">de </w:t>
      </w:r>
      <w:r w:rsidR="000D26E8" w:rsidRPr="000D26E8">
        <w:rPr>
          <w:rFonts w:ascii="Arial" w:eastAsia="Times New Roman" w:hAnsi="Arial" w:cs="Arial"/>
          <w:color w:val="000000"/>
          <w:kern w:val="0"/>
          <w:bdr w:val="none" w:sz="0" w:space="0" w:color="auto" w:frame="1"/>
          <w:shd w:val="clear" w:color="auto" w:fill="FFFFFF"/>
          <w:lang w:eastAsia="es-CO"/>
          <w14:ligatures w14:val="none"/>
        </w:rPr>
        <w:t>Seguro de Cumplimiento de Entidades Estatales N°</w:t>
      </w:r>
      <w:r w:rsidR="008A4E67" w:rsidRPr="008A4E67">
        <w:rPr>
          <w:rFonts w:ascii="Arial" w:eastAsia="Times New Roman" w:hAnsi="Arial" w:cs="Arial"/>
          <w:color w:val="000000" w:themeColor="text1"/>
          <w:kern w:val="0"/>
          <w:bdr w:val="none" w:sz="0" w:space="0" w:color="auto" w:frame="1"/>
          <w:shd w:val="clear" w:color="auto" w:fill="FFFFFF"/>
          <w:lang w:eastAsia="es-CO"/>
          <w14:ligatures w14:val="none"/>
        </w:rPr>
        <w:t>630-47-994000006141</w:t>
      </w:r>
      <w:r w:rsidRPr="00F969EE">
        <w:rPr>
          <w:rFonts w:ascii="Arial" w:eastAsia="Times New Roman" w:hAnsi="Arial" w:cs="Arial"/>
          <w:color w:val="000000"/>
          <w:kern w:val="0"/>
          <w:bdr w:val="none" w:sz="0" w:space="0" w:color="auto" w:frame="1"/>
          <w:shd w:val="clear" w:color="auto" w:fill="FFFFFF"/>
          <w:lang w:eastAsia="es-CO"/>
          <w14:ligatures w14:val="none"/>
        </w:rPr>
        <w:t>cuyo asegurado es</w:t>
      </w:r>
      <w:r w:rsidR="000D26E8">
        <w:rPr>
          <w:rFonts w:ascii="Arial" w:eastAsia="Times New Roman" w:hAnsi="Arial" w:cs="Arial"/>
          <w:color w:val="000000"/>
          <w:kern w:val="0"/>
          <w:bdr w:val="none" w:sz="0" w:space="0" w:color="auto" w:frame="1"/>
          <w:shd w:val="clear" w:color="auto" w:fill="FFFFFF"/>
          <w:lang w:eastAsia="es-CO"/>
          <w14:ligatures w14:val="none"/>
        </w:rPr>
        <w:t xml:space="preserve"> </w:t>
      </w:r>
      <w:r w:rsidR="001234F3">
        <w:rPr>
          <w:rFonts w:ascii="Arial" w:eastAsia="Times New Roman" w:hAnsi="Arial" w:cs="Arial"/>
          <w:color w:val="000000"/>
          <w:kern w:val="0"/>
          <w:bdr w:val="none" w:sz="0" w:space="0" w:color="auto" w:frame="1"/>
          <w:shd w:val="clear" w:color="auto" w:fill="FFFFFF"/>
          <w:lang w:eastAsia="es-CO"/>
          <w14:ligatures w14:val="none"/>
        </w:rPr>
        <w:t>la</w:t>
      </w:r>
      <w:r w:rsidR="008A4E67">
        <w:rPr>
          <w:rFonts w:ascii="Arial" w:eastAsia="Times New Roman" w:hAnsi="Arial" w:cs="Arial"/>
          <w:color w:val="000000"/>
          <w:kern w:val="0"/>
          <w:bdr w:val="none" w:sz="0" w:space="0" w:color="auto" w:frame="1"/>
          <w:shd w:val="clear" w:color="auto" w:fill="FFFFFF"/>
          <w:lang w:eastAsia="es-CO"/>
          <w14:ligatures w14:val="none"/>
        </w:rPr>
        <w:t xml:space="preserve"> Nación Ministerio del Interior Fondo Nacional para la Seguridad y Convivencia Ciudadana-FONSECON</w:t>
      </w:r>
      <w:r w:rsidRPr="00F969EE">
        <w:rPr>
          <w:rFonts w:ascii="Arial" w:eastAsia="Times New Roman" w:hAnsi="Arial" w:cs="Arial"/>
          <w:color w:val="000000"/>
          <w:kern w:val="0"/>
          <w:bdr w:val="none" w:sz="0" w:space="0" w:color="auto" w:frame="1"/>
          <w:shd w:val="clear" w:color="auto" w:fill="FFFFFF"/>
          <w:lang w:eastAsia="es-CO"/>
          <w14:ligatures w14:val="none"/>
        </w:rPr>
        <w:t>, </w:t>
      </w:r>
      <w:r w:rsidR="0061241E">
        <w:rPr>
          <w:rFonts w:ascii="Arial" w:eastAsia="Times New Roman" w:hAnsi="Arial" w:cs="Arial"/>
          <w:color w:val="000000"/>
          <w:kern w:val="0"/>
          <w:bdr w:val="none" w:sz="0" w:space="0" w:color="auto" w:frame="1"/>
          <w:shd w:val="clear" w:color="auto" w:fill="FFFFFF"/>
          <w:lang w:eastAsia="es-CO"/>
          <w14:ligatures w14:val="none"/>
        </w:rPr>
        <w:t xml:space="preserve">presta </w:t>
      </w:r>
      <w:r w:rsidRPr="00F969EE">
        <w:rPr>
          <w:rFonts w:ascii="Arial" w:eastAsia="Times New Roman" w:hAnsi="Arial" w:cs="Arial"/>
          <w:color w:val="000000"/>
          <w:kern w:val="0"/>
          <w:bdr w:val="none" w:sz="0" w:space="0" w:color="auto" w:frame="1"/>
          <w:shd w:val="clear" w:color="auto" w:fill="FFFFFF"/>
          <w:lang w:eastAsia="es-CO"/>
          <w14:ligatures w14:val="none"/>
        </w:rPr>
        <w:t xml:space="preserve">cobertura </w:t>
      </w:r>
      <w:r w:rsidR="008A4E67">
        <w:rPr>
          <w:rFonts w:ascii="Arial" w:eastAsia="Times New Roman" w:hAnsi="Arial" w:cs="Arial"/>
          <w:color w:val="000000"/>
          <w:kern w:val="0"/>
          <w:bdr w:val="none" w:sz="0" w:space="0" w:color="auto" w:frame="1"/>
          <w:shd w:val="clear" w:color="auto" w:fill="FFFFFF"/>
          <w:lang w:eastAsia="es-CO"/>
          <w14:ligatures w14:val="none"/>
        </w:rPr>
        <w:t xml:space="preserve">temporal, en atención a que la terminación del Convenio Interadministrativo N°F 212 de 2015 ocurrió el 10 de diciembre de 2016, es decir, en vigencia de la póliza en comento, la cual fue pactada en la modalidad ocurrencia con una vigencia para el amparo de cumplimiento desde el 07 de mayo de 2015 hasta el 30 de noviembre de 2019. Incluso, si se toma como fecha la expedición </w:t>
      </w:r>
      <w:r w:rsidR="00AD3609">
        <w:rPr>
          <w:rFonts w:ascii="Arial" w:eastAsia="Times New Roman" w:hAnsi="Arial" w:cs="Arial"/>
          <w:color w:val="000000"/>
          <w:kern w:val="0"/>
          <w:bdr w:val="none" w:sz="0" w:space="0" w:color="auto" w:frame="1"/>
          <w:shd w:val="clear" w:color="auto" w:fill="FFFFFF"/>
          <w:lang w:eastAsia="es-CO"/>
          <w14:ligatures w14:val="none"/>
        </w:rPr>
        <w:t>del</w:t>
      </w:r>
      <w:r w:rsidR="008A4E67">
        <w:rPr>
          <w:rFonts w:ascii="Arial" w:eastAsia="Times New Roman" w:hAnsi="Arial" w:cs="Arial"/>
          <w:color w:val="000000"/>
          <w:kern w:val="0"/>
          <w:bdr w:val="none" w:sz="0" w:space="0" w:color="auto" w:frame="1"/>
          <w:shd w:val="clear" w:color="auto" w:fill="FFFFFF"/>
          <w:lang w:eastAsia="es-CO"/>
          <w14:ligatures w14:val="none"/>
        </w:rPr>
        <w:t xml:space="preserve"> </w:t>
      </w:r>
      <w:r w:rsidR="00AD3609" w:rsidRPr="00753481">
        <w:rPr>
          <w:rFonts w:ascii="Arial" w:hAnsi="Arial" w:cs="Arial"/>
        </w:rPr>
        <w:t xml:space="preserve">informe del supervisor José Reinel Contreras Yaruro </w:t>
      </w:r>
      <w:r w:rsidR="00AD3609">
        <w:rPr>
          <w:rFonts w:ascii="Arial" w:hAnsi="Arial" w:cs="Arial"/>
        </w:rPr>
        <w:t>suscrito el</w:t>
      </w:r>
      <w:r w:rsidR="00AD3609" w:rsidRPr="00753481">
        <w:rPr>
          <w:rFonts w:ascii="Arial" w:hAnsi="Arial" w:cs="Arial"/>
        </w:rPr>
        <w:t xml:space="preserve"> 10 de noviembre de 2017</w:t>
      </w:r>
      <w:r w:rsidR="00AD3609">
        <w:rPr>
          <w:rFonts w:ascii="Arial" w:hAnsi="Arial" w:cs="Arial"/>
        </w:rPr>
        <w:t xml:space="preserve"> que motivó el medio de control, también se observa cobertura temporal. </w:t>
      </w:r>
      <w:r w:rsidR="001234F3">
        <w:rPr>
          <w:rFonts w:ascii="Arial" w:hAnsi="Arial" w:cs="Arial"/>
        </w:rPr>
        <w:t xml:space="preserve">De otro lado, presta cobertura material respecto del amparo de cumplimiento, en razón a que el juicio de reproche corresponde a los presuntos incumplimientos del contratista en la remisión de las documentales que permitían la liquidación del Convenio en mención. </w:t>
      </w:r>
    </w:p>
    <w:p w14:paraId="7AF20E09" w14:textId="77777777" w:rsidR="00C25B75" w:rsidRDefault="00C25B75" w:rsidP="000A7E53">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631E879C" w14:textId="46A73EC7" w:rsidR="000A7E53" w:rsidRPr="001234F3" w:rsidRDefault="000A7E53" w:rsidP="001F21AB">
      <w:pPr>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 xml:space="preserve">Finalmente, respecto a la responsabilidad del </w:t>
      </w:r>
      <w:r w:rsidR="00EF095B">
        <w:rPr>
          <w:rFonts w:ascii="Arial" w:eastAsia="Times New Roman" w:hAnsi="Arial" w:cs="Arial"/>
          <w:color w:val="000000"/>
          <w:kern w:val="0"/>
          <w:bdr w:val="none" w:sz="0" w:space="0" w:color="auto" w:frame="1"/>
          <w:shd w:val="clear" w:color="auto" w:fill="FFFFFF"/>
          <w:lang w:eastAsia="es-CO"/>
          <w14:ligatures w14:val="none"/>
        </w:rPr>
        <w:t>Municipio</w:t>
      </w:r>
      <w:r>
        <w:rPr>
          <w:rFonts w:ascii="Arial" w:eastAsia="Times New Roman" w:hAnsi="Arial" w:cs="Arial"/>
          <w:color w:val="000000"/>
          <w:kern w:val="0"/>
          <w:bdr w:val="none" w:sz="0" w:space="0" w:color="auto" w:frame="1"/>
          <w:shd w:val="clear" w:color="auto" w:fill="FFFFFF"/>
          <w:lang w:eastAsia="es-CO"/>
          <w14:ligatures w14:val="none"/>
        </w:rPr>
        <w:t xml:space="preserve">, </w:t>
      </w:r>
      <w:r w:rsidR="001234F3">
        <w:rPr>
          <w:rFonts w:ascii="Arial" w:eastAsia="Times New Roman" w:hAnsi="Arial" w:cs="Arial"/>
          <w:color w:val="000000"/>
          <w:kern w:val="0"/>
          <w:bdr w:val="none" w:sz="0" w:space="0" w:color="auto" w:frame="1"/>
          <w:shd w:val="clear" w:color="auto" w:fill="FFFFFF"/>
          <w:lang w:eastAsia="es-CO"/>
          <w14:ligatures w14:val="none"/>
        </w:rPr>
        <w:t xml:space="preserve">debe señalarse que existen una serie de documentales que fueron aportadas por el Municipio de San José del Fragua, en las que se advierte que dos años después de la suscripción del informe, en el año 2019, fueron remitidas todas las documentales, tales como: informes mensuales, balances, avances de ejecución del convenio, así como los giros realizados al Ministerio correspondientes a los reembolsos y rendimientos, motivo por el cual el Ministerio a través del </w:t>
      </w:r>
      <w:r w:rsidR="001234F3" w:rsidRPr="002A1DC3">
        <w:rPr>
          <w:rFonts w:ascii="Arial" w:hAnsi="Arial" w:cs="Arial"/>
        </w:rPr>
        <w:t>oficio N°19-19689-SIN-4020 del 11 de junio de 2019</w:t>
      </w:r>
      <w:r w:rsidR="001234F3">
        <w:rPr>
          <w:rFonts w:ascii="Arial" w:hAnsi="Arial" w:cs="Arial"/>
        </w:rPr>
        <w:t xml:space="preserve">, indicó que </w:t>
      </w:r>
      <w:r w:rsidR="001234F3" w:rsidRPr="002A1DC3">
        <w:rPr>
          <w:rFonts w:ascii="Arial" w:hAnsi="Arial" w:cs="Arial"/>
        </w:rPr>
        <w:t>se cumplían con la totalidad de exigencias para proceder con la respectiva liquidación sin controversias</w:t>
      </w:r>
      <w:r w:rsidR="001234F3">
        <w:rPr>
          <w:rFonts w:ascii="Arial" w:hAnsi="Arial" w:cs="Arial"/>
        </w:rPr>
        <w:t xml:space="preserve">, sumado </w:t>
      </w:r>
      <w:r w:rsidR="001234F3">
        <w:rPr>
          <w:rFonts w:ascii="Arial" w:hAnsi="Arial" w:cs="Arial"/>
          <w:color w:val="000000" w:themeColor="text1"/>
        </w:rPr>
        <w:t>a la certificación del Subdirector del Infraestructura del 22 de julio de 2019</w:t>
      </w:r>
      <w:r w:rsidR="001234F3">
        <w:rPr>
          <w:rFonts w:ascii="Arial" w:hAnsi="Arial" w:cs="Arial"/>
          <w:color w:val="000000" w:themeColor="text1"/>
        </w:rPr>
        <w:t xml:space="preserve"> en la que se indicó textualmente “</w:t>
      </w:r>
      <w:r w:rsidR="001234F3" w:rsidRPr="001234F3">
        <w:rPr>
          <w:rFonts w:ascii="Arial" w:hAnsi="Arial" w:cs="Arial"/>
          <w:i/>
          <w:iCs/>
          <w:color w:val="000000" w:themeColor="text1"/>
        </w:rPr>
        <w:t>Acorde con los soportes documentales que se encuentran en el Ministerio, los allegados con el memorando MEM19-17588-SIN-4020 del 11 de junio de 2019 y la certificación expedida por el Alcalde Municipal, mediante los cuales se evidencia que el Municipio de San José del Fragua-Caquetá dio cumplimiento a todas las obligaciones establecidas en el convenio y el saldo por reintegrar es de $0.00”</w:t>
      </w:r>
      <w:r w:rsidR="001234F3">
        <w:rPr>
          <w:rFonts w:ascii="Arial" w:hAnsi="Arial" w:cs="Arial"/>
          <w:i/>
          <w:iCs/>
          <w:color w:val="000000" w:themeColor="text1"/>
        </w:rPr>
        <w:t xml:space="preserve">. </w:t>
      </w:r>
      <w:r w:rsidR="001234F3">
        <w:rPr>
          <w:rFonts w:ascii="Arial" w:hAnsi="Arial" w:cs="Arial"/>
          <w:color w:val="000000" w:themeColor="text1"/>
        </w:rPr>
        <w:t xml:space="preserve"> Las anteriores documentales podrían desvirtuar el presunto incumplimiento del Municipio. </w:t>
      </w:r>
    </w:p>
    <w:p w14:paraId="72D638F3" w14:textId="77777777" w:rsidR="001F21AB" w:rsidRPr="001234F3" w:rsidRDefault="001F21AB" w:rsidP="001F21AB">
      <w:pPr>
        <w:spacing w:after="0" w:line="240" w:lineRule="auto"/>
        <w:ind w:right="49"/>
        <w:jc w:val="both"/>
        <w:textAlignment w:val="baseline"/>
        <w:rPr>
          <w:rFonts w:ascii="Times New Roman" w:eastAsia="Times New Roman" w:hAnsi="Times New Roman" w:cs="Times New Roman"/>
          <w:i/>
          <w:iCs/>
          <w:color w:val="000000"/>
          <w:kern w:val="0"/>
          <w:sz w:val="24"/>
          <w:szCs w:val="24"/>
          <w:bdr w:val="none" w:sz="0" w:space="0" w:color="auto" w:frame="1"/>
          <w:shd w:val="clear" w:color="auto" w:fill="FFFFFF"/>
          <w:lang w:eastAsia="es-CO"/>
          <w14:ligatures w14:val="none"/>
        </w:rPr>
      </w:pPr>
    </w:p>
    <w:p w14:paraId="6E549B14" w14:textId="0C0782F9" w:rsidR="000A7E53" w:rsidRDefault="000A7E53" w:rsidP="001234F3">
      <w:pPr>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Lo anterior, sin perjuicio del carácter contingente dentro del proceso</w:t>
      </w:r>
      <w:r w:rsidR="001234F3">
        <w:rPr>
          <w:rFonts w:ascii="Arial" w:eastAsia="Times New Roman" w:hAnsi="Arial" w:cs="Arial"/>
          <w:color w:val="000000"/>
          <w:kern w:val="0"/>
          <w:bdr w:val="none" w:sz="0" w:space="0" w:color="auto" w:frame="1"/>
          <w:shd w:val="clear" w:color="auto" w:fill="FFFFFF"/>
          <w:lang w:eastAsia="es-CO"/>
          <w14:ligatures w14:val="none"/>
        </w:rPr>
        <w:t>.</w:t>
      </w:r>
    </w:p>
    <w:p w14:paraId="666A2BF0" w14:textId="77777777" w:rsidR="001234F3" w:rsidRPr="00F969EE" w:rsidRDefault="001234F3" w:rsidP="001234F3">
      <w:pPr>
        <w:spacing w:after="0" w:line="240" w:lineRule="auto"/>
        <w:ind w:right="49"/>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p>
    <w:p w14:paraId="3ECE35F7" w14:textId="0F8EEE6D" w:rsidR="00674A06" w:rsidRDefault="000A7E53" w:rsidP="00674A06">
      <w:pPr>
        <w:spacing w:after="0" w:line="240" w:lineRule="auto"/>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bookmarkStart w:id="0" w:name="_Hlk137834647"/>
      <w:r w:rsidRPr="00F969EE">
        <w:rPr>
          <w:rFonts w:ascii="Arial" w:eastAsia="Times New Roman" w:hAnsi="Arial" w:cs="Arial"/>
          <w:color w:val="000000"/>
          <w:kern w:val="0"/>
          <w:bdr w:val="none" w:sz="0" w:space="0" w:color="auto" w:frame="1"/>
          <w:shd w:val="clear" w:color="auto" w:fill="FFFFFF"/>
          <w:lang w:eastAsia="es-CO"/>
          <w14:ligatures w14:val="none"/>
        </w:rPr>
        <w:t>Como liquidación del detrimento patrimonial se llegó a la suma </w:t>
      </w:r>
      <w:r w:rsidR="00D902E7" w:rsidRPr="00D902E7">
        <w:rPr>
          <w:rFonts w:ascii="Arial" w:eastAsia="Times New Roman" w:hAnsi="Arial" w:cs="Arial"/>
          <w:b/>
          <w:bCs/>
          <w:color w:val="000000"/>
          <w:kern w:val="0"/>
          <w:bdr w:val="none" w:sz="0" w:space="0" w:color="auto" w:frame="1"/>
          <w:shd w:val="clear" w:color="auto" w:fill="FFFFFF"/>
          <w:lang w:eastAsia="es-CO"/>
          <w14:ligatures w14:val="none"/>
        </w:rPr>
        <w:t>$</w:t>
      </w:r>
      <w:r w:rsidR="00EF095B" w:rsidRPr="00EF095B">
        <w:t xml:space="preserve"> </w:t>
      </w:r>
      <w:r w:rsidR="00EF095B" w:rsidRPr="00EF095B">
        <w:rPr>
          <w:rFonts w:ascii="Arial" w:eastAsia="Times New Roman" w:hAnsi="Arial" w:cs="Arial"/>
          <w:b/>
          <w:bCs/>
          <w:color w:val="000000"/>
          <w:kern w:val="0"/>
          <w:bdr w:val="none" w:sz="0" w:space="0" w:color="auto" w:frame="1"/>
          <w:shd w:val="clear" w:color="auto" w:fill="FFFFFF"/>
          <w:lang w:eastAsia="es-CO"/>
          <w14:ligatures w14:val="none"/>
        </w:rPr>
        <w:t>250.500.000</w:t>
      </w:r>
      <w:r w:rsidRPr="000D174D">
        <w:rPr>
          <w:rFonts w:ascii="Arial" w:eastAsia="Times New Roman" w:hAnsi="Arial" w:cs="Arial"/>
          <w:color w:val="000000"/>
          <w:kern w:val="0"/>
          <w:bdr w:val="none" w:sz="0" w:space="0" w:color="auto" w:frame="1"/>
          <w:shd w:val="clear" w:color="auto" w:fill="FFFFFF"/>
          <w:lang w:eastAsia="es-CO"/>
          <w14:ligatures w14:val="none"/>
        </w:rPr>
        <w:t>.</w:t>
      </w:r>
      <w:r w:rsidRPr="00F969EE">
        <w:rPr>
          <w:rFonts w:ascii="Arial" w:eastAsia="Times New Roman" w:hAnsi="Arial" w:cs="Arial"/>
          <w:color w:val="000000"/>
          <w:kern w:val="0"/>
          <w:bdr w:val="none" w:sz="0" w:space="0" w:color="auto" w:frame="1"/>
          <w:shd w:val="clear" w:color="auto" w:fill="FFFFFF"/>
          <w:lang w:eastAsia="es-CO"/>
          <w14:ligatures w14:val="none"/>
        </w:rPr>
        <w:t> </w:t>
      </w:r>
      <w:r w:rsidR="00674A06">
        <w:rPr>
          <w:rFonts w:ascii="Arial" w:eastAsia="Times New Roman" w:hAnsi="Arial" w:cs="Arial"/>
          <w:color w:val="000000"/>
          <w:kern w:val="0"/>
          <w:bdr w:val="none" w:sz="0" w:space="0" w:color="auto" w:frame="1"/>
          <w:shd w:val="clear" w:color="auto" w:fill="FFFFFF"/>
          <w:lang w:eastAsia="es-CO"/>
          <w14:ligatures w14:val="none"/>
        </w:rPr>
        <w:t>Valor que corresponde a</w:t>
      </w:r>
      <w:r w:rsidR="00EF095B">
        <w:rPr>
          <w:rFonts w:ascii="Arial" w:eastAsia="Times New Roman" w:hAnsi="Arial" w:cs="Arial"/>
          <w:color w:val="000000"/>
          <w:kern w:val="0"/>
          <w:bdr w:val="none" w:sz="0" w:space="0" w:color="auto" w:frame="1"/>
          <w:shd w:val="clear" w:color="auto" w:fill="FFFFFF"/>
          <w:lang w:eastAsia="es-CO"/>
          <w14:ligatures w14:val="none"/>
        </w:rPr>
        <w:t xml:space="preserve"> $</w:t>
      </w:r>
      <w:r w:rsidR="00EF095B" w:rsidRPr="00EF095B">
        <w:rPr>
          <w:rFonts w:ascii="Arial" w:eastAsia="Times New Roman" w:hAnsi="Arial" w:cs="Arial"/>
          <w:color w:val="000000"/>
          <w:kern w:val="0"/>
          <w:bdr w:val="none" w:sz="0" w:space="0" w:color="auto" w:frame="1"/>
          <w:shd w:val="clear" w:color="auto" w:fill="FFFFFF"/>
          <w:lang w:eastAsia="es-CO"/>
          <w14:ligatures w14:val="none"/>
        </w:rPr>
        <w:t>167.000.000</w:t>
      </w:r>
      <w:r w:rsidR="00EF095B">
        <w:rPr>
          <w:rFonts w:ascii="Arial" w:eastAsia="Times New Roman" w:hAnsi="Arial" w:cs="Arial"/>
          <w:color w:val="000000"/>
          <w:kern w:val="0"/>
          <w:bdr w:val="none" w:sz="0" w:space="0" w:color="auto" w:frame="1"/>
          <w:shd w:val="clear" w:color="auto" w:fill="FFFFFF"/>
          <w:lang w:eastAsia="es-CO"/>
          <w14:ligatures w14:val="none"/>
        </w:rPr>
        <w:t xml:space="preserve"> por concepto del supuesto incumplimiento y $</w:t>
      </w:r>
      <w:r w:rsidR="00EF095B" w:rsidRPr="00EF095B">
        <w:rPr>
          <w:rFonts w:ascii="Arial" w:eastAsia="Times New Roman" w:hAnsi="Arial" w:cs="Arial"/>
          <w:color w:val="000000"/>
          <w:kern w:val="0"/>
          <w:bdr w:val="none" w:sz="0" w:space="0" w:color="auto" w:frame="1"/>
          <w:shd w:val="clear" w:color="auto" w:fill="FFFFFF"/>
          <w:lang w:eastAsia="es-CO"/>
          <w14:ligatures w14:val="none"/>
        </w:rPr>
        <w:t>83.500.000</w:t>
      </w:r>
      <w:r w:rsidR="00EF095B">
        <w:rPr>
          <w:rFonts w:ascii="Arial" w:eastAsia="Times New Roman" w:hAnsi="Arial" w:cs="Arial"/>
          <w:color w:val="000000"/>
          <w:kern w:val="0"/>
          <w:bdr w:val="none" w:sz="0" w:space="0" w:color="auto" w:frame="1"/>
          <w:shd w:val="clear" w:color="auto" w:fill="FFFFFF"/>
          <w:lang w:eastAsia="es-CO"/>
          <w14:ligatures w14:val="none"/>
        </w:rPr>
        <w:t xml:space="preserve"> con motivo a la cláusula penal pecuniaria. No se aplica deducible en atención a que no fue pactado. </w:t>
      </w:r>
    </w:p>
    <w:p w14:paraId="53F011A3" w14:textId="3B77CF64" w:rsidR="000A7E53" w:rsidRDefault="00D902E7" w:rsidP="000A7E53">
      <w:pPr>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 xml:space="preserve"> </w:t>
      </w:r>
      <w:bookmarkEnd w:id="0"/>
    </w:p>
    <w:sectPr w:rsidR="000A7E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53"/>
    <w:rsid w:val="000A11E0"/>
    <w:rsid w:val="000A7E53"/>
    <w:rsid w:val="000D26E8"/>
    <w:rsid w:val="001234F3"/>
    <w:rsid w:val="001E7F17"/>
    <w:rsid w:val="001F21AB"/>
    <w:rsid w:val="0044349E"/>
    <w:rsid w:val="00482CD7"/>
    <w:rsid w:val="004D7696"/>
    <w:rsid w:val="0054673B"/>
    <w:rsid w:val="0061241E"/>
    <w:rsid w:val="0064386F"/>
    <w:rsid w:val="00674A06"/>
    <w:rsid w:val="007E57A6"/>
    <w:rsid w:val="008A4E67"/>
    <w:rsid w:val="009850C9"/>
    <w:rsid w:val="009E78D8"/>
    <w:rsid w:val="00AD3609"/>
    <w:rsid w:val="00B100AE"/>
    <w:rsid w:val="00C25B75"/>
    <w:rsid w:val="00CA506F"/>
    <w:rsid w:val="00D902E7"/>
    <w:rsid w:val="00D94030"/>
    <w:rsid w:val="00DF79CB"/>
    <w:rsid w:val="00EF09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B2EA"/>
  <w15:chartTrackingRefBased/>
  <w15:docId w15:val="{DB8E2F6D-4658-44DE-B2B5-66A72C3B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53"/>
  </w:style>
  <w:style w:type="paragraph" w:styleId="Ttulo1">
    <w:name w:val="heading 1"/>
    <w:basedOn w:val="Normal"/>
    <w:next w:val="Normal"/>
    <w:link w:val="Ttulo1Car"/>
    <w:uiPriority w:val="9"/>
    <w:qFormat/>
    <w:rsid w:val="000A7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A7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A7E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7E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7E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7E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7E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7E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7E5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7E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A7E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A7E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7E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7E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7E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7E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7E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7E53"/>
    <w:rPr>
      <w:rFonts w:eastAsiaTheme="majorEastAsia" w:cstheme="majorBidi"/>
      <w:color w:val="272727" w:themeColor="text1" w:themeTint="D8"/>
    </w:rPr>
  </w:style>
  <w:style w:type="paragraph" w:styleId="Ttulo">
    <w:name w:val="Title"/>
    <w:basedOn w:val="Normal"/>
    <w:next w:val="Normal"/>
    <w:link w:val="TtuloCar"/>
    <w:uiPriority w:val="10"/>
    <w:qFormat/>
    <w:rsid w:val="000A7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7E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7E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7E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7E53"/>
    <w:pPr>
      <w:spacing w:before="160"/>
      <w:jc w:val="center"/>
    </w:pPr>
    <w:rPr>
      <w:i/>
      <w:iCs/>
      <w:color w:val="404040" w:themeColor="text1" w:themeTint="BF"/>
    </w:rPr>
  </w:style>
  <w:style w:type="character" w:customStyle="1" w:styleId="CitaCar">
    <w:name w:val="Cita Car"/>
    <w:basedOn w:val="Fuentedeprrafopredeter"/>
    <w:link w:val="Cita"/>
    <w:uiPriority w:val="29"/>
    <w:rsid w:val="000A7E53"/>
    <w:rPr>
      <w:i/>
      <w:iCs/>
      <w:color w:val="404040" w:themeColor="text1" w:themeTint="BF"/>
    </w:rPr>
  </w:style>
  <w:style w:type="paragraph" w:styleId="Prrafodelista">
    <w:name w:val="List Paragraph"/>
    <w:basedOn w:val="Normal"/>
    <w:uiPriority w:val="34"/>
    <w:qFormat/>
    <w:rsid w:val="000A7E53"/>
    <w:pPr>
      <w:ind w:left="720"/>
      <w:contextualSpacing/>
    </w:pPr>
  </w:style>
  <w:style w:type="character" w:styleId="nfasisintenso">
    <w:name w:val="Intense Emphasis"/>
    <w:basedOn w:val="Fuentedeprrafopredeter"/>
    <w:uiPriority w:val="21"/>
    <w:qFormat/>
    <w:rsid w:val="000A7E53"/>
    <w:rPr>
      <w:i/>
      <w:iCs/>
      <w:color w:val="0F4761" w:themeColor="accent1" w:themeShade="BF"/>
    </w:rPr>
  </w:style>
  <w:style w:type="paragraph" w:styleId="Citadestacada">
    <w:name w:val="Intense Quote"/>
    <w:basedOn w:val="Normal"/>
    <w:next w:val="Normal"/>
    <w:link w:val="CitadestacadaCar"/>
    <w:uiPriority w:val="30"/>
    <w:qFormat/>
    <w:rsid w:val="000A7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7E53"/>
    <w:rPr>
      <w:i/>
      <w:iCs/>
      <w:color w:val="0F4761" w:themeColor="accent1" w:themeShade="BF"/>
    </w:rPr>
  </w:style>
  <w:style w:type="character" w:styleId="Referenciaintensa">
    <w:name w:val="Intense Reference"/>
    <w:basedOn w:val="Fuentedeprrafopredeter"/>
    <w:uiPriority w:val="32"/>
    <w:qFormat/>
    <w:rsid w:val="000A7E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2024-06-23T19:56:00Z</dcterms:created>
  <dcterms:modified xsi:type="dcterms:W3CDTF">2024-06-23T19:56:00Z</dcterms:modified>
</cp:coreProperties>
</file>