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E3F1" w14:textId="51CEBF30" w:rsidR="0097071C" w:rsidRPr="0097071C" w:rsidRDefault="0097071C" w:rsidP="59B6F08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54D080D2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</w:p>
    <w:p w14:paraId="2C3E956F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97071C">
        <w:rPr>
          <w:rFonts w:ascii="Calibri Light" w:eastAsia="Times New Roman" w:hAnsi="Calibri Light" w:cs="Calibri Light"/>
          <w:color w:val="222222"/>
          <w:lang w:eastAsia="es-CO"/>
        </w:rPr>
        <w:t>Comedidamente remito la solicitud de antecedentes del proceso de la referencia:</w:t>
      </w:r>
    </w:p>
    <w:p w14:paraId="77F79F1C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97071C">
        <w:rPr>
          <w:rFonts w:ascii="Calibri" w:eastAsia="Times New Roman" w:hAnsi="Calibri" w:cs="Calibri"/>
          <w:color w:val="1F497D"/>
          <w:lang w:eastAsia="es-CO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97071C" w:rsidRPr="0097071C" w14:paraId="1DC3B603" w14:textId="77777777" w:rsidTr="131ABB81">
        <w:trPr>
          <w:trHeight w:val="63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97071C" w:rsidRDefault="0097071C" w:rsidP="0097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SOLICITUD ANTECEDENTES</w:t>
            </w:r>
          </w:p>
        </w:tc>
      </w:tr>
      <w:tr w:rsidR="0097071C" w:rsidRPr="0097071C" w14:paraId="0A388280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PÓLIZA y RAMO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852B5" w14:textId="2ADB0CFB" w:rsidR="0097071C" w:rsidRPr="0010606C" w:rsidRDefault="00197C06" w:rsidP="0097071C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10606C">
              <w:rPr>
                <w:rFonts w:eastAsia="Times New Roman" w:cstheme="minorHAnsi"/>
                <w:color w:val="000000"/>
                <w:lang w:eastAsia="es-CO"/>
              </w:rPr>
              <w:t>-Póliza No. 348361, no refiere ramo</w:t>
            </w:r>
          </w:p>
          <w:p w14:paraId="533E7D19" w14:textId="77777777" w:rsidR="00197C06" w:rsidRPr="0010606C" w:rsidRDefault="00197C06" w:rsidP="0097071C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10606C">
              <w:rPr>
                <w:rFonts w:eastAsia="Times New Roman" w:cstheme="minorHAnsi"/>
                <w:color w:val="000000"/>
                <w:lang w:eastAsia="es-CO"/>
              </w:rPr>
              <w:t>-Póliza No. 571605, no refiere ramo</w:t>
            </w:r>
          </w:p>
          <w:p w14:paraId="08504375" w14:textId="37DA05C5" w:rsidR="00197C06" w:rsidRPr="0010606C" w:rsidRDefault="00197C06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10606C">
              <w:rPr>
                <w:rFonts w:eastAsia="Times New Roman" w:cstheme="minorHAnsi"/>
                <w:color w:val="000000"/>
                <w:lang w:eastAsia="es-CO"/>
              </w:rPr>
              <w:t>-</w:t>
            </w:r>
            <w:r w:rsidR="003150D2" w:rsidRPr="0010606C">
              <w:rPr>
                <w:rFonts w:eastAsia="Times New Roman" w:cstheme="minorHAnsi"/>
                <w:color w:val="000000"/>
                <w:lang w:eastAsia="es-CO"/>
              </w:rPr>
              <w:t>Póliza No. 429826, LB</w:t>
            </w:r>
          </w:p>
        </w:tc>
      </w:tr>
      <w:tr w:rsidR="0097071C" w:rsidRPr="0097071C" w14:paraId="4F6845E5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154F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PLACA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54300" w14:textId="260F6799" w:rsidR="0097071C" w:rsidRPr="0010606C" w:rsidRDefault="003150D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10606C">
              <w:rPr>
                <w:rFonts w:eastAsia="Times New Roman" w:cstheme="minorHAnsi"/>
                <w:lang w:eastAsia="es-CO"/>
              </w:rPr>
              <w:t>NA</w:t>
            </w:r>
          </w:p>
        </w:tc>
      </w:tr>
      <w:tr w:rsidR="0097071C" w:rsidRPr="0097071C" w14:paraId="3D5730ED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RADICADO PROCESO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0C9DE64B" w:rsidR="0097071C" w:rsidRPr="0010606C" w:rsidRDefault="003150D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10606C">
              <w:rPr>
                <w:rFonts w:eastAsia="Times New Roman" w:cstheme="minorHAnsi"/>
                <w:lang w:eastAsia="es-CO"/>
              </w:rPr>
              <w:t>760013103004-2022-00104-00</w:t>
            </w:r>
          </w:p>
        </w:tc>
      </w:tr>
      <w:tr w:rsidR="0097071C" w:rsidRPr="0097071C" w14:paraId="68C1090C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JUZGADO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6F6AACB5" w:rsidR="0097071C" w:rsidRPr="0010606C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10606C">
              <w:rPr>
                <w:rFonts w:eastAsia="Times New Roman" w:cstheme="minorHAnsi"/>
                <w:color w:val="000000" w:themeColor="text1"/>
                <w:lang w:eastAsia="es-CO"/>
              </w:rPr>
              <w:t> </w:t>
            </w:r>
            <w:r w:rsidR="70FB4390" w:rsidRPr="0010606C">
              <w:rPr>
                <w:rFonts w:eastAsia="Times New Roman" w:cstheme="minorHAnsi"/>
                <w:color w:val="000000" w:themeColor="text1"/>
                <w:lang w:eastAsia="es-CO"/>
              </w:rPr>
              <w:t xml:space="preserve">JUZGADO </w:t>
            </w:r>
            <w:r w:rsidR="0092769C" w:rsidRPr="0010606C">
              <w:rPr>
                <w:rFonts w:eastAsia="Times New Roman" w:cstheme="minorHAnsi"/>
                <w:color w:val="000000" w:themeColor="text1"/>
                <w:lang w:eastAsia="es-CO"/>
              </w:rPr>
              <w:t>4</w:t>
            </w:r>
            <w:r w:rsidR="70FB4390" w:rsidRPr="0010606C">
              <w:rPr>
                <w:rFonts w:eastAsia="Times New Roman" w:cstheme="minorHAnsi"/>
                <w:color w:val="000000" w:themeColor="text1"/>
                <w:lang w:eastAsia="es-CO"/>
              </w:rPr>
              <w:t xml:space="preserve"> CIVIL CTO DE </w:t>
            </w:r>
            <w:r w:rsidR="0092769C" w:rsidRPr="0010606C">
              <w:rPr>
                <w:rFonts w:eastAsia="Times New Roman" w:cstheme="minorHAnsi"/>
                <w:color w:val="000000" w:themeColor="text1"/>
                <w:lang w:eastAsia="es-CO"/>
              </w:rPr>
              <w:t>CALI</w:t>
            </w:r>
          </w:p>
        </w:tc>
      </w:tr>
      <w:tr w:rsidR="0097071C" w:rsidRPr="0097071C" w14:paraId="405A3FDA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F0EC1" w14:textId="77777777" w:rsidR="0097071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</w:t>
            </w:r>
            <w:r w:rsidRPr="0010606C">
              <w:rPr>
                <w:rFonts w:eastAsia="Times New Roman" w:cstheme="minorHAnsi"/>
                <w:lang w:eastAsia="es-CO"/>
              </w:rPr>
              <w:t>R</w:t>
            </w:r>
            <w:r>
              <w:rPr>
                <w:rFonts w:eastAsia="Times New Roman" w:cstheme="minorHAnsi"/>
                <w:lang w:eastAsia="es-CO"/>
              </w:rPr>
              <w:t>oberto Guerrero Ordoñez (cónyuge)</w:t>
            </w:r>
          </w:p>
          <w:p w14:paraId="55C10349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-Norma Mireya Guerrero Lizcano (Hija)</w:t>
            </w:r>
          </w:p>
          <w:p w14:paraId="6EB9BEFC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-Paola Vanessa Muñoz Guerrero (Nieta)</w:t>
            </w:r>
          </w:p>
          <w:p w14:paraId="4828E767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-Brenda Marcela Muñoz Guerrero (Nieta)</w:t>
            </w:r>
          </w:p>
          <w:p w14:paraId="6A6E560E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-Roberto Arturo Guerrero Lizcano (Hijo)</w:t>
            </w:r>
          </w:p>
          <w:p w14:paraId="0F7DCE62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-Doris Adriana Torres Escobar (Nuera)</w:t>
            </w:r>
          </w:p>
          <w:p w14:paraId="585D34C8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-Antonella Guerrero Torres (Nieta)</w:t>
            </w:r>
          </w:p>
          <w:p w14:paraId="4BFCBE62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-Kelly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Yoshira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Guerrero Torres (Nieta)</w:t>
            </w:r>
          </w:p>
          <w:p w14:paraId="480131A1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-Nicole Tatiana Agudelo (Bisnieta)</w:t>
            </w:r>
          </w:p>
          <w:p w14:paraId="49D7FA58" w14:textId="452DA518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-Valeria Agudelo Guerrero (Bisnieta)</w:t>
            </w:r>
          </w:p>
          <w:p w14:paraId="4F5C6414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-Alexandra Guerrero Liscano (Hija)</w:t>
            </w:r>
          </w:p>
          <w:p w14:paraId="1C8433E4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-María Fernanda Sandoval Guerrero (Nieta)</w:t>
            </w:r>
          </w:p>
          <w:p w14:paraId="410E5E0C" w14:textId="77777777" w:rsid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</w:t>
            </w:r>
            <w:proofErr w:type="spellStart"/>
            <w:r>
              <w:rPr>
                <w:rFonts w:eastAsia="Times New Roman" w:cstheme="minorHAnsi"/>
                <w:lang w:eastAsia="es-CO"/>
              </w:rPr>
              <w:t>Solangy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Andrea Sandoval Guerrero (Nieta)</w:t>
            </w:r>
          </w:p>
          <w:p w14:paraId="5E4785A6" w14:textId="77777777" w:rsidR="00E156E6" w:rsidRDefault="00E156E6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-Claudia Cecilia Guerrero Liscano (Hija)</w:t>
            </w:r>
          </w:p>
          <w:p w14:paraId="5E5CC996" w14:textId="77777777" w:rsidR="00E156E6" w:rsidRDefault="00E156E6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-Luis Felipe Abdul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Hadi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Guerrero (Nieto)</w:t>
            </w:r>
          </w:p>
          <w:p w14:paraId="37C2A93E" w14:textId="77777777" w:rsidR="00E156E6" w:rsidRDefault="00E156E6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</w:t>
            </w:r>
            <w:proofErr w:type="spellStart"/>
            <w:r>
              <w:rPr>
                <w:rFonts w:eastAsia="Times New Roman" w:cstheme="minorHAnsi"/>
                <w:lang w:eastAsia="es-CO"/>
              </w:rPr>
              <w:t>Sthefany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Abdul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Hadi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Guerrero (Nieta)</w:t>
            </w:r>
          </w:p>
          <w:p w14:paraId="06678124" w14:textId="77777777" w:rsidR="00E156E6" w:rsidRDefault="00E156E6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-Isabella Porras Abdul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Hadi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(Bisnieta)</w:t>
            </w:r>
          </w:p>
          <w:p w14:paraId="24581D19" w14:textId="77777777" w:rsidR="00E156E6" w:rsidRDefault="00E156E6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-Patricia Benítez Lizcano (Sobrina e hija de crianza)</w:t>
            </w:r>
          </w:p>
          <w:p w14:paraId="1A4ABDA6" w14:textId="590EB58F" w:rsidR="0010606C" w:rsidRPr="0010606C" w:rsidRDefault="0010606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 </w:t>
            </w:r>
          </w:p>
        </w:tc>
      </w:tr>
      <w:tr w:rsidR="0097071C" w:rsidRPr="0097071C" w14:paraId="177D83D3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DEMANDADO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764E9" w14:textId="77777777" w:rsid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E156E6">
              <w:rPr>
                <w:rFonts w:ascii="Calibri" w:eastAsia="Times New Roman" w:hAnsi="Calibri" w:cs="Calibri"/>
                <w:color w:val="000000"/>
                <w:lang w:eastAsia="es-CO"/>
              </w:rPr>
              <w:t>-La Nueva EPS</w:t>
            </w:r>
          </w:p>
          <w:p w14:paraId="4A488607" w14:textId="77777777" w:rsidR="00E156E6" w:rsidRDefault="00E156E6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-Clínica Rafael Uribe </w:t>
            </w:r>
            <w:proofErr w:type="spellStart"/>
            <w:r>
              <w:rPr>
                <w:rFonts w:ascii="Calibri" w:eastAsia="Times New Roman" w:hAnsi="Calibri" w:cs="Calibri"/>
                <w:lang w:eastAsia="es-CO"/>
              </w:rPr>
              <w:t>Uribe</w:t>
            </w:r>
            <w:proofErr w:type="spellEnd"/>
            <w:r>
              <w:rPr>
                <w:rFonts w:ascii="Calibri" w:eastAsia="Times New Roman" w:hAnsi="Calibri" w:cs="Calibri"/>
                <w:lang w:eastAsia="es-CO"/>
              </w:rPr>
              <w:t xml:space="preserve"> (asegurado)</w:t>
            </w:r>
          </w:p>
          <w:p w14:paraId="50CBC6B2" w14:textId="77777777" w:rsidR="00E156E6" w:rsidRDefault="00E156E6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-Clínica Desa S.A.S. (Asegurado)</w:t>
            </w:r>
          </w:p>
          <w:p w14:paraId="660CE36C" w14:textId="6BF4FB0C" w:rsidR="00E156E6" w:rsidRPr="0097071C" w:rsidRDefault="00E156E6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-IDIME S.A. (Asegurado)</w:t>
            </w:r>
          </w:p>
        </w:tc>
      </w:tr>
      <w:tr w:rsidR="0097071C" w:rsidRPr="0097071C" w14:paraId="70403E1B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ASEGURADO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DF19B" w14:textId="77777777" w:rsidR="00E156E6" w:rsidRDefault="00E156E6" w:rsidP="00E156E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-Clínica Rafael Uribe </w:t>
            </w:r>
            <w:proofErr w:type="spellStart"/>
            <w:r>
              <w:rPr>
                <w:rFonts w:ascii="Calibri" w:eastAsia="Times New Roman" w:hAnsi="Calibri" w:cs="Calibri"/>
                <w:lang w:eastAsia="es-CO"/>
              </w:rPr>
              <w:t>Uribe</w:t>
            </w:r>
            <w:proofErr w:type="spellEnd"/>
            <w:r>
              <w:rPr>
                <w:rFonts w:ascii="Calibri" w:eastAsia="Times New Roman" w:hAnsi="Calibri" w:cs="Calibri"/>
                <w:lang w:eastAsia="es-CO"/>
              </w:rPr>
              <w:t xml:space="preserve"> (asegurado)</w:t>
            </w:r>
          </w:p>
          <w:p w14:paraId="274AA712" w14:textId="77777777" w:rsidR="00E156E6" w:rsidRDefault="00E156E6" w:rsidP="00E156E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-Clínica Desa S.A.S. (Asegurado)</w:t>
            </w:r>
          </w:p>
          <w:p w14:paraId="65D9D153" w14:textId="75F81642" w:rsidR="0097071C" w:rsidRPr="0097071C" w:rsidRDefault="00E156E6" w:rsidP="00E156E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-IDIME S.A. (Asegurado)</w:t>
            </w:r>
          </w:p>
        </w:tc>
      </w:tr>
      <w:tr w:rsidR="0097071C" w:rsidRPr="0097071C" w14:paraId="7F5D3D4B" w14:textId="77777777" w:rsidTr="131ABB81">
        <w:trPr>
          <w:trHeight w:val="30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>RESUMEN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C8BFE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  <w:p w14:paraId="271361C5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  <w:p w14:paraId="293BD17A" w14:textId="77777777" w:rsidR="0097071C" w:rsidRDefault="0097071C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59B6F080">
              <w:rPr>
                <w:rFonts w:ascii="Calibri" w:eastAsia="Times New Roman" w:hAnsi="Calibri" w:cs="Calibri"/>
                <w:color w:val="1F497D"/>
                <w:lang w:eastAsia="es-CO"/>
              </w:rPr>
              <w:t> </w:t>
            </w:r>
            <w:r w:rsidR="00E156E6">
              <w:rPr>
                <w:rFonts w:ascii="Calibri" w:eastAsia="Times New Roman" w:hAnsi="Calibri" w:cs="Calibri"/>
                <w:lang w:eastAsia="es-CO"/>
              </w:rPr>
              <w:t xml:space="preserve">De conformidad con los hechos de la demanda, </w:t>
            </w:r>
            <w:r w:rsidR="00E156E6" w:rsidRPr="00E156E6">
              <w:rPr>
                <w:rFonts w:ascii="Calibri" w:eastAsia="Times New Roman" w:hAnsi="Calibri" w:cs="Calibri"/>
                <w:lang w:eastAsia="es-CO"/>
              </w:rPr>
              <w:t>La señora CARMEN DELFINA LIZCANO a la edad de 72 años, tenía como antecedentes médicos: Valvuloplastia, reemplazo de válvula mitral, histerectomía y Diabetes Mellitus Tipo 2</w:t>
            </w:r>
            <w:r w:rsidR="00AB510D">
              <w:rPr>
                <w:rFonts w:ascii="Calibri" w:eastAsia="Times New Roman" w:hAnsi="Calibri" w:cs="Calibri"/>
                <w:lang w:eastAsia="es-CO"/>
              </w:rPr>
              <w:t>, e igualmente, se encontraba afiliada a la Nueva EPS, entidad que designó a Fundación Valle de Lilí; Clínica Desa (administrada por el consorcio Nueva Clínica Rafael Uribe Uribe); y a la clínica de Occidente como las instituciones que trataban a la señor Delfina para sus Enfermedades.</w:t>
            </w:r>
          </w:p>
          <w:p w14:paraId="043D3CA0" w14:textId="77777777" w:rsidR="00AB510D" w:rsidRDefault="00AB510D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Ahora bien, </w:t>
            </w:r>
            <w:r w:rsidR="00841CF3">
              <w:rPr>
                <w:rFonts w:ascii="Calibri" w:eastAsia="Times New Roman" w:hAnsi="Calibri" w:cs="Calibri"/>
                <w:lang w:eastAsia="es-CO"/>
              </w:rPr>
              <w:t xml:space="preserve">el día 3 de marzo de 2018, la señora Carmen Delfina Lizcano presentó hinchazón y un leve hematoma en el miembro inferior derecho </w:t>
            </w:r>
            <w:r w:rsidR="00D650FC">
              <w:rPr>
                <w:rFonts w:ascii="Calibri" w:eastAsia="Times New Roman" w:hAnsi="Calibri" w:cs="Calibri"/>
                <w:lang w:eastAsia="es-CO"/>
              </w:rPr>
              <w:t>por lo cual estuvo internada en la Clínica Desa durante 4 días, y posteriormente se le da de alta tras considerar que dicho hematoma se encontraba bajo control.</w:t>
            </w:r>
          </w:p>
          <w:p w14:paraId="09C49852" w14:textId="77777777" w:rsidR="00D650FC" w:rsidRDefault="00D650FC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No obstante, la mencionada paciente regresa a clínica Desa el 14 de marzo de 2018 debido a la persistencia del hematoma, hinchazón y dolor a la palpación en su pierna derecha.</w:t>
            </w:r>
          </w:p>
          <w:p w14:paraId="7AA97A43" w14:textId="77777777" w:rsidR="00E85216" w:rsidRDefault="00D650FC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En diferentes ocasiones</w:t>
            </w:r>
            <w:r w:rsidR="00E85216">
              <w:rPr>
                <w:rFonts w:ascii="Calibri" w:eastAsia="Times New Roman" w:hAnsi="Calibri" w:cs="Calibri"/>
                <w:lang w:eastAsia="es-CO"/>
              </w:rPr>
              <w:t xml:space="preserve"> desde su ingreso, la señora Carmen Lizcano fue examinada con el fin de verificar la existencia de TVP, sin embargo, los exámenes realizados no mostraban resultados en tal sentido. No </w:t>
            </w:r>
            <w:proofErr w:type="gramStart"/>
            <w:r w:rsidR="00E85216">
              <w:rPr>
                <w:rFonts w:ascii="Calibri" w:eastAsia="Times New Roman" w:hAnsi="Calibri" w:cs="Calibri"/>
                <w:lang w:eastAsia="es-CO"/>
              </w:rPr>
              <w:t>obstante</w:t>
            </w:r>
            <w:proofErr w:type="gramEnd"/>
            <w:r w:rsidR="00E85216">
              <w:rPr>
                <w:rFonts w:ascii="Calibri" w:eastAsia="Times New Roman" w:hAnsi="Calibri" w:cs="Calibri"/>
                <w:lang w:eastAsia="es-CO"/>
              </w:rPr>
              <w:t xml:space="preserve"> lo anterior, se afirma que un médico de la institución manifestó a la hija de la paciente, Alexandra Guerrero Lizcano, que su madre tenía tromboflebitis.</w:t>
            </w:r>
          </w:p>
          <w:p w14:paraId="516D6BB8" w14:textId="119BD7AE" w:rsidR="00E85216" w:rsidRDefault="00E85216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Ahora bien, se indica en historia clínica del 19 de marzo de 2018 que el hematoma de la paciente había disminuido</w:t>
            </w:r>
            <w:r w:rsidR="00284F4F">
              <w:rPr>
                <w:rFonts w:ascii="Calibri" w:eastAsia="Times New Roman" w:hAnsi="Calibri" w:cs="Calibri"/>
                <w:lang w:eastAsia="es-CO"/>
              </w:rPr>
              <w:t xml:space="preserve"> y que el TP y el INR se encontraban por fuera de metas ce coagulación, no obstante, no se le dio el tratamiento requerido a la patología por lo cual debe ser hospitalizada el día 22 de marzo por hematoma en MID por sobre coagulación con Warfarina.</w:t>
            </w:r>
          </w:p>
          <w:p w14:paraId="04BAAADB" w14:textId="0F270128" w:rsidR="00284F4F" w:rsidRDefault="00284F4F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De forma contradictoria a los diagnósticos anteriores, en valoración por cirujano </w:t>
            </w:r>
            <w:r>
              <w:rPr>
                <w:rFonts w:ascii="Calibri" w:eastAsia="Times New Roman" w:hAnsi="Calibri" w:cs="Calibri"/>
                <w:lang w:eastAsia="es-CO"/>
              </w:rPr>
              <w:lastRenderedPageBreak/>
              <w:t>vascular realizada el día 23 de marzo, se establece la existencia de trombosis sin que se haya ordenado el procedimiento de trombectomía o trombólisis para tratar la patología</w:t>
            </w:r>
            <w:r w:rsidR="00544765">
              <w:rPr>
                <w:rFonts w:ascii="Calibri" w:eastAsia="Times New Roman" w:hAnsi="Calibri" w:cs="Calibri"/>
                <w:lang w:eastAsia="es-CO"/>
              </w:rPr>
              <w:t>, y se refiere que en caso de incrementar su tamaño, el hematoma puede ser drenado mediante cirugía siempre y cuando la paciente tenga tiempos de coagulación normales y se encuentre anticoagulada con HBMP la cual se debe suspender 24 horas antes del procedimiento.</w:t>
            </w:r>
          </w:p>
          <w:p w14:paraId="2B078A37" w14:textId="03D4AD52" w:rsidR="00544765" w:rsidRDefault="00680963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Pese a lo anterior, la paciente no fue operada y</w:t>
            </w:r>
            <w:r w:rsidR="00D23552">
              <w:rPr>
                <w:rFonts w:ascii="Calibri" w:eastAsia="Times New Roman" w:hAnsi="Calibri" w:cs="Calibri"/>
                <w:lang w:eastAsia="es-CO"/>
              </w:rPr>
              <w:t>,</w:t>
            </w:r>
            <w:r>
              <w:rPr>
                <w:rFonts w:ascii="Calibri" w:eastAsia="Times New Roman" w:hAnsi="Calibri" w:cs="Calibri"/>
                <w:lang w:eastAsia="es-CO"/>
              </w:rPr>
              <w:t xml:space="preserve"> posteriormente</w:t>
            </w:r>
            <w:r w:rsidR="00D23552">
              <w:rPr>
                <w:rFonts w:ascii="Calibri" w:eastAsia="Times New Roman" w:hAnsi="Calibri" w:cs="Calibri"/>
                <w:lang w:eastAsia="es-CO"/>
              </w:rPr>
              <w:t>,</w:t>
            </w:r>
            <w:r>
              <w:rPr>
                <w:rFonts w:ascii="Calibri" w:eastAsia="Times New Roman" w:hAnsi="Calibri" w:cs="Calibri"/>
                <w:lang w:eastAsia="es-CO"/>
              </w:rPr>
              <w:t xml:space="preserve"> presenta distensión abdominal requiriendo oxígeno mediante cánula nasal, presenta taquiarritmia y es ingresada a UCI</w:t>
            </w:r>
            <w:r w:rsidR="00C9199A">
              <w:rPr>
                <w:rFonts w:ascii="Calibri" w:eastAsia="Times New Roman" w:hAnsi="Calibri" w:cs="Calibri"/>
                <w:lang w:eastAsia="es-CO"/>
              </w:rPr>
              <w:t xml:space="preserve"> donde unos días después confirman germen aislado </w:t>
            </w:r>
            <w:proofErr w:type="spellStart"/>
            <w:r w:rsidR="00C9199A">
              <w:rPr>
                <w:rFonts w:ascii="Calibri" w:eastAsia="Times New Roman" w:hAnsi="Calibri" w:cs="Calibri"/>
                <w:lang w:eastAsia="es-CO"/>
              </w:rPr>
              <w:t>Klebsiella</w:t>
            </w:r>
            <w:proofErr w:type="spellEnd"/>
            <w:r w:rsidR="00C9199A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="00C9199A">
              <w:rPr>
                <w:rFonts w:ascii="Calibri" w:eastAsia="Times New Roman" w:hAnsi="Calibri" w:cs="Calibri"/>
                <w:lang w:eastAsia="es-CO"/>
              </w:rPr>
              <w:t>Pneumonie</w:t>
            </w:r>
            <w:proofErr w:type="spellEnd"/>
            <w:r w:rsidR="00C9199A">
              <w:rPr>
                <w:rFonts w:ascii="Calibri" w:eastAsia="Times New Roman" w:hAnsi="Calibri" w:cs="Calibri"/>
                <w:lang w:eastAsia="es-CO"/>
              </w:rPr>
              <w:t xml:space="preserve"> Sensible</w:t>
            </w:r>
            <w:r w:rsidR="006817AD">
              <w:rPr>
                <w:rFonts w:ascii="Calibri" w:eastAsia="Times New Roman" w:hAnsi="Calibri" w:cs="Calibri"/>
                <w:lang w:eastAsia="es-CO"/>
              </w:rPr>
              <w:t xml:space="preserve">, Estafilococo </w:t>
            </w:r>
            <w:proofErr w:type="spellStart"/>
            <w:r w:rsidR="006817AD">
              <w:rPr>
                <w:rFonts w:ascii="Calibri" w:eastAsia="Times New Roman" w:hAnsi="Calibri" w:cs="Calibri"/>
                <w:lang w:eastAsia="es-CO"/>
              </w:rPr>
              <w:t>Aerus</w:t>
            </w:r>
            <w:proofErr w:type="spellEnd"/>
            <w:r w:rsidR="006817AD">
              <w:rPr>
                <w:rFonts w:ascii="Calibri" w:eastAsia="Times New Roman" w:hAnsi="Calibri" w:cs="Calibri"/>
                <w:lang w:eastAsia="es-CO"/>
              </w:rPr>
              <w:t xml:space="preserve"> asociada a catéter de </w:t>
            </w:r>
            <w:proofErr w:type="spellStart"/>
            <w:r w:rsidR="006817AD">
              <w:rPr>
                <w:rFonts w:ascii="Calibri" w:eastAsia="Times New Roman" w:hAnsi="Calibri" w:cs="Calibri"/>
                <w:lang w:eastAsia="es-CO"/>
              </w:rPr>
              <w:t>hemodiálsis</w:t>
            </w:r>
            <w:proofErr w:type="spellEnd"/>
            <w:r w:rsidR="006817AD">
              <w:rPr>
                <w:rFonts w:ascii="Calibri" w:eastAsia="Times New Roman" w:hAnsi="Calibri" w:cs="Calibri"/>
                <w:lang w:eastAsia="es-CO"/>
              </w:rPr>
              <w:t xml:space="preserve">, </w:t>
            </w:r>
            <w:r w:rsidR="00D23552">
              <w:rPr>
                <w:rFonts w:ascii="Calibri" w:eastAsia="Times New Roman" w:hAnsi="Calibri" w:cs="Calibri"/>
                <w:lang w:eastAsia="es-CO"/>
              </w:rPr>
              <w:t xml:space="preserve">hipertrofia concéntrica del ventrículo izquierdo, </w:t>
            </w:r>
            <w:r w:rsidR="00D23552" w:rsidRPr="00D23552">
              <w:rPr>
                <w:rFonts w:ascii="Calibri" w:eastAsia="Times New Roman" w:hAnsi="Calibri" w:cs="Calibri"/>
                <w:lang w:eastAsia="es-CO"/>
              </w:rPr>
              <w:t>dilatación severa de la aurícula izquierda, dilatación severa de cavidades derechas, insuficiencia tricúspidea severa, insuficiencia aortica leve, entre otras, lesión renal agud</w:t>
            </w:r>
            <w:r w:rsidR="00D23552">
              <w:rPr>
                <w:rFonts w:ascii="Calibri" w:eastAsia="Times New Roman" w:hAnsi="Calibri" w:cs="Calibri"/>
                <w:lang w:eastAsia="es-CO"/>
              </w:rPr>
              <w:t>a.</w:t>
            </w:r>
          </w:p>
          <w:p w14:paraId="10455900" w14:textId="3B8FAAE5" w:rsidR="00D23552" w:rsidRDefault="00D23552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Posteriormente, el día 11 de mayo de 2018 es trasladada a la Clínica de Occidente-UCI Quirúrgica en donde tampoco se realiza cirugía alguna al tener el 100% de probabilidades de fallecer. Finalmente, el día 17 de mayo de 2018 presenta paro </w:t>
            </w:r>
            <w:proofErr w:type="spellStart"/>
            <w:r>
              <w:rPr>
                <w:rFonts w:ascii="Calibri" w:eastAsia="Times New Roman" w:hAnsi="Calibri" w:cs="Calibri"/>
                <w:lang w:eastAsia="es-CO"/>
              </w:rPr>
              <w:t>cardiorespiratorio</w:t>
            </w:r>
            <w:proofErr w:type="spellEnd"/>
            <w:r>
              <w:rPr>
                <w:rFonts w:ascii="Calibri" w:eastAsia="Times New Roman" w:hAnsi="Calibri" w:cs="Calibri"/>
                <w:lang w:eastAsia="es-CO"/>
              </w:rPr>
              <w:t xml:space="preserve"> y fallece.</w:t>
            </w:r>
          </w:p>
          <w:p w14:paraId="1F5AF45C" w14:textId="6A12346F" w:rsidR="00E85216" w:rsidRPr="0097071C" w:rsidRDefault="00E85216" w:rsidP="00AB510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</w:p>
        </w:tc>
      </w:tr>
      <w:tr w:rsidR="0097071C" w:rsidRPr="0097071C" w14:paraId="5C422CCF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>AMPARO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17DD3F44" w:rsidR="0097071C" w:rsidRPr="006C5175" w:rsidRDefault="006C5175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6C5175">
              <w:rPr>
                <w:rFonts w:eastAsia="Times New Roman" w:cstheme="minorHAnsi"/>
                <w:lang w:eastAsia="es-CO"/>
              </w:rPr>
              <w:t>Responsabilidad Civil Profesional Médica.</w:t>
            </w:r>
          </w:p>
        </w:tc>
      </w:tr>
      <w:tr w:rsidR="0097071C" w:rsidRPr="0097071C" w14:paraId="647D70C3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FECHA DE OCURRENCIA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AFAE" w14:textId="73C0EB46" w:rsidR="0097071C" w:rsidRPr="00D650FC" w:rsidRDefault="00D650F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D650FC">
              <w:rPr>
                <w:rFonts w:eastAsia="Times New Roman" w:cstheme="minorHAnsi"/>
                <w:lang w:eastAsia="es-CO"/>
              </w:rPr>
              <w:t>13</w:t>
            </w:r>
            <w:r>
              <w:rPr>
                <w:rFonts w:eastAsia="Times New Roman" w:cstheme="minorHAnsi"/>
                <w:lang w:eastAsia="es-CO"/>
              </w:rPr>
              <w:t xml:space="preserve"> de marzo de 2018-10 de mayo de 2018</w:t>
            </w:r>
          </w:p>
        </w:tc>
      </w:tr>
      <w:tr w:rsidR="0097071C" w:rsidRPr="0097071C" w14:paraId="5E91FA7D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FECHA DE AVISO (FECHA DE RECIBIDO DE LA NOTIFICACION EN LIBERTY)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54FF8973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6C5175">
              <w:rPr>
                <w:rFonts w:ascii="Calibri" w:eastAsia="Times New Roman" w:hAnsi="Calibri" w:cs="Calibri"/>
                <w:color w:val="000000"/>
                <w:lang w:eastAsia="es-CO"/>
              </w:rPr>
              <w:t>2 de octubre de 2024</w:t>
            </w:r>
          </w:p>
        </w:tc>
      </w:tr>
      <w:tr w:rsidR="0097071C" w:rsidRPr="0097071C" w14:paraId="4256FA02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CIUDAD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0520CA9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6C5175">
              <w:rPr>
                <w:rFonts w:ascii="Calibri" w:eastAsia="Times New Roman" w:hAnsi="Calibri" w:cs="Calibri"/>
                <w:color w:val="000000"/>
                <w:lang w:eastAsia="es-CO"/>
              </w:rPr>
              <w:t>Cali</w:t>
            </w:r>
          </w:p>
        </w:tc>
      </w:tr>
      <w:tr w:rsidR="0097071C" w:rsidRPr="0097071C" w14:paraId="1F95A20B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ABOGADO LIBERTY (ACTOR)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0D90CEA7" w:rsidR="0097071C" w:rsidRPr="0097071C" w:rsidRDefault="0097071C" w:rsidP="131ABB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CO"/>
              </w:rPr>
            </w:pPr>
            <w:r w:rsidRPr="131ABB81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> </w:t>
            </w:r>
            <w:r w:rsidR="7620DCC4" w:rsidRPr="131ABB81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 xml:space="preserve">GHERRERA ASOCIADOS </w:t>
            </w:r>
          </w:p>
        </w:tc>
      </w:tr>
      <w:tr w:rsidR="0097071C" w:rsidRPr="0097071C" w14:paraId="6091DE79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7071C">
              <w:rPr>
                <w:rFonts w:ascii="Calibri" w:eastAsia="Times New Roman" w:hAnsi="Calibri" w:cs="Calibri"/>
                <w:b/>
                <w:bCs/>
                <w:lang w:eastAsia="es-CO"/>
              </w:rPr>
              <w:t>FECHA DE VENCIMIENTO PARA CONTESTAR LA DEMANDA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22177D9C" w:rsidR="0097071C" w:rsidRPr="0097071C" w:rsidRDefault="0097071C" w:rsidP="0097071C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131ABB81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> </w:t>
            </w:r>
            <w:r w:rsidR="3FEEF2B2" w:rsidRPr="131ABB81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>2</w:t>
            </w:r>
            <w:r w:rsidR="00282B88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>3</w:t>
            </w:r>
            <w:r w:rsidR="3FEEF2B2" w:rsidRPr="131ABB81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 xml:space="preserve"> de </w:t>
            </w:r>
            <w:r w:rsidR="006C5175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>octubre</w:t>
            </w:r>
            <w:r w:rsidR="3FEEF2B2" w:rsidRPr="131ABB81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 xml:space="preserve"> de 202</w:t>
            </w:r>
            <w:r w:rsidR="00282B88">
              <w:rPr>
                <w:rFonts w:ascii="Calibri" w:eastAsia="Times New Roman" w:hAnsi="Calibri" w:cs="Calibri"/>
                <w:color w:val="000000" w:themeColor="text1"/>
                <w:lang w:eastAsia="es-CO"/>
              </w:rPr>
              <w:t>4</w:t>
            </w:r>
          </w:p>
        </w:tc>
      </w:tr>
    </w:tbl>
    <w:p w14:paraId="5710B666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97071C">
        <w:rPr>
          <w:rFonts w:ascii="Gadugi" w:eastAsia="Times New Roman" w:hAnsi="Gadugi" w:cs="Calibri"/>
          <w:color w:val="1F497D"/>
          <w:lang w:eastAsia="es-CO"/>
        </w:rPr>
        <w:t> </w:t>
      </w:r>
    </w:p>
    <w:p w14:paraId="37325D38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97071C">
        <w:rPr>
          <w:rFonts w:ascii="Calibri Light" w:eastAsia="Times New Roman" w:hAnsi="Calibri Light" w:cs="Calibri Light"/>
          <w:color w:val="222222"/>
          <w:lang w:eastAsia="es-CO"/>
        </w:rPr>
        <w:t>Quedo atenta a la póliza y a los antecedentes que la Compañía tenga sobre el particular.</w:t>
      </w:r>
    </w:p>
    <w:p w14:paraId="222EF1FB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97071C">
        <w:rPr>
          <w:rFonts w:ascii="Calibri Light" w:eastAsia="Times New Roman" w:hAnsi="Calibri Light" w:cs="Calibri Light"/>
          <w:color w:val="222222"/>
          <w:lang w:eastAsia="es-CO"/>
        </w:rPr>
        <w:t> </w:t>
      </w:r>
    </w:p>
    <w:p w14:paraId="7E05EC58" w14:textId="77777777" w:rsidR="0097071C" w:rsidRPr="0097071C" w:rsidRDefault="0097071C" w:rsidP="009707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97071C">
        <w:rPr>
          <w:rFonts w:ascii="Calibri Light" w:eastAsia="Times New Roman" w:hAnsi="Calibri Light" w:cs="Calibri Light"/>
          <w:color w:val="222222"/>
          <w:lang w:eastAsia="es-CO"/>
        </w:rPr>
        <w:t>En archivo adjunto remito copia de la demanda.</w:t>
      </w:r>
    </w:p>
    <w:p w14:paraId="76C468FE" w14:textId="77777777" w:rsidR="00583B2F" w:rsidRDefault="00583B2F"/>
    <w:sectPr w:rsidR="00583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C"/>
    <w:rsid w:val="0010606C"/>
    <w:rsid w:val="00197C06"/>
    <w:rsid w:val="00282B88"/>
    <w:rsid w:val="00284F4F"/>
    <w:rsid w:val="003150D2"/>
    <w:rsid w:val="003260D5"/>
    <w:rsid w:val="004A44AA"/>
    <w:rsid w:val="00544765"/>
    <w:rsid w:val="00583B2F"/>
    <w:rsid w:val="00680963"/>
    <w:rsid w:val="006817AD"/>
    <w:rsid w:val="006C5175"/>
    <w:rsid w:val="007A55A9"/>
    <w:rsid w:val="00841CF3"/>
    <w:rsid w:val="0092769C"/>
    <w:rsid w:val="00936FA4"/>
    <w:rsid w:val="0097071C"/>
    <w:rsid w:val="009C5790"/>
    <w:rsid w:val="00AB510D"/>
    <w:rsid w:val="00B04DD8"/>
    <w:rsid w:val="00B14BE7"/>
    <w:rsid w:val="00C011E9"/>
    <w:rsid w:val="00C9199A"/>
    <w:rsid w:val="00D23552"/>
    <w:rsid w:val="00D650FC"/>
    <w:rsid w:val="00E156E6"/>
    <w:rsid w:val="00E85216"/>
    <w:rsid w:val="00ED4094"/>
    <w:rsid w:val="02421DB7"/>
    <w:rsid w:val="07DD7303"/>
    <w:rsid w:val="08B691DC"/>
    <w:rsid w:val="0A3145DC"/>
    <w:rsid w:val="0E042609"/>
    <w:rsid w:val="0EE9C380"/>
    <w:rsid w:val="0F86AE38"/>
    <w:rsid w:val="0FF67BFF"/>
    <w:rsid w:val="12D2AD3E"/>
    <w:rsid w:val="131ABB81"/>
    <w:rsid w:val="1523CC89"/>
    <w:rsid w:val="1B0630CB"/>
    <w:rsid w:val="23CB3911"/>
    <w:rsid w:val="2E33EE4F"/>
    <w:rsid w:val="3421C129"/>
    <w:rsid w:val="3713E6FD"/>
    <w:rsid w:val="37C1A838"/>
    <w:rsid w:val="39C2BDC7"/>
    <w:rsid w:val="3B27B1C6"/>
    <w:rsid w:val="3FEEF2B2"/>
    <w:rsid w:val="48CB8EF5"/>
    <w:rsid w:val="5021E56C"/>
    <w:rsid w:val="50D34A4D"/>
    <w:rsid w:val="5397280A"/>
    <w:rsid w:val="593D463D"/>
    <w:rsid w:val="59B6F080"/>
    <w:rsid w:val="5E7DE674"/>
    <w:rsid w:val="60A24ED9"/>
    <w:rsid w:val="6AB98612"/>
    <w:rsid w:val="6C555673"/>
    <w:rsid w:val="70FB4390"/>
    <w:rsid w:val="7506E19A"/>
    <w:rsid w:val="75241FC1"/>
    <w:rsid w:val="7620DCC4"/>
    <w:rsid w:val="7C8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07697-A30D-4E51-B1F5-82FDAACE8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8F7C3-3355-45FC-99D1-0F4D646F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699FB-DB36-4F80-AFA7-2C6391434205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Daniel Lozano Villota</cp:lastModifiedBy>
  <cp:revision>17</cp:revision>
  <dcterms:created xsi:type="dcterms:W3CDTF">2020-09-30T22:19:00Z</dcterms:created>
  <dcterms:modified xsi:type="dcterms:W3CDTF">2024-10-19T20:44:00Z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