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FC0B86"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C0B86">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FC0B86" w:rsidRDefault="00375DE6" w:rsidP="00375DE6">
      <w:pPr>
        <w:spacing w:after="0"/>
        <w:rPr>
          <w:rFonts w:ascii="Century Gothic" w:hAnsi="Century Gothic"/>
          <w:b/>
        </w:rPr>
      </w:pPr>
    </w:p>
    <w:p w14:paraId="0B47FE9D" w14:textId="03430CBD" w:rsidR="00906282" w:rsidRPr="00FC0B86" w:rsidRDefault="00906282" w:rsidP="00906282">
      <w:pPr>
        <w:spacing w:line="360" w:lineRule="auto"/>
        <w:rPr>
          <w:rFonts w:ascii="Century Gothic" w:hAnsi="Century Gothic"/>
        </w:rPr>
      </w:pPr>
      <w:r w:rsidRPr="00FC0B86">
        <w:rPr>
          <w:rFonts w:ascii="Century Gothic" w:hAnsi="Century Gothic"/>
          <w:b/>
        </w:rPr>
        <w:t>Fecha Presentación del Informe</w:t>
      </w:r>
      <w:r w:rsidRPr="00FC0B8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1T00:00:00Z">
            <w:dateFormat w:val="dd/MM/yyyy"/>
            <w:lid w:val="es-CO"/>
            <w:storeMappedDataAs w:val="dateTime"/>
            <w:calendar w:val="gregorian"/>
          </w:date>
        </w:sdtPr>
        <w:sdtEndPr>
          <w:rPr>
            <w:rStyle w:val="Fuentedeprrafopredeter"/>
            <w:rFonts w:asciiTheme="minorHAnsi" w:hAnsiTheme="minorHAnsi"/>
            <w:b/>
            <w:caps w:val="0"/>
          </w:rPr>
        </w:sdtEndPr>
        <w:sdtContent>
          <w:r w:rsidR="00C1627D" w:rsidRPr="00FC0B86">
            <w:rPr>
              <w:rStyle w:val="Estilo3"/>
              <w:b w:val="0"/>
              <w:bCs/>
            </w:rPr>
            <w:t>0</w:t>
          </w:r>
          <w:r w:rsidR="005F1F54" w:rsidRPr="00FC0B86">
            <w:rPr>
              <w:rStyle w:val="Estilo3"/>
              <w:b w:val="0"/>
              <w:bCs/>
            </w:rPr>
            <w:t>1</w:t>
          </w:r>
          <w:r w:rsidRPr="00FC0B86">
            <w:rPr>
              <w:rStyle w:val="Estilo3"/>
              <w:b w:val="0"/>
              <w:bCs/>
            </w:rPr>
            <w:t>/</w:t>
          </w:r>
          <w:r w:rsidR="00C1627D" w:rsidRPr="00FC0B86">
            <w:rPr>
              <w:rStyle w:val="Estilo3"/>
              <w:b w:val="0"/>
              <w:bCs/>
            </w:rPr>
            <w:t>0</w:t>
          </w:r>
          <w:r w:rsidR="005F1F54" w:rsidRPr="00FC0B86">
            <w:rPr>
              <w:rStyle w:val="Estilo3"/>
              <w:b w:val="0"/>
              <w:bCs/>
            </w:rPr>
            <w:t>8</w:t>
          </w:r>
          <w:r w:rsidRPr="00FC0B86">
            <w:rPr>
              <w:rStyle w:val="Estilo3"/>
              <w:b w:val="0"/>
              <w:bCs/>
            </w:rPr>
            <w:t>/20</w:t>
          </w:r>
          <w:r w:rsidR="00C1627D" w:rsidRPr="00FC0B86">
            <w:rPr>
              <w:rStyle w:val="Estilo3"/>
              <w:b w:val="0"/>
              <w:bCs/>
            </w:rPr>
            <w:t>24</w:t>
          </w:r>
        </w:sdtContent>
      </w:sdt>
      <w:r w:rsidRPr="00FC0B86">
        <w:rPr>
          <w:rFonts w:ascii="Century Gothic" w:hAnsi="Century Gothic"/>
        </w:rPr>
        <w:t xml:space="preserve">                                       </w:t>
      </w:r>
    </w:p>
    <w:p w14:paraId="63FF7917" w14:textId="0F20AC68" w:rsidR="00906282" w:rsidRPr="00FC0B86" w:rsidRDefault="00906282" w:rsidP="00906282">
      <w:pPr>
        <w:spacing w:line="360" w:lineRule="auto"/>
        <w:rPr>
          <w:rFonts w:ascii="Century Gothic" w:hAnsi="Century Gothic"/>
        </w:rPr>
      </w:pPr>
      <w:r w:rsidRPr="00FC0B86">
        <w:rPr>
          <w:rFonts w:ascii="Century Gothic" w:hAnsi="Century Gothic"/>
          <w:b/>
        </w:rPr>
        <w:t>SGC</w:t>
      </w:r>
      <w:r w:rsidRPr="00FC0B86">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FC0B86">
            <w:rPr>
              <w:rStyle w:val="Estilo3"/>
              <w:b w:val="0"/>
              <w:bCs/>
            </w:rPr>
            <w:t xml:space="preserve"> </w:t>
          </w:r>
          <w:r w:rsidR="008B385B" w:rsidRPr="00FC0B86">
            <w:rPr>
              <w:rStyle w:val="Estilo3"/>
              <w:b w:val="0"/>
              <w:bCs/>
            </w:rPr>
            <w:t>10184</w:t>
          </w:r>
          <w:r w:rsidRPr="00FC0B86">
            <w:rPr>
              <w:rStyle w:val="Estilo3"/>
              <w:b w:val="0"/>
              <w:bCs/>
            </w:rPr>
            <w:t xml:space="preserve">              </w:t>
          </w:r>
        </w:sdtContent>
      </w:sdt>
    </w:p>
    <w:p w14:paraId="5AD56010" w14:textId="4B2529AC" w:rsidR="00906282" w:rsidRPr="00FC0B86" w:rsidRDefault="00906282" w:rsidP="00906282">
      <w:pPr>
        <w:spacing w:line="360" w:lineRule="auto"/>
        <w:rPr>
          <w:rFonts w:ascii="Century Gothic" w:hAnsi="Century Gothic"/>
        </w:rPr>
      </w:pPr>
      <w:r w:rsidRPr="00FC0B86">
        <w:rPr>
          <w:rFonts w:ascii="Century Gothic" w:hAnsi="Century Gothic"/>
          <w:b/>
        </w:rPr>
        <w:t>Despacho Judicial</w:t>
      </w:r>
      <w:r w:rsidRPr="00FC0B8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31957" w:rsidRPr="00FC0B86">
            <w:rPr>
              <w:rStyle w:val="Estilo3"/>
              <w:b w:val="0"/>
            </w:rPr>
            <w:t xml:space="preserve">JUZGADO TREINTA Y DOS </w:t>
          </w:r>
          <w:r w:rsidR="00C1627D" w:rsidRPr="00FC0B86">
            <w:rPr>
              <w:rStyle w:val="Estilo3"/>
              <w:b w:val="0"/>
            </w:rPr>
            <w:t>32</w:t>
          </w:r>
        </w:sdtContent>
      </w:sdt>
      <w:r w:rsidRPr="00FC0B86">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FC0B86">
            <w:rPr>
              <w:rStyle w:val="Estilo3"/>
              <w:b w:val="0"/>
            </w:rPr>
            <w:t>CIVIL DEL CIRCUITO</w:t>
          </w:r>
        </w:sdtContent>
      </w:sdt>
      <w:r w:rsidRPr="00FC0B86">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C1627D" w:rsidRPr="00FC0B86">
            <w:rPr>
              <w:rStyle w:val="Estilo3"/>
              <w:b w:val="0"/>
            </w:rPr>
            <w:t>BOGOTÁ</w:t>
          </w:r>
          <w:r w:rsidRPr="00FC0B86">
            <w:rPr>
              <w:rStyle w:val="Estilo3"/>
              <w:b w:val="0"/>
            </w:rPr>
            <w:t xml:space="preserve"> </w:t>
          </w:r>
        </w:sdtContent>
      </w:sdt>
    </w:p>
    <w:p w14:paraId="46D3378E" w14:textId="2F606FA6" w:rsidR="00906282" w:rsidRPr="00FC0B86" w:rsidRDefault="00906282" w:rsidP="00906282">
      <w:pPr>
        <w:spacing w:line="360" w:lineRule="auto"/>
        <w:rPr>
          <w:rFonts w:ascii="Century Gothic" w:hAnsi="Century Gothic"/>
        </w:rPr>
      </w:pPr>
      <w:r w:rsidRPr="00FC0B86">
        <w:rPr>
          <w:rFonts w:ascii="Century Gothic" w:hAnsi="Century Gothic"/>
          <w:b/>
        </w:rPr>
        <w:t>Radicado</w:t>
      </w:r>
      <w:r w:rsidRPr="00FC0B86">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Pr="00FC0B86">
            <w:rPr>
              <w:rStyle w:val="Estilo3"/>
              <w:b w:val="0"/>
              <w:bCs/>
            </w:rPr>
            <w:t xml:space="preserve"> </w:t>
          </w:r>
          <w:r w:rsidR="00C1627D" w:rsidRPr="00FC0B86">
            <w:rPr>
              <w:rStyle w:val="Estilo3"/>
              <w:b w:val="0"/>
              <w:bCs/>
            </w:rPr>
            <w:t>110013103-032-2024-00062-00</w:t>
          </w:r>
        </w:sdtContent>
      </w:sdt>
    </w:p>
    <w:p w14:paraId="30071216" w14:textId="0046602B" w:rsidR="00906282" w:rsidRPr="00FC0B86" w:rsidRDefault="00906282" w:rsidP="00906282">
      <w:pPr>
        <w:spacing w:line="360" w:lineRule="auto"/>
        <w:rPr>
          <w:rFonts w:ascii="Century Gothic" w:hAnsi="Century Gothic"/>
        </w:rPr>
      </w:pPr>
      <w:r w:rsidRPr="00FC0B86">
        <w:rPr>
          <w:rFonts w:ascii="Century Gothic" w:hAnsi="Century Gothic"/>
          <w:b/>
        </w:rPr>
        <w:t>Demandante</w:t>
      </w:r>
      <w:r w:rsidRPr="00FC0B8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FC0B86">
            <w:rPr>
              <w:rStyle w:val="Estilo3"/>
              <w:b w:val="0"/>
              <w:bCs/>
            </w:rPr>
            <w:t xml:space="preserve">        </w:t>
          </w:r>
          <w:r w:rsidR="00C1627D" w:rsidRPr="00FC0B86">
            <w:rPr>
              <w:rStyle w:val="Estilo3"/>
              <w:b w:val="0"/>
              <w:bCs/>
            </w:rPr>
            <w:t>yaned g</w:t>
          </w:r>
          <w:r w:rsidR="00F61A01" w:rsidRPr="00FC0B86">
            <w:rPr>
              <w:rStyle w:val="Estilo3"/>
              <w:b w:val="0"/>
              <w:bCs/>
            </w:rPr>
            <w:t>Ó</w:t>
          </w:r>
          <w:r w:rsidR="00C1627D" w:rsidRPr="00FC0B86">
            <w:rPr>
              <w:rStyle w:val="Estilo3"/>
              <w:b w:val="0"/>
              <w:bCs/>
            </w:rPr>
            <w:t>mez bernal – luis augusto rodr</w:t>
          </w:r>
          <w:r w:rsidR="00F61A01" w:rsidRPr="00FC0B86">
            <w:rPr>
              <w:rStyle w:val="Estilo3"/>
              <w:b w:val="0"/>
              <w:bCs/>
            </w:rPr>
            <w:t>Í</w:t>
          </w:r>
          <w:r w:rsidR="00C1627D" w:rsidRPr="00FC0B86">
            <w:rPr>
              <w:rStyle w:val="Estilo3"/>
              <w:b w:val="0"/>
              <w:bCs/>
            </w:rPr>
            <w:t>guez forero – rosa mar</w:t>
          </w:r>
          <w:r w:rsidR="00F61A01" w:rsidRPr="00FC0B86">
            <w:rPr>
              <w:rStyle w:val="Estilo3"/>
              <w:b w:val="0"/>
              <w:bCs/>
            </w:rPr>
            <w:t>Í</w:t>
          </w:r>
          <w:r w:rsidR="00C1627D" w:rsidRPr="00FC0B86">
            <w:rPr>
              <w:rStyle w:val="Estilo3"/>
              <w:b w:val="0"/>
              <w:bCs/>
            </w:rPr>
            <w:t>a bernal vega – victor favian rojas g</w:t>
          </w:r>
          <w:r w:rsidR="00F61A01" w:rsidRPr="00FC0B86">
            <w:rPr>
              <w:rStyle w:val="Estilo3"/>
              <w:b w:val="0"/>
              <w:bCs/>
            </w:rPr>
            <w:t>Ó</w:t>
          </w:r>
          <w:r w:rsidR="00C1627D" w:rsidRPr="00FC0B86">
            <w:rPr>
              <w:rStyle w:val="Estilo3"/>
              <w:b w:val="0"/>
              <w:bCs/>
            </w:rPr>
            <w:t>mez</w:t>
          </w:r>
          <w:r w:rsidRPr="00FC0B86">
            <w:rPr>
              <w:rStyle w:val="Estilo3"/>
              <w:b w:val="0"/>
              <w:bCs/>
            </w:rPr>
            <w:t xml:space="preserve">            </w:t>
          </w:r>
        </w:sdtContent>
      </w:sdt>
    </w:p>
    <w:p w14:paraId="1A4DA51E" w14:textId="15147CB7" w:rsidR="00906282" w:rsidRPr="00FC0B86" w:rsidRDefault="00906282" w:rsidP="00906282">
      <w:pPr>
        <w:spacing w:line="360" w:lineRule="auto"/>
        <w:rPr>
          <w:rFonts w:ascii="Century Gothic" w:hAnsi="Century Gothic"/>
          <w:b/>
          <w:bCs/>
        </w:rPr>
      </w:pPr>
      <w:r w:rsidRPr="00FC0B86">
        <w:rPr>
          <w:rFonts w:ascii="Century Gothic" w:hAnsi="Century Gothic"/>
          <w:b/>
        </w:rPr>
        <w:t>Demandado</w:t>
      </w:r>
      <w:r w:rsidRPr="00FC0B8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FC0B86">
            <w:rPr>
              <w:rStyle w:val="Estilo3"/>
              <w:b w:val="0"/>
              <w:bCs/>
            </w:rPr>
            <w:t xml:space="preserve"> </w:t>
          </w:r>
          <w:r w:rsidR="00931957" w:rsidRPr="00FC0B86">
            <w:rPr>
              <w:rStyle w:val="Estilo3"/>
              <w:b w:val="0"/>
              <w:bCs/>
            </w:rPr>
            <w:t>FUNDACI</w:t>
          </w:r>
          <w:r w:rsidR="00FA79B3" w:rsidRPr="00FC0B86">
            <w:rPr>
              <w:rStyle w:val="Estilo3"/>
              <w:b w:val="0"/>
              <w:bCs/>
            </w:rPr>
            <w:t>Ó</w:t>
          </w:r>
          <w:r w:rsidR="00931957" w:rsidRPr="00FC0B86">
            <w:rPr>
              <w:rStyle w:val="Estilo3"/>
              <w:b w:val="0"/>
              <w:bCs/>
            </w:rPr>
            <w:t>N HOSPITAL PEDI</w:t>
          </w:r>
          <w:r w:rsidR="00F61A01" w:rsidRPr="00FC0B86">
            <w:rPr>
              <w:rStyle w:val="Estilo3"/>
              <w:b w:val="0"/>
              <w:bCs/>
            </w:rPr>
            <w:t>Á</w:t>
          </w:r>
          <w:r w:rsidR="00931957" w:rsidRPr="00FC0B86">
            <w:rPr>
              <w:rStyle w:val="Estilo3"/>
              <w:b w:val="0"/>
              <w:bCs/>
            </w:rPr>
            <w:t>TRICO LA MISERICORDIA – ENTIDAD PROMOTORA DE SALUD SANITAS S.A.S.</w:t>
          </w:r>
        </w:sdtContent>
      </w:sdt>
    </w:p>
    <w:p w14:paraId="2FC4428C" w14:textId="77777777" w:rsidR="00906282" w:rsidRPr="00FC0B86" w:rsidRDefault="00906282" w:rsidP="00906282">
      <w:pPr>
        <w:spacing w:line="360" w:lineRule="auto"/>
        <w:rPr>
          <w:rFonts w:ascii="Century Gothic" w:hAnsi="Century Gothic"/>
        </w:rPr>
      </w:pPr>
      <w:r w:rsidRPr="00FC0B86">
        <w:rPr>
          <w:rFonts w:ascii="Century Gothic" w:hAnsi="Century Gothic"/>
          <w:b/>
        </w:rPr>
        <w:t>Llamados en Garantía</w:t>
      </w:r>
      <w:r w:rsidRPr="00FC0B86">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Pr="00FC0B86">
            <w:rPr>
              <w:rStyle w:val="Estilo3"/>
              <w:b w:val="0"/>
              <w:bCs/>
            </w:rPr>
            <w:t>LA EQUIDAD SEGUROS DE VIDA</w:t>
          </w:r>
        </w:sdtContent>
      </w:sdt>
    </w:p>
    <w:p w14:paraId="1739B5C0" w14:textId="62967B29" w:rsidR="00906282" w:rsidRPr="00FC0B86" w:rsidRDefault="00906282" w:rsidP="00906282">
      <w:pPr>
        <w:spacing w:line="360" w:lineRule="auto"/>
        <w:rPr>
          <w:rFonts w:ascii="Century Gothic" w:hAnsi="Century Gothic"/>
        </w:rPr>
      </w:pPr>
      <w:r w:rsidRPr="00FC0B86">
        <w:rPr>
          <w:rFonts w:ascii="Century Gothic" w:hAnsi="Century Gothic"/>
          <w:b/>
        </w:rPr>
        <w:t>Tipo de Vinculación</w:t>
      </w:r>
      <w:r w:rsidRPr="00FC0B8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31957" w:rsidRPr="00FC0B86">
            <w:rPr>
              <w:rStyle w:val="Estilo3"/>
              <w:b w:val="0"/>
            </w:rPr>
            <w:t>LLAMADOS EN GARANTÍA</w:t>
          </w:r>
        </w:sdtContent>
      </w:sdt>
    </w:p>
    <w:p w14:paraId="1BFE45C4" w14:textId="35122337" w:rsidR="00906282" w:rsidRPr="00FC0B86" w:rsidRDefault="00906282" w:rsidP="00906282">
      <w:pPr>
        <w:spacing w:line="360" w:lineRule="auto"/>
        <w:rPr>
          <w:rFonts w:ascii="Century Gothic" w:hAnsi="Century Gothic"/>
        </w:rPr>
      </w:pPr>
      <w:r w:rsidRPr="00FC0B86">
        <w:rPr>
          <w:rFonts w:ascii="Century Gothic" w:hAnsi="Century Gothic"/>
          <w:b/>
        </w:rPr>
        <w:t>Fecha Notificación</w:t>
      </w:r>
      <w:r w:rsidRPr="00FC0B86">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6-06T00:00:00Z">
            <w:dateFormat w:val="dd/MM/yyyy"/>
            <w:lid w:val="es-CO"/>
            <w:storeMappedDataAs w:val="dateTime"/>
            <w:calendar w:val="gregorian"/>
          </w:date>
        </w:sdtPr>
        <w:sdtEndPr>
          <w:rPr>
            <w:rStyle w:val="Fuentedeprrafopredeter"/>
            <w:rFonts w:asciiTheme="minorHAnsi" w:hAnsiTheme="minorHAnsi"/>
            <w:b/>
            <w:caps w:val="0"/>
          </w:rPr>
        </w:sdtEndPr>
        <w:sdtContent>
          <w:r w:rsidR="00723CDA" w:rsidRPr="00FC0B86">
            <w:rPr>
              <w:rStyle w:val="Estilo3"/>
              <w:b w:val="0"/>
              <w:bCs/>
            </w:rPr>
            <w:t>06</w:t>
          </w:r>
          <w:r w:rsidRPr="00FC0B86">
            <w:rPr>
              <w:rStyle w:val="Estilo3"/>
              <w:b w:val="0"/>
              <w:bCs/>
            </w:rPr>
            <w:t>/</w:t>
          </w:r>
          <w:r w:rsidR="00723CDA" w:rsidRPr="00FC0B86">
            <w:rPr>
              <w:rStyle w:val="Estilo3"/>
              <w:b w:val="0"/>
              <w:bCs/>
            </w:rPr>
            <w:t>06</w:t>
          </w:r>
          <w:r w:rsidRPr="00FC0B86">
            <w:rPr>
              <w:rStyle w:val="Estilo3"/>
              <w:b w:val="0"/>
              <w:bCs/>
            </w:rPr>
            <w:t>/</w:t>
          </w:r>
          <w:r w:rsidR="00723CDA" w:rsidRPr="00FC0B86">
            <w:rPr>
              <w:rStyle w:val="Estilo3"/>
              <w:b w:val="0"/>
              <w:bCs/>
            </w:rPr>
            <w:t>2024</w:t>
          </w:r>
        </w:sdtContent>
      </w:sdt>
    </w:p>
    <w:p w14:paraId="04C740D4" w14:textId="7CC40BC5" w:rsidR="00906282" w:rsidRPr="00FC0B86" w:rsidRDefault="00906282" w:rsidP="00906282">
      <w:pPr>
        <w:spacing w:line="360" w:lineRule="auto"/>
        <w:rPr>
          <w:rFonts w:ascii="Century Gothic" w:hAnsi="Century Gothic"/>
        </w:rPr>
      </w:pPr>
      <w:r w:rsidRPr="00FC0B86">
        <w:rPr>
          <w:rFonts w:ascii="Century Gothic" w:hAnsi="Century Gothic"/>
          <w:b/>
        </w:rPr>
        <w:t>Fecha fin Término</w:t>
      </w:r>
      <w:r w:rsidRPr="00FC0B86">
        <w:rPr>
          <w:rFonts w:ascii="Century Gothic" w:hAnsi="Century Gothic"/>
        </w:rPr>
        <w:t xml:space="preserve">: </w:t>
      </w:r>
      <w:sdt>
        <w:sdtPr>
          <w:rPr>
            <w:rFonts w:ascii="Century Gothic" w:hAnsi="Century Gothic"/>
          </w:rPr>
          <w:id w:val="-62026635"/>
          <w:placeholder>
            <w:docPart w:val="058B5A2D546346938DE7ED9DE620076B"/>
          </w:placeholder>
          <w:date w:fullDate="2014-06-27T00:00:00Z">
            <w:dateFormat w:val="dd/MM/yyyy"/>
            <w:lid w:val="es-CO"/>
            <w:storeMappedDataAs w:val="dateTime"/>
            <w:calendar w:val="gregorian"/>
          </w:date>
        </w:sdtPr>
        <w:sdtContent>
          <w:r w:rsidR="00723CDA" w:rsidRPr="00FC0B86">
            <w:rPr>
              <w:rFonts w:ascii="Century Gothic" w:hAnsi="Century Gothic"/>
            </w:rPr>
            <w:t>27</w:t>
          </w:r>
          <w:r w:rsidRPr="00FC0B86">
            <w:rPr>
              <w:rFonts w:ascii="Century Gothic" w:hAnsi="Century Gothic"/>
            </w:rPr>
            <w:t>/0</w:t>
          </w:r>
          <w:r w:rsidR="00723CDA" w:rsidRPr="00FC0B86">
            <w:rPr>
              <w:rFonts w:ascii="Century Gothic" w:hAnsi="Century Gothic"/>
            </w:rPr>
            <w:t>6</w:t>
          </w:r>
          <w:r w:rsidRPr="00FC0B86">
            <w:rPr>
              <w:rFonts w:ascii="Century Gothic" w:hAnsi="Century Gothic"/>
            </w:rPr>
            <w:t>/201</w:t>
          </w:r>
          <w:r w:rsidR="00723CDA" w:rsidRPr="00FC0B86">
            <w:rPr>
              <w:rFonts w:ascii="Century Gothic" w:hAnsi="Century Gothic"/>
            </w:rPr>
            <w:t>4</w:t>
          </w:r>
        </w:sdtContent>
      </w:sdt>
    </w:p>
    <w:p w14:paraId="6B0EC993" w14:textId="473D1710" w:rsidR="00906282" w:rsidRPr="00FC0B86" w:rsidRDefault="00906282" w:rsidP="00906282">
      <w:pPr>
        <w:spacing w:line="360" w:lineRule="auto"/>
        <w:rPr>
          <w:rFonts w:ascii="Century Gothic" w:hAnsi="Century Gothic"/>
        </w:rPr>
      </w:pPr>
      <w:r w:rsidRPr="00FC0B86">
        <w:rPr>
          <w:rFonts w:ascii="Century Gothic" w:hAnsi="Century Gothic"/>
          <w:b/>
        </w:rPr>
        <w:t>Fecha Siniestro</w:t>
      </w:r>
      <w:r w:rsidRPr="00FC0B8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10-22T00:00:00Z">
            <w:dateFormat w:val="dd/MM/yyyy"/>
            <w:lid w:val="es-CO"/>
            <w:storeMappedDataAs w:val="dateTime"/>
            <w:calendar w:val="gregorian"/>
          </w:date>
        </w:sdtPr>
        <w:sdtEndPr>
          <w:rPr>
            <w:rStyle w:val="Fuentedeprrafopredeter"/>
            <w:rFonts w:asciiTheme="minorHAnsi" w:hAnsiTheme="minorHAnsi"/>
            <w:b/>
            <w:caps w:val="0"/>
          </w:rPr>
        </w:sdtEndPr>
        <w:sdtContent>
          <w:r w:rsidR="00723CDA" w:rsidRPr="00FC0B86">
            <w:rPr>
              <w:rStyle w:val="Estilo3"/>
              <w:b w:val="0"/>
              <w:bCs/>
            </w:rPr>
            <w:t>22</w:t>
          </w:r>
          <w:r w:rsidRPr="00FC0B86">
            <w:rPr>
              <w:rStyle w:val="Estilo3"/>
              <w:b w:val="0"/>
              <w:bCs/>
            </w:rPr>
            <w:t>/</w:t>
          </w:r>
          <w:r w:rsidR="00723CDA" w:rsidRPr="00FC0B86">
            <w:rPr>
              <w:rStyle w:val="Estilo3"/>
              <w:b w:val="0"/>
              <w:bCs/>
            </w:rPr>
            <w:t>10</w:t>
          </w:r>
          <w:r w:rsidRPr="00FC0B86">
            <w:rPr>
              <w:rStyle w:val="Estilo3"/>
              <w:b w:val="0"/>
              <w:bCs/>
            </w:rPr>
            <w:t>/</w:t>
          </w:r>
          <w:r w:rsidR="00723CDA" w:rsidRPr="00FC0B86">
            <w:rPr>
              <w:rStyle w:val="Estilo3"/>
              <w:b w:val="0"/>
              <w:bCs/>
            </w:rPr>
            <w:t>2019</w:t>
          </w:r>
        </w:sdtContent>
      </w:sdt>
    </w:p>
    <w:p w14:paraId="3157EDF6" w14:textId="3734F5AF" w:rsidR="00906282" w:rsidRPr="00FC0B86" w:rsidRDefault="00906282" w:rsidP="00723CDA">
      <w:pPr>
        <w:spacing w:line="360" w:lineRule="auto"/>
        <w:jc w:val="both"/>
        <w:rPr>
          <w:rFonts w:ascii="Century Gothic" w:hAnsi="Century Gothic"/>
        </w:rPr>
      </w:pPr>
      <w:r w:rsidRPr="00FC0B86">
        <w:rPr>
          <w:rFonts w:ascii="Century Gothic" w:hAnsi="Century Gothic"/>
          <w:b/>
        </w:rPr>
        <w:t>Hechos</w:t>
      </w:r>
      <w:r w:rsidRPr="00FC0B86">
        <w:rPr>
          <w:rFonts w:ascii="Century Gothic" w:hAnsi="Century Gothic"/>
        </w:rPr>
        <w:t xml:space="preserve">:   </w:t>
      </w:r>
      <w:sdt>
        <w:sdtPr>
          <w:rPr>
            <w:rFonts w:ascii="Century Gothic" w:eastAsia="Times New Roman" w:hAnsi="Century Gothic" w:cs="Arial"/>
            <w:lang w:eastAsia="es-CO"/>
          </w:rPr>
          <w:alias w:val="HECHOS"/>
          <w:tag w:val="HECHOS"/>
          <w:id w:val="-654141650"/>
          <w:placeholder>
            <w:docPart w:val="77B7100F3C8E4F28A3681AAA13B78C22"/>
          </w:placeholder>
          <w:text/>
        </w:sdtPr>
        <w:sdtContent>
          <w:r w:rsidR="00723CDA" w:rsidRPr="00FC0B86">
            <w:rPr>
              <w:rFonts w:ascii="Century Gothic" w:eastAsia="Times New Roman" w:hAnsi="Century Gothic" w:cs="Arial"/>
              <w:lang w:eastAsia="es-CO"/>
            </w:rPr>
            <w:t xml:space="preserve">(I)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nació el 29 de julio de 2005, teniendo como antecedentes de nacimiento “</w:t>
          </w:r>
          <w:proofErr w:type="spellStart"/>
          <w:r w:rsidR="00723CDA" w:rsidRPr="00FC0B86">
            <w:rPr>
              <w:rFonts w:ascii="Century Gothic" w:eastAsia="Times New Roman" w:hAnsi="Century Gothic" w:cs="Arial"/>
              <w:lang w:eastAsia="es-CO"/>
            </w:rPr>
            <w:t>hemi</w:t>
          </w:r>
          <w:proofErr w:type="spellEnd"/>
          <w:r w:rsidR="00723CDA" w:rsidRPr="00FC0B86">
            <w:rPr>
              <w:rFonts w:ascii="Century Gothic" w:eastAsia="Times New Roman" w:hAnsi="Century Gothic" w:cs="Arial"/>
              <w:lang w:eastAsia="es-CO"/>
            </w:rPr>
            <w:t xml:space="preserve"> hipertrofia facial izquierda” por lo que había sido sometida a varios procedimientos quirúrgicos sin complicaciones. (II) Para el año 2019 encontrándose afiliada a la E.P.S. Sanitas en calidad de beneficiaria, se le programo el 15 de octubre de 2019 un sexto procedimiento consistente en una cirugía de osteotomía </w:t>
          </w:r>
          <w:proofErr w:type="spellStart"/>
          <w:r w:rsidR="00723CDA" w:rsidRPr="00FC0B86">
            <w:rPr>
              <w:rFonts w:ascii="Century Gothic" w:eastAsia="Times New Roman" w:hAnsi="Century Gothic" w:cs="Arial"/>
              <w:lang w:eastAsia="es-CO"/>
            </w:rPr>
            <w:t>lefor</w:t>
          </w:r>
          <w:proofErr w:type="spellEnd"/>
          <w:r w:rsidR="00723CDA" w:rsidRPr="00FC0B86">
            <w:rPr>
              <w:rFonts w:ascii="Century Gothic" w:eastAsia="Times New Roman" w:hAnsi="Century Gothic" w:cs="Arial"/>
              <w:lang w:eastAsia="es-CO"/>
            </w:rPr>
            <w:t xml:space="preserve"> I más segmentaria en línea media dental, osteotomía sagital de rama mandibular bilateral más segmentaria parafinsiaria y reconstrucción mandibular con traqueostomía previa al procedimiento quirúrgico principal. (III) El procedimiento se realizó en la Fundación Hospital La Misericordia y a partir del post operatorio se presentaron los errores que dan lugar a la demanda, pues la paciente presento una falla multisistémica y disfunción cerebral severa por hipoxia, debido a un paro cardiaco prolongado que requirió reanimación durante 35 minutos, el cual genero neumotórax a tensión </w:t>
          </w:r>
          <w:r w:rsidR="00723CDA" w:rsidRPr="00FC0B86">
            <w:rPr>
              <w:rFonts w:ascii="Century Gothic" w:eastAsia="Times New Roman" w:hAnsi="Century Gothic" w:cs="Arial"/>
              <w:lang w:eastAsia="es-CO"/>
            </w:rPr>
            <w:lastRenderedPageBreak/>
            <w:t>bilateral, posterior a un neumomediastino no detectado en el postoperatorio. Como consecuencia de lo anterior se produjo el fallecimiento de la paciente el 22 de octubre de 2019. (IV) La causa de muerte de la menor fue un paro cardiorrespiratorio secundario a falla multisistémica y daño cerebral severo por hipoxia. (V) Entre otras causas que contribuyeron al daño cerebral severo por falta de oxígeno se tiene un paro cardiorrespiratorio por fallas en la ventilación generada por alta fuga de oxígeno proveniente de la cánula de traqueostomía y neumotórax, más demora por falta de dispositivos adecuados para corregir la causa que daba origen a la mala oxigenación de la paciente.</w:t>
          </w:r>
        </w:sdtContent>
      </w:sdt>
    </w:p>
    <w:p w14:paraId="1550BD07" w14:textId="77777777" w:rsidR="00906282" w:rsidRPr="00FC0B86" w:rsidRDefault="00906282" w:rsidP="00906282">
      <w:pPr>
        <w:spacing w:line="360" w:lineRule="auto"/>
        <w:rPr>
          <w:rFonts w:ascii="Century Gothic" w:hAnsi="Century Gothic"/>
        </w:rPr>
      </w:pPr>
      <w:r w:rsidRPr="00FC0B86">
        <w:rPr>
          <w:rFonts w:ascii="Century Gothic" w:hAnsi="Century Gothic"/>
          <w:b/>
        </w:rPr>
        <w:t>Audiencia Prejudicial</w:t>
      </w:r>
      <w:r w:rsidRPr="00FC0B86">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FC0B86">
            <w:rPr>
              <w:rStyle w:val="Estilo3"/>
              <w:b w:val="0"/>
              <w:bCs/>
            </w:rPr>
            <w:t>SI</w:t>
          </w:r>
        </w:sdtContent>
      </w:sdt>
    </w:p>
    <w:p w14:paraId="55707408" w14:textId="35D16E02" w:rsidR="00906282" w:rsidRPr="00FC0B86" w:rsidRDefault="00906282" w:rsidP="00723CDA">
      <w:pPr>
        <w:spacing w:line="360" w:lineRule="auto"/>
        <w:jc w:val="both"/>
        <w:rPr>
          <w:rFonts w:ascii="Century Gothic" w:hAnsi="Century Gothic"/>
        </w:rPr>
      </w:pPr>
      <w:r w:rsidRPr="00FC0B86">
        <w:rPr>
          <w:rFonts w:ascii="Century Gothic" w:hAnsi="Century Gothic"/>
          <w:b/>
        </w:rPr>
        <w:t>Pretensiones de la demanda</w:t>
      </w:r>
      <w:r w:rsidRPr="00FC0B86">
        <w:rPr>
          <w:rFonts w:ascii="Century Gothic" w:hAnsi="Century Gothic"/>
        </w:rPr>
        <w:t xml:space="preserve">:  </w:t>
      </w:r>
      <w:sdt>
        <w:sdtPr>
          <w:rPr>
            <w:rFonts w:ascii="Century Gothic" w:eastAsia="Times New Roman" w:hAnsi="Century Gothic" w:cs="Arial"/>
            <w:lang w:eastAsia="es-CO"/>
          </w:rPr>
          <w:alias w:val="PRETENSIONES"/>
          <w:tag w:val="PRETENSIONES"/>
          <w:id w:val="-321507162"/>
          <w:placeholder>
            <w:docPart w:val="7057A85CA769434CB181176B5C5C151A"/>
          </w:placeholder>
          <w:text/>
        </w:sdtPr>
        <w:sdtContent>
          <w:r w:rsidR="00723CDA" w:rsidRPr="00FC0B86">
            <w:rPr>
              <w:rFonts w:ascii="Century Gothic" w:eastAsia="Times New Roman" w:hAnsi="Century Gothic" w:cs="Arial"/>
              <w:lang w:eastAsia="es-CO"/>
            </w:rPr>
            <w:t xml:space="preserve">(I) Que se declare la responsabilidad civil contractual en forma solidaria de la E.P.S. Sanitas S.A.S. y la Fundación Hospital Pediátrico – </w:t>
          </w:r>
          <w:proofErr w:type="spellStart"/>
          <w:r w:rsidR="00723CDA" w:rsidRPr="00FC0B86">
            <w:rPr>
              <w:rFonts w:ascii="Century Gothic" w:eastAsia="Times New Roman" w:hAnsi="Century Gothic" w:cs="Arial"/>
              <w:lang w:eastAsia="es-CO"/>
            </w:rPr>
            <w:t>Homi</w:t>
          </w:r>
          <w:proofErr w:type="spellEnd"/>
          <w:r w:rsidR="00723CDA" w:rsidRPr="00FC0B86">
            <w:rPr>
              <w:rFonts w:ascii="Century Gothic" w:eastAsia="Times New Roman" w:hAnsi="Century Gothic" w:cs="Arial"/>
              <w:lang w:eastAsia="es-CO"/>
            </w:rPr>
            <w:t xml:space="preserve"> frente a los demandantes como consecuencia de los errores en la atención en salud que se brindó a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y que contribuyeron a su fallecimiento. (II) Subsidiariamente se declare la responsabilidad civil extracontractual, en forma solidaria de la E.P.S. Sanitas S.A.S. y la Fundación Hospital Pediátrico – </w:t>
          </w:r>
          <w:proofErr w:type="spellStart"/>
          <w:r w:rsidR="00723CDA" w:rsidRPr="00FC0B86">
            <w:rPr>
              <w:rFonts w:ascii="Century Gothic" w:eastAsia="Times New Roman" w:hAnsi="Century Gothic" w:cs="Arial"/>
              <w:lang w:eastAsia="es-CO"/>
            </w:rPr>
            <w:t>Homi</w:t>
          </w:r>
          <w:proofErr w:type="spellEnd"/>
          <w:r w:rsidR="00723CDA" w:rsidRPr="00FC0B86">
            <w:rPr>
              <w:rFonts w:ascii="Century Gothic" w:eastAsia="Times New Roman" w:hAnsi="Century Gothic" w:cs="Arial"/>
              <w:lang w:eastAsia="es-CO"/>
            </w:rPr>
            <w:t xml:space="preserve"> frente a los demandantes como consecuencia de los errores en la atención en salud que se brindó a </w:t>
          </w:r>
          <w:proofErr w:type="spellStart"/>
          <w:r w:rsidR="00723CDA" w:rsidRPr="00FC0B86">
            <w:rPr>
              <w:rFonts w:ascii="Century Gothic" w:eastAsia="Times New Roman" w:hAnsi="Century Gothic" w:cs="Arial"/>
              <w:lang w:eastAsia="es-CO"/>
            </w:rPr>
            <w:t>Brillyd</w:t>
          </w:r>
          <w:proofErr w:type="spellEnd"/>
          <w:r w:rsidR="00723CDA" w:rsidRPr="00FC0B86">
            <w:rPr>
              <w:rFonts w:ascii="Century Gothic" w:eastAsia="Times New Roman" w:hAnsi="Century Gothic" w:cs="Arial"/>
              <w:lang w:eastAsia="es-CO"/>
            </w:rPr>
            <w:t xml:space="preserve"> Estefany Rodríguez Gómez y que contribuyeron a su fallecimiento. (III) Que se condene a las demandadas a la reparación integral de los perjuicios causados a los demandantes por concepto de:</w:t>
          </w:r>
          <w:r w:rsidR="005245BF" w:rsidRPr="00FC0B86">
            <w:rPr>
              <w:rFonts w:ascii="Century Gothic" w:eastAsia="Times New Roman" w:hAnsi="Century Gothic" w:cs="Arial"/>
              <w:lang w:eastAsia="es-CO"/>
            </w:rPr>
            <w:t xml:space="preserve"> </w:t>
          </w:r>
          <w:r w:rsidR="00723CDA" w:rsidRPr="00FC0B86">
            <w:rPr>
              <w:rFonts w:ascii="Century Gothic" w:eastAsia="Times New Roman" w:hAnsi="Century Gothic" w:cs="Arial"/>
              <w:lang w:eastAsia="es-CO"/>
            </w:rPr>
            <w:t>Daño moral: $ 520.000.000</w:t>
          </w:r>
          <w:r w:rsidR="005245BF" w:rsidRPr="00FC0B86">
            <w:rPr>
              <w:rFonts w:ascii="Century Gothic" w:eastAsia="Times New Roman" w:hAnsi="Century Gothic" w:cs="Arial"/>
              <w:lang w:eastAsia="es-CO"/>
            </w:rPr>
            <w:t xml:space="preserve"> - </w:t>
          </w:r>
          <w:r w:rsidR="00723CDA" w:rsidRPr="00FC0B86">
            <w:rPr>
              <w:rFonts w:ascii="Century Gothic" w:eastAsia="Times New Roman" w:hAnsi="Century Gothic" w:cs="Arial"/>
              <w:lang w:eastAsia="es-CO"/>
            </w:rPr>
            <w:t>Daño a la vida en relación: $ 520.000.000</w:t>
          </w:r>
          <w:r w:rsidR="005245BF" w:rsidRPr="00FC0B86">
            <w:rPr>
              <w:rFonts w:ascii="Century Gothic" w:eastAsia="Times New Roman" w:hAnsi="Century Gothic" w:cs="Arial"/>
              <w:lang w:eastAsia="es-CO"/>
            </w:rPr>
            <w:t xml:space="preserve">. (IV) </w:t>
          </w:r>
          <w:r w:rsidR="00723CDA" w:rsidRPr="00FC0B86">
            <w:rPr>
              <w:rFonts w:ascii="Century Gothic" w:eastAsia="Times New Roman" w:hAnsi="Century Gothic" w:cs="Arial"/>
              <w:lang w:eastAsia="es-CO"/>
            </w:rPr>
            <w:t>Que se condene a las demandadas al pago de las sumas indexadas.</w:t>
          </w:r>
          <w:r w:rsidR="005245BF" w:rsidRPr="00FC0B86">
            <w:rPr>
              <w:rFonts w:ascii="Century Gothic" w:eastAsia="Times New Roman" w:hAnsi="Century Gothic" w:cs="Arial"/>
              <w:lang w:eastAsia="es-CO"/>
            </w:rPr>
            <w:t xml:space="preserve"> (V) </w:t>
          </w:r>
          <w:r w:rsidR="00723CDA" w:rsidRPr="00FC0B86">
            <w:rPr>
              <w:rFonts w:ascii="Century Gothic" w:eastAsia="Times New Roman" w:hAnsi="Century Gothic" w:cs="Arial"/>
              <w:lang w:eastAsia="es-CO"/>
            </w:rPr>
            <w:t>Que se condene a las demandadas en costas y agencias de derecho.</w:t>
          </w:r>
          <w:r w:rsidR="005245BF" w:rsidRPr="00FC0B86">
            <w:rPr>
              <w:rFonts w:ascii="Century Gothic" w:eastAsia="Times New Roman" w:hAnsi="Century Gothic" w:cs="Arial"/>
              <w:lang w:eastAsia="es-CO"/>
            </w:rPr>
            <w:t xml:space="preserve"> (VI) </w:t>
          </w:r>
          <w:r w:rsidR="00723CDA" w:rsidRPr="00FC0B86">
            <w:rPr>
              <w:rFonts w:ascii="Century Gothic" w:eastAsia="Times New Roman" w:hAnsi="Century Gothic" w:cs="Arial"/>
              <w:lang w:eastAsia="es-CO"/>
            </w:rPr>
            <w:t>Que las entidades demandadas ofrezcan excusas públicas a los demandantes</w:t>
          </w:r>
        </w:sdtContent>
      </w:sdt>
    </w:p>
    <w:p w14:paraId="17E03127" w14:textId="3FDF79CC" w:rsidR="00F87CC6" w:rsidRPr="00FC0B86" w:rsidRDefault="00906282" w:rsidP="00906282">
      <w:pPr>
        <w:spacing w:line="360" w:lineRule="auto"/>
        <w:jc w:val="both"/>
        <w:rPr>
          <w:rFonts w:ascii="Century Gothic" w:hAnsi="Century Gothic"/>
          <w:bCs/>
        </w:rPr>
      </w:pPr>
      <w:r w:rsidRPr="00FC0B86">
        <w:rPr>
          <w:rFonts w:ascii="Century Gothic" w:hAnsi="Century Gothic"/>
          <w:b/>
        </w:rPr>
        <w:t xml:space="preserve">Liquidación objetivada de las pretensiones: </w:t>
      </w:r>
      <w:r w:rsidR="00F87CC6" w:rsidRPr="00FC0B86">
        <w:rPr>
          <w:rFonts w:ascii="Century Gothic" w:hAnsi="Century Gothic"/>
          <w:bCs/>
        </w:rPr>
        <w:t>Como liquidación objetiva de las pretensiones se estiman en un valor de $</w:t>
      </w:r>
      <w:r w:rsidR="00AD28C5" w:rsidRPr="00FC0B86">
        <w:rPr>
          <w:rFonts w:ascii="Century Gothic" w:hAnsi="Century Gothic"/>
          <w:bCs/>
        </w:rPr>
        <w:t>120</w:t>
      </w:r>
      <w:r w:rsidR="00137BCB" w:rsidRPr="00FC0B86">
        <w:rPr>
          <w:rFonts w:ascii="Century Gothic" w:hAnsi="Century Gothic"/>
          <w:bCs/>
        </w:rPr>
        <w:t>.000.000</w:t>
      </w:r>
      <w:r w:rsidR="00F87CC6" w:rsidRPr="00FC0B86">
        <w:rPr>
          <w:rFonts w:ascii="Century Gothic" w:hAnsi="Century Gothic"/>
          <w:bCs/>
        </w:rPr>
        <w:t>, teniendo en cuenta lo siguiente:</w:t>
      </w:r>
    </w:p>
    <w:p w14:paraId="06B42137" w14:textId="56115709" w:rsidR="00F87CC6" w:rsidRPr="00FC0B86" w:rsidRDefault="00F87CC6" w:rsidP="00F87CC6">
      <w:pPr>
        <w:pStyle w:val="Prrafodelista"/>
        <w:numPr>
          <w:ilvl w:val="0"/>
          <w:numId w:val="9"/>
        </w:numPr>
        <w:spacing w:line="360" w:lineRule="auto"/>
        <w:jc w:val="both"/>
        <w:rPr>
          <w:rFonts w:ascii="Century Gothic" w:hAnsi="Century Gothic"/>
          <w:bCs/>
        </w:rPr>
      </w:pPr>
      <w:r w:rsidRPr="00FC0B86">
        <w:rPr>
          <w:rFonts w:ascii="Century Gothic" w:hAnsi="Century Gothic"/>
          <w:bCs/>
        </w:rPr>
        <w:t xml:space="preserve">Daño Moral: Se tasa como indemnización por este perjuicio la suma </w:t>
      </w:r>
      <w:r w:rsidR="00AC23DC" w:rsidRPr="00FC0B86">
        <w:rPr>
          <w:rFonts w:ascii="Century Gothic" w:hAnsi="Century Gothic"/>
          <w:bCs/>
        </w:rPr>
        <w:t xml:space="preserve">de $180.000.000 </w:t>
      </w:r>
      <w:r w:rsidRPr="00FC0B86">
        <w:rPr>
          <w:rFonts w:ascii="Century Gothic" w:hAnsi="Century Gothic"/>
          <w:bCs/>
        </w:rPr>
        <w:t xml:space="preserve">pretendidas en favor de las relaciones </w:t>
      </w:r>
      <w:r w:rsidR="00137BCB" w:rsidRPr="00FC0B86">
        <w:rPr>
          <w:rFonts w:ascii="Century Gothic" w:hAnsi="Century Gothic"/>
          <w:bCs/>
        </w:rPr>
        <w:t>del primer y segundo grado de consanguinidad atendiendo al fallecimiento de la paciente:</w:t>
      </w:r>
    </w:p>
    <w:p w14:paraId="1191A94B" w14:textId="7D34617C"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lastRenderedPageBreak/>
        <w:t xml:space="preserve">Para Yaned Gómez Bernal (madre) </w:t>
      </w:r>
      <w:r w:rsidR="00396009" w:rsidRPr="00FC0B86">
        <w:rPr>
          <w:rFonts w:ascii="Century Gothic" w:hAnsi="Century Gothic"/>
          <w:bCs/>
        </w:rPr>
        <w:t>$</w:t>
      </w:r>
      <w:r w:rsidRPr="00FC0B86">
        <w:rPr>
          <w:rFonts w:ascii="Century Gothic" w:hAnsi="Century Gothic"/>
          <w:bCs/>
        </w:rPr>
        <w:t>60</w:t>
      </w:r>
      <w:r w:rsidR="00396009" w:rsidRPr="00FC0B86">
        <w:rPr>
          <w:rFonts w:ascii="Century Gothic" w:hAnsi="Century Gothic"/>
          <w:bCs/>
        </w:rPr>
        <w:t>.000.000</w:t>
      </w:r>
    </w:p>
    <w:p w14:paraId="03BD9ACC" w14:textId="23833259"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Luis Augusto Rodríguez Forero (padre) </w:t>
      </w:r>
      <w:r w:rsidR="00396009" w:rsidRPr="00FC0B86">
        <w:rPr>
          <w:rFonts w:ascii="Century Gothic" w:hAnsi="Century Gothic"/>
          <w:bCs/>
        </w:rPr>
        <w:t>$60.000.000</w:t>
      </w:r>
    </w:p>
    <w:p w14:paraId="13C13DB4" w14:textId="535B285F" w:rsidR="00137BCB" w:rsidRPr="00FC0B86" w:rsidRDefault="00137BCB" w:rsidP="00137BCB">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Víctor Fabián Rojas Gómez (hermano) </w:t>
      </w:r>
      <w:r w:rsidR="00396009" w:rsidRPr="00FC0B86">
        <w:rPr>
          <w:rFonts w:ascii="Century Gothic" w:hAnsi="Century Gothic"/>
          <w:bCs/>
        </w:rPr>
        <w:t>$30.000.000</w:t>
      </w:r>
    </w:p>
    <w:p w14:paraId="417D3350" w14:textId="77777777" w:rsidR="00396009" w:rsidRPr="00FC0B86" w:rsidRDefault="00137BCB" w:rsidP="00832598">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Rosa María Bernal Vega (Abuela) </w:t>
      </w:r>
      <w:r w:rsidR="00396009" w:rsidRPr="00FC0B86">
        <w:rPr>
          <w:rFonts w:ascii="Century Gothic" w:hAnsi="Century Gothic"/>
          <w:bCs/>
        </w:rPr>
        <w:t>$30.000.000</w:t>
      </w:r>
    </w:p>
    <w:p w14:paraId="2D58A789" w14:textId="1CE99305" w:rsidR="00137BCB" w:rsidRPr="00FC0B86" w:rsidRDefault="00396009" w:rsidP="00396009">
      <w:pPr>
        <w:spacing w:line="360" w:lineRule="auto"/>
        <w:jc w:val="both"/>
        <w:rPr>
          <w:rFonts w:ascii="Century Gothic" w:hAnsi="Century Gothic"/>
          <w:bCs/>
        </w:rPr>
      </w:pPr>
      <w:r w:rsidRPr="00FC0B86">
        <w:rPr>
          <w:rFonts w:ascii="Century Gothic" w:hAnsi="Century Gothic"/>
          <w:bCs/>
        </w:rPr>
        <w:t>Dichos valores se reconocen en atención a los topes indemnizatorios establecidos para las relaciones paterno filia</w:t>
      </w:r>
      <w:r w:rsidR="00AC23DC" w:rsidRPr="00FC0B86">
        <w:rPr>
          <w:rFonts w:ascii="Century Gothic" w:hAnsi="Century Gothic"/>
          <w:bCs/>
        </w:rPr>
        <w:t>l</w:t>
      </w:r>
      <w:r w:rsidRPr="00FC0B86">
        <w:rPr>
          <w:rFonts w:ascii="Century Gothic" w:hAnsi="Century Gothic"/>
          <w:bCs/>
        </w:rPr>
        <w:t>es en primer (100%) y segundo grado (50%) poniendo como tope indemnizatorio la suma de $60.000.000 conforme se ha establecido jurisprudencialmente por la Corte Suprema de Justicia en los casos de fallecimiento de un paciente y la declaratoria de responsabilidad médica extracontractual. (SC15996-2016, 29/11/2016).</w:t>
      </w:r>
    </w:p>
    <w:p w14:paraId="5C6107C6" w14:textId="1A65FC00" w:rsidR="00AD28C5" w:rsidRPr="00FC0B86" w:rsidRDefault="00137BCB" w:rsidP="00137BCB">
      <w:pPr>
        <w:pStyle w:val="Prrafodelista"/>
        <w:numPr>
          <w:ilvl w:val="0"/>
          <w:numId w:val="9"/>
        </w:numPr>
        <w:spacing w:line="360" w:lineRule="auto"/>
        <w:jc w:val="both"/>
        <w:rPr>
          <w:rFonts w:ascii="Century Gothic" w:hAnsi="Century Gothic"/>
          <w:bCs/>
        </w:rPr>
      </w:pPr>
      <w:r w:rsidRPr="00FC0B86">
        <w:rPr>
          <w:rFonts w:ascii="Century Gothic" w:hAnsi="Century Gothic"/>
          <w:bCs/>
        </w:rPr>
        <w:t xml:space="preserve">Daño a la vida de Relación: </w:t>
      </w:r>
      <w:r w:rsidR="00AD28C5" w:rsidRPr="00FC0B86">
        <w:rPr>
          <w:rFonts w:ascii="Century Gothic" w:hAnsi="Century Gothic"/>
          <w:bCs/>
        </w:rPr>
        <w:t>Se tasa como indemnización por este perjuicio la suma de $</w:t>
      </w:r>
      <w:r w:rsidR="00AC23DC" w:rsidRPr="00FC0B86">
        <w:rPr>
          <w:rFonts w:ascii="Century Gothic" w:hAnsi="Century Gothic"/>
          <w:bCs/>
        </w:rPr>
        <w:t>90</w:t>
      </w:r>
      <w:r w:rsidR="00AD28C5" w:rsidRPr="00FC0B86">
        <w:rPr>
          <w:rFonts w:ascii="Century Gothic" w:hAnsi="Century Gothic"/>
          <w:bCs/>
        </w:rPr>
        <w:t xml:space="preserve">.000.000. </w:t>
      </w:r>
      <w:r w:rsidRPr="00FC0B86">
        <w:rPr>
          <w:rFonts w:ascii="Century Gothic" w:hAnsi="Century Gothic"/>
          <w:bCs/>
        </w:rPr>
        <w:t xml:space="preserve">Debe precisarse que para llevar al juez a estudiar el reconocimiento de dicha naturaleza extrapatrimonial y de carácter especial, se requiere por parte de quien lo reclama una plataforma fáctico - probatoria que permita ver la realidad del daño que alega y su supuesto gradeo de afección. </w:t>
      </w:r>
      <w:r w:rsidR="00737BCD" w:rsidRPr="00FC0B86">
        <w:rPr>
          <w:rFonts w:ascii="Century Gothic" w:hAnsi="Century Gothic"/>
          <w:bCs/>
        </w:rPr>
        <w:t xml:space="preserve">Atendiendo a la particularidad del asunto, pues se trataba de una paciente menor de 14 años la cual falleció, no se desconoce el hecho de que puede prosperar la pretensión bajo esta tipología del daño ante la pérdida de un ser querido (hija - hermana – nieta) de los demandantes, ello en </w:t>
      </w:r>
      <w:proofErr w:type="spellStart"/>
      <w:r w:rsidR="00737BCD" w:rsidRPr="00FC0B86">
        <w:rPr>
          <w:rFonts w:ascii="Century Gothic" w:hAnsi="Century Gothic"/>
          <w:bCs/>
        </w:rPr>
        <w:t>si</w:t>
      </w:r>
      <w:proofErr w:type="spellEnd"/>
      <w:r w:rsidR="00737BCD" w:rsidRPr="00FC0B86">
        <w:rPr>
          <w:rFonts w:ascii="Century Gothic" w:hAnsi="Century Gothic"/>
          <w:bCs/>
        </w:rPr>
        <w:t xml:space="preserve">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relación </w:t>
      </w:r>
      <w:r w:rsidR="00C568C0" w:rsidRPr="00FC0B86">
        <w:rPr>
          <w:rFonts w:ascii="Century Gothic" w:hAnsi="Century Gothic"/>
          <w:bCs/>
        </w:rPr>
        <w:t>ante</w:t>
      </w:r>
      <w:r w:rsidR="00737BCD" w:rsidRPr="00FC0B86">
        <w:rPr>
          <w:rFonts w:ascii="Century Gothic" w:hAnsi="Century Gothic"/>
          <w:bCs/>
        </w:rPr>
        <w:t xml:space="preserve"> la muerte de su esposo. Esta suma se tendrá como tope máximo aplicable en favor de las relaciones del primer (100%) y segundo grado (50%) de consanguinidad para este caso.</w:t>
      </w:r>
    </w:p>
    <w:p w14:paraId="2061854A" w14:textId="1D91CE99"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 xml:space="preserve">Para </w:t>
      </w:r>
      <w:proofErr w:type="spellStart"/>
      <w:r w:rsidRPr="00FC0B86">
        <w:rPr>
          <w:rFonts w:ascii="Century Gothic" w:hAnsi="Century Gothic"/>
          <w:bCs/>
        </w:rPr>
        <w:t>Yaned</w:t>
      </w:r>
      <w:proofErr w:type="spellEnd"/>
      <w:r w:rsidRPr="00FC0B86">
        <w:rPr>
          <w:rFonts w:ascii="Century Gothic" w:hAnsi="Century Gothic"/>
          <w:bCs/>
        </w:rPr>
        <w:t xml:space="preserve"> Gómez Bernal (madre) $30</w:t>
      </w:r>
      <w:r w:rsidR="00737BCD" w:rsidRPr="00FC0B86">
        <w:rPr>
          <w:rFonts w:ascii="Century Gothic" w:hAnsi="Century Gothic"/>
          <w:bCs/>
        </w:rPr>
        <w:t>.000.000</w:t>
      </w:r>
    </w:p>
    <w:p w14:paraId="584330A3" w14:textId="5AA5BA6C"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Luis Augusto Rodríguez Forero (padre) $30</w:t>
      </w:r>
      <w:r w:rsidR="00737BCD" w:rsidRPr="00FC0B86">
        <w:rPr>
          <w:rFonts w:ascii="Century Gothic" w:hAnsi="Century Gothic"/>
          <w:bCs/>
        </w:rPr>
        <w:t>.000.000</w:t>
      </w:r>
    </w:p>
    <w:p w14:paraId="24ADC55E" w14:textId="35D95241"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Víctor Fabián Rojas Gómez (hermano) $15</w:t>
      </w:r>
      <w:r w:rsidR="00737BCD" w:rsidRPr="00FC0B86">
        <w:rPr>
          <w:rFonts w:ascii="Century Gothic" w:hAnsi="Century Gothic"/>
          <w:bCs/>
        </w:rPr>
        <w:t>.000.000</w:t>
      </w:r>
    </w:p>
    <w:p w14:paraId="39796D0F" w14:textId="4F49CF4E" w:rsidR="00AC23DC" w:rsidRPr="00FC0B86" w:rsidRDefault="00AC23DC" w:rsidP="00AC23DC">
      <w:pPr>
        <w:pStyle w:val="Prrafodelista"/>
        <w:numPr>
          <w:ilvl w:val="0"/>
          <w:numId w:val="10"/>
        </w:numPr>
        <w:spacing w:line="360" w:lineRule="auto"/>
        <w:jc w:val="both"/>
        <w:rPr>
          <w:rFonts w:ascii="Century Gothic" w:hAnsi="Century Gothic"/>
          <w:bCs/>
        </w:rPr>
      </w:pPr>
      <w:r w:rsidRPr="00FC0B86">
        <w:rPr>
          <w:rFonts w:ascii="Century Gothic" w:hAnsi="Century Gothic"/>
          <w:bCs/>
        </w:rPr>
        <w:t>Para Rosa María Bernal Vega (Abuela) $15</w:t>
      </w:r>
      <w:r w:rsidR="00737BCD" w:rsidRPr="00FC0B86">
        <w:rPr>
          <w:rFonts w:ascii="Century Gothic" w:hAnsi="Century Gothic"/>
          <w:bCs/>
        </w:rPr>
        <w:t>.000.000</w:t>
      </w:r>
    </w:p>
    <w:p w14:paraId="2BFE1D64" w14:textId="0B853B3B" w:rsidR="00FD222A" w:rsidRPr="00FC0B86" w:rsidRDefault="00FD222A" w:rsidP="00FD222A">
      <w:pPr>
        <w:pStyle w:val="Prrafodelista"/>
        <w:numPr>
          <w:ilvl w:val="0"/>
          <w:numId w:val="9"/>
        </w:numPr>
        <w:spacing w:line="360" w:lineRule="auto"/>
        <w:jc w:val="both"/>
        <w:rPr>
          <w:rFonts w:ascii="Century Gothic" w:hAnsi="Century Gothic"/>
          <w:bCs/>
        </w:rPr>
      </w:pPr>
      <w:r w:rsidRPr="00FC0B86">
        <w:rPr>
          <w:rFonts w:ascii="Century Gothic" w:hAnsi="Century Gothic"/>
          <w:bCs/>
        </w:rPr>
        <w:lastRenderedPageBreak/>
        <w:t xml:space="preserve">Deducible:  </w:t>
      </w:r>
      <w:r w:rsidR="00737BCD" w:rsidRPr="00FC0B86">
        <w:rPr>
          <w:rFonts w:ascii="Century Gothic" w:hAnsi="Century Gothic"/>
          <w:bCs/>
        </w:rPr>
        <w:t xml:space="preserve">Se tiene entonces </w:t>
      </w:r>
      <w:r w:rsidR="00C568C0" w:rsidRPr="00FC0B86">
        <w:rPr>
          <w:rFonts w:ascii="Century Gothic" w:hAnsi="Century Gothic"/>
          <w:bCs/>
        </w:rPr>
        <w:t xml:space="preserve">hasta ahora </w:t>
      </w:r>
      <w:r w:rsidR="00737BCD" w:rsidRPr="00FC0B86">
        <w:rPr>
          <w:rFonts w:ascii="Century Gothic" w:hAnsi="Century Gothic"/>
          <w:bCs/>
        </w:rPr>
        <w:t>una suma total objetivada de $270.000.000</w:t>
      </w:r>
      <w:r w:rsidR="00C568C0" w:rsidRPr="00FC0B86">
        <w:rPr>
          <w:rFonts w:ascii="Century Gothic" w:hAnsi="Century Gothic"/>
          <w:bCs/>
        </w:rPr>
        <w:t xml:space="preserve"> a la cual debemos restar el valor d</w:t>
      </w:r>
      <w:r w:rsidR="00737BCD" w:rsidRPr="00FC0B86">
        <w:rPr>
          <w:rFonts w:ascii="Century Gothic" w:hAnsi="Century Gothic"/>
          <w:bCs/>
        </w:rPr>
        <w:t>el deducible pactado en la póliza</w:t>
      </w:r>
      <w:r w:rsidR="00C568C0" w:rsidRPr="00FC0B86">
        <w:rPr>
          <w:rFonts w:ascii="Century Gothic" w:hAnsi="Century Gothic"/>
          <w:bCs/>
        </w:rPr>
        <w:t xml:space="preserve"> y </w:t>
      </w:r>
      <w:r w:rsidR="00737BCD" w:rsidRPr="00FC0B86">
        <w:rPr>
          <w:rFonts w:ascii="Century Gothic" w:hAnsi="Century Gothic"/>
          <w:bCs/>
        </w:rPr>
        <w:t>que corresponde al 10% del valor de la pérdida o mínimo $150.000.000</w:t>
      </w:r>
      <w:r w:rsidR="00C568C0" w:rsidRPr="00FC0B86">
        <w:rPr>
          <w:rFonts w:ascii="Century Gothic" w:hAnsi="Century Gothic"/>
          <w:bCs/>
        </w:rPr>
        <w:t xml:space="preserve">. Una vez realizad dicha operación se obtiene </w:t>
      </w:r>
      <w:r w:rsidR="00737BCD" w:rsidRPr="00FC0B86">
        <w:rPr>
          <w:rFonts w:ascii="Century Gothic" w:hAnsi="Century Gothic"/>
          <w:bCs/>
        </w:rPr>
        <w:t xml:space="preserve">como resultado final </w:t>
      </w:r>
      <w:r w:rsidR="00C568C0" w:rsidRPr="00FC0B86">
        <w:rPr>
          <w:rFonts w:ascii="Century Gothic" w:hAnsi="Century Gothic"/>
          <w:bCs/>
        </w:rPr>
        <w:t>objetivado</w:t>
      </w:r>
      <w:r w:rsidR="00737BCD" w:rsidRPr="00FC0B86">
        <w:rPr>
          <w:rFonts w:ascii="Century Gothic" w:hAnsi="Century Gothic"/>
          <w:bCs/>
        </w:rPr>
        <w:t xml:space="preserve"> </w:t>
      </w:r>
      <w:r w:rsidR="00C568C0" w:rsidRPr="00FC0B86">
        <w:rPr>
          <w:rFonts w:ascii="Century Gothic" w:hAnsi="Century Gothic"/>
          <w:bCs/>
        </w:rPr>
        <w:t xml:space="preserve">la suma </w:t>
      </w:r>
      <w:r w:rsidR="00737BCD" w:rsidRPr="00FC0B86">
        <w:rPr>
          <w:rFonts w:ascii="Century Gothic" w:hAnsi="Century Gothic"/>
          <w:bCs/>
        </w:rPr>
        <w:t>de $120.</w:t>
      </w:r>
      <w:r w:rsidR="00571E71" w:rsidRPr="00FC0B86">
        <w:rPr>
          <w:rFonts w:ascii="Century Gothic" w:hAnsi="Century Gothic"/>
          <w:bCs/>
        </w:rPr>
        <w:t>000.000</w:t>
      </w:r>
      <w:r w:rsidR="00737BCD" w:rsidRPr="00FC0B86">
        <w:rPr>
          <w:rFonts w:ascii="Century Gothic" w:hAnsi="Century Gothic"/>
          <w:bCs/>
        </w:rPr>
        <w:t xml:space="preserve"> </w:t>
      </w:r>
    </w:p>
    <w:p w14:paraId="105FDC0E" w14:textId="48220302" w:rsidR="00137BCB" w:rsidRPr="00FC0B86" w:rsidRDefault="00137BCB" w:rsidP="00137BCB">
      <w:pPr>
        <w:spacing w:line="360" w:lineRule="auto"/>
        <w:ind w:left="720"/>
        <w:jc w:val="both"/>
        <w:rPr>
          <w:rFonts w:ascii="Century Gothic" w:hAnsi="Century Gothic"/>
          <w:bCs/>
        </w:rPr>
      </w:pPr>
      <w:r w:rsidRPr="00FC0B86">
        <w:rPr>
          <w:rFonts w:ascii="Century Gothic" w:hAnsi="Century Gothic"/>
          <w:bCs/>
        </w:rPr>
        <w:t>TOTAL: $</w:t>
      </w:r>
      <w:r w:rsidR="00AC23DC" w:rsidRPr="00FC0B86">
        <w:rPr>
          <w:rFonts w:ascii="Century Gothic" w:hAnsi="Century Gothic"/>
          <w:bCs/>
        </w:rPr>
        <w:t>120.000.000</w:t>
      </w:r>
    </w:p>
    <w:p w14:paraId="2EC980BA" w14:textId="3CAA79BE" w:rsidR="00906282" w:rsidRPr="00FC0B86" w:rsidRDefault="00906282" w:rsidP="00906282">
      <w:pPr>
        <w:spacing w:line="360" w:lineRule="auto"/>
        <w:jc w:val="both"/>
        <w:rPr>
          <w:rFonts w:ascii="Century Gothic" w:hAnsi="Century Gothic"/>
        </w:rPr>
      </w:pPr>
      <w:r w:rsidRPr="00FC0B86">
        <w:rPr>
          <w:rFonts w:ascii="Century Gothic" w:hAnsi="Century Gothic"/>
          <w:b/>
        </w:rPr>
        <w:t>Excepciones</w:t>
      </w:r>
      <w:r w:rsidRPr="00FC0B8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E75C23" w:rsidRPr="00FC0B86">
            <w:rPr>
              <w:rFonts w:ascii="Century Gothic" w:hAnsi="Century Gothic"/>
            </w:rPr>
            <w:t xml:space="preserve">FRENTE A LA DEMANDA </w:t>
          </w:r>
        </w:sdtContent>
      </w:sdt>
      <w:r w:rsidRPr="00FC0B86">
        <w:rPr>
          <w:rFonts w:ascii="Century Gothic" w:hAnsi="Century Gothic"/>
        </w:rPr>
        <w:t xml:space="preserve"> </w:t>
      </w:r>
    </w:p>
    <w:p w14:paraId="5FD57798" w14:textId="11E91335"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cs="Arial"/>
          <w:lang w:val="es-ES_tradnl"/>
        </w:rPr>
        <w:t>EXCEPCIONES PLANTEADAS POR QUIEN FORMULÓ EL LLAMAMIENTO EN GARANTÍA A MI REPRESENTADA.</w:t>
      </w:r>
    </w:p>
    <w:p w14:paraId="66688FA1" w14:textId="34CF5B29"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cs="Arial"/>
          <w:lang w:val="es-ES_tradnl"/>
        </w:rPr>
        <w:t>INEXISTENCIA DE RESPONSABILIDAD DE EPS SANITAS COMO CONSECUENCIA DEL CUMPLIMIENTO DE LAS OBLIGACIONES LEGALES QUE LE CORRESPONDEN COMO ENTIDAD PROMOTORA DE SALUD.</w:t>
      </w:r>
    </w:p>
    <w:p w14:paraId="524C5380" w14:textId="2F014BB9" w:rsidR="00E75C23" w:rsidRPr="00FC0B86" w:rsidRDefault="00E75C23" w:rsidP="00E75C23">
      <w:pPr>
        <w:pStyle w:val="Prrafodelista"/>
        <w:numPr>
          <w:ilvl w:val="0"/>
          <w:numId w:val="5"/>
        </w:numPr>
        <w:spacing w:line="360" w:lineRule="auto"/>
        <w:jc w:val="both"/>
        <w:rPr>
          <w:rFonts w:ascii="Century Gothic" w:hAnsi="Century Gothic"/>
        </w:rPr>
      </w:pPr>
      <w:r w:rsidRPr="00FC0B86">
        <w:rPr>
          <w:rFonts w:ascii="Century Gothic" w:hAnsi="Century Gothic"/>
        </w:rPr>
        <w:t xml:space="preserve"> INEXISTENCIA </w:t>
      </w:r>
      <w:r w:rsidRPr="00FC0B86">
        <w:rPr>
          <w:rFonts w:ascii="Century Gothic" w:hAnsi="Century Gothic" w:cs="Arial"/>
          <w:lang w:val="es-ES_tradnl"/>
        </w:rPr>
        <w:t>DE FALLA MÉDICA Y DE RESPONSABILIDAD, DEBIDO A LA PRESTACIÓN DILIGENTE, OPORTUNA, ADECUADA, CUIDADOSA Y CARENTE DE CULPA REALIZADA POR PARTE DEL HOSPITAL DE LA MISERICORDIA – FUNDACIÓN HOMI Y LA ENTIDAD PROMOTORA DE SALUD SANITAS E.P.S.</w:t>
      </w:r>
    </w:p>
    <w:p w14:paraId="1D4D25D9" w14:textId="77777777" w:rsidR="00E75C23" w:rsidRPr="00FC0B86" w:rsidRDefault="00E75C23" w:rsidP="00E75C23">
      <w:pPr>
        <w:pStyle w:val="Prrafodelista"/>
        <w:numPr>
          <w:ilvl w:val="0"/>
          <w:numId w:val="5"/>
        </w:numPr>
        <w:spacing w:after="0" w:line="360" w:lineRule="auto"/>
        <w:jc w:val="both"/>
        <w:rPr>
          <w:rFonts w:ascii="Century Gothic" w:eastAsiaTheme="minorEastAsia" w:hAnsi="Century Gothic" w:cs="Arial"/>
          <w:lang w:val="es-ES_tradnl" w:eastAsia="es-ES"/>
        </w:rPr>
      </w:pPr>
      <w:r w:rsidRPr="00FC0B86">
        <w:rPr>
          <w:rFonts w:ascii="Century Gothic" w:eastAsiaTheme="minorEastAsia" w:hAnsi="Century Gothic" w:cs="Arial"/>
          <w:lang w:val="es-ES_tradnl" w:eastAsia="es-ES"/>
        </w:rPr>
        <w:t>DAÑO NO INDEMNIZABLE – MATERIALIZACIÓN DE UN RIESGO INHERENTE AL PROCEDIMIENTO MÉDICO.</w:t>
      </w:r>
    </w:p>
    <w:p w14:paraId="1F875B2D" w14:textId="77777777" w:rsidR="00E75C23" w:rsidRPr="00FC0B86" w:rsidRDefault="00E75C23" w:rsidP="00E75C23">
      <w:pPr>
        <w:pStyle w:val="Default"/>
        <w:numPr>
          <w:ilvl w:val="0"/>
          <w:numId w:val="5"/>
        </w:numPr>
        <w:spacing w:line="360" w:lineRule="auto"/>
        <w:ind w:right="48"/>
        <w:jc w:val="both"/>
        <w:rPr>
          <w:rFonts w:ascii="Century Gothic" w:hAnsi="Century Gothic"/>
          <w:color w:val="auto"/>
          <w:sz w:val="22"/>
          <w:szCs w:val="22"/>
        </w:rPr>
      </w:pPr>
      <w:r w:rsidRPr="00FC0B86">
        <w:rPr>
          <w:rFonts w:ascii="Century Gothic" w:hAnsi="Century Gothic"/>
          <w:color w:val="auto"/>
          <w:sz w:val="22"/>
          <w:szCs w:val="22"/>
        </w:rPr>
        <w:t>LOS PERJUICIOS MORALES SOLICITADOS DESCONOCEN LOS LÍMITES JURISPRUDENCIALES ESTABLECIDOS POR EL MÁXIMO ÓRGANO DE LA JURISDICCIÓN ORDINARIA</w:t>
      </w:r>
    </w:p>
    <w:p w14:paraId="39E86D05" w14:textId="77777777" w:rsidR="00E75C23" w:rsidRPr="00FC0B86" w:rsidRDefault="00E75C23" w:rsidP="00E75C23">
      <w:pPr>
        <w:pStyle w:val="Default"/>
        <w:numPr>
          <w:ilvl w:val="0"/>
          <w:numId w:val="5"/>
        </w:numPr>
        <w:spacing w:line="360" w:lineRule="auto"/>
        <w:ind w:right="48"/>
        <w:jc w:val="both"/>
        <w:rPr>
          <w:rFonts w:ascii="Century Gothic" w:hAnsi="Century Gothic"/>
          <w:color w:val="auto"/>
          <w:sz w:val="22"/>
          <w:szCs w:val="22"/>
        </w:rPr>
      </w:pPr>
      <w:r w:rsidRPr="00FC0B86">
        <w:rPr>
          <w:rFonts w:ascii="Century Gothic" w:hAnsi="Century Gothic"/>
          <w:color w:val="auto"/>
          <w:sz w:val="22"/>
          <w:szCs w:val="22"/>
        </w:rPr>
        <w:t>IMPROCEDENCIA DEL RECONOCIMIENTO DEL DAÑO A LA VIDA EN RELACIÓN</w:t>
      </w:r>
    </w:p>
    <w:p w14:paraId="5DFE6838" w14:textId="77777777" w:rsidR="00E75C23" w:rsidRPr="00FC0B86" w:rsidRDefault="00E75C23" w:rsidP="00E75C23">
      <w:pPr>
        <w:pStyle w:val="Prrafodelista"/>
        <w:widowControl w:val="0"/>
        <w:numPr>
          <w:ilvl w:val="0"/>
          <w:numId w:val="5"/>
        </w:numPr>
        <w:autoSpaceDE w:val="0"/>
        <w:autoSpaceDN w:val="0"/>
        <w:adjustRightInd w:val="0"/>
        <w:spacing w:after="0" w:line="360" w:lineRule="auto"/>
        <w:contextualSpacing w:val="0"/>
        <w:rPr>
          <w:rFonts w:ascii="Century Gothic" w:hAnsi="Century Gothic" w:cs="Arial"/>
          <w:lang w:val="es-MX"/>
        </w:rPr>
      </w:pPr>
      <w:r w:rsidRPr="00FC0B86">
        <w:rPr>
          <w:rFonts w:ascii="Century Gothic" w:hAnsi="Century Gothic" w:cs="Arial"/>
          <w:lang w:val="es-MX"/>
        </w:rPr>
        <w:t xml:space="preserve">GENÉRICA O INNOMINADA </w:t>
      </w:r>
    </w:p>
    <w:p w14:paraId="42C4F09B" w14:textId="77777777" w:rsidR="00FA79B3" w:rsidRPr="00FC0B86" w:rsidRDefault="00FA79B3" w:rsidP="00FA79B3">
      <w:pPr>
        <w:spacing w:after="0" w:line="360" w:lineRule="auto"/>
        <w:ind w:left="360"/>
        <w:jc w:val="both"/>
        <w:rPr>
          <w:rFonts w:ascii="Century Gothic" w:hAnsi="Century Gothic"/>
        </w:rPr>
      </w:pPr>
    </w:p>
    <w:p w14:paraId="031B2674" w14:textId="5FA11C3B" w:rsidR="00E75C23" w:rsidRPr="00FC0B86" w:rsidRDefault="00E75C23" w:rsidP="00E75C23">
      <w:pPr>
        <w:spacing w:line="360" w:lineRule="auto"/>
        <w:ind w:left="360"/>
        <w:jc w:val="both"/>
        <w:rPr>
          <w:rFonts w:ascii="Century Gothic" w:hAnsi="Century Gothic"/>
        </w:rPr>
      </w:pPr>
      <w:r w:rsidRPr="00FC0B86">
        <w:rPr>
          <w:rFonts w:ascii="Century Gothic" w:hAnsi="Century Gothic"/>
        </w:rPr>
        <w:t>FRENTE AL LLAMAMIENTO EN GARANTÍA</w:t>
      </w:r>
    </w:p>
    <w:p w14:paraId="5B1AD784" w14:textId="0A21064C" w:rsidR="00E75C23"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t>NO EXISTE OBLIGACIÓN INDEMNIZATORIA A CARGO DE LA EQUIDAD SEGUROS GENERALES O.C., TODA VEZ QUE NO SE HA REALIZADO EL RIESGO ASEGURABLE.</w:t>
      </w:r>
    </w:p>
    <w:p w14:paraId="5331EA36" w14:textId="6274EA29" w:rsidR="007A003F"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t>RIESGOS EXPRESAMENTE EXCLUIDOS EN LA PÓLIZA DE RESPONSABILIDAD CIVIL PROFESIONAL CLÍNICAS Y HOSPITALES NO. AA195705.</w:t>
      </w:r>
    </w:p>
    <w:p w14:paraId="67715456" w14:textId="3E4C5074" w:rsidR="007A003F" w:rsidRPr="00FC0B86" w:rsidRDefault="007A003F" w:rsidP="007A003F">
      <w:pPr>
        <w:pStyle w:val="Prrafodelista"/>
        <w:numPr>
          <w:ilvl w:val="0"/>
          <w:numId w:val="8"/>
        </w:numPr>
        <w:spacing w:line="360" w:lineRule="auto"/>
        <w:jc w:val="both"/>
        <w:rPr>
          <w:rFonts w:ascii="Century Gothic" w:hAnsi="Century Gothic"/>
        </w:rPr>
      </w:pPr>
      <w:r w:rsidRPr="00FC0B86">
        <w:rPr>
          <w:rFonts w:ascii="Century Gothic" w:hAnsi="Century Gothic"/>
        </w:rPr>
        <w:lastRenderedPageBreak/>
        <w:t>SUJECIÓN A LAS CONDICIONES PARTICULARES Y GENERALES DEL CONTRATO DE SEGURO, EN LA QUE SE IDENTIFICA LA PÓLIZA AA195705, EL CLAUSULADO Y LOS AMPAROS</w:t>
      </w:r>
      <w:r w:rsidR="00BC2E25" w:rsidRPr="00FC0B86">
        <w:rPr>
          <w:rFonts w:ascii="Century Gothic" w:hAnsi="Century Gothic"/>
        </w:rPr>
        <w:t>.</w:t>
      </w:r>
    </w:p>
    <w:p w14:paraId="6DA8E36F" w14:textId="3A4806BA"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CARÁCTER MERAMENTE INDEMNIZATORIO QUE REVISTEN LOS CONTRATOS DE SEGUROS.</w:t>
      </w:r>
    </w:p>
    <w:p w14:paraId="1F02581D" w14:textId="772EA10D"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EN CUALQUIER CASO, DE NINGUNA FORMA SE PODRÁ EXCEDER EL LÍMITE DEL VALOR ASEGU</w:t>
      </w:r>
      <w:r w:rsidR="005F1F54" w:rsidRPr="00FC0B86">
        <w:rPr>
          <w:rFonts w:ascii="Century Gothic" w:hAnsi="Century Gothic"/>
        </w:rPr>
        <w:t>R</w:t>
      </w:r>
      <w:r w:rsidRPr="00FC0B86">
        <w:rPr>
          <w:rFonts w:ascii="Century Gothic" w:hAnsi="Century Gothic"/>
        </w:rPr>
        <w:t>ADO EN LA PÓLIZA NO. AA195705</w:t>
      </w:r>
    </w:p>
    <w:p w14:paraId="5ADD451A" w14:textId="475FA4B5"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LÍMITES MÁ</w:t>
      </w:r>
      <w:r w:rsidR="005F1F54" w:rsidRPr="00FC0B86">
        <w:rPr>
          <w:rFonts w:ascii="Century Gothic" w:hAnsi="Century Gothic"/>
        </w:rPr>
        <w:t>X</w:t>
      </w:r>
      <w:r w:rsidRPr="00FC0B86">
        <w:rPr>
          <w:rFonts w:ascii="Century Gothic" w:hAnsi="Century Gothic"/>
        </w:rPr>
        <w:t>IMOS DE RESPONSABILIDAD DEL ASEGURADOR EN LO</w:t>
      </w:r>
      <w:r w:rsidR="005F1F54" w:rsidRPr="00FC0B86">
        <w:rPr>
          <w:rFonts w:ascii="Century Gothic" w:hAnsi="Century Gothic"/>
        </w:rPr>
        <w:t xml:space="preserve"> </w:t>
      </w:r>
      <w:r w:rsidRPr="00FC0B86">
        <w:rPr>
          <w:rFonts w:ascii="Century Gothic" w:hAnsi="Century Gothic"/>
        </w:rPr>
        <w:t>ATENIENTE AL DEDUCIBLE PACTADO 10% DE LA PÉRDIDA MÍNIMO $150.000.000.</w:t>
      </w:r>
    </w:p>
    <w:p w14:paraId="763F8704" w14:textId="3B3E8354"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DISPONIBILI</w:t>
      </w:r>
      <w:r w:rsidR="005F1F54" w:rsidRPr="00FC0B86">
        <w:rPr>
          <w:rFonts w:ascii="Century Gothic" w:hAnsi="Century Gothic"/>
        </w:rPr>
        <w:t>D</w:t>
      </w:r>
      <w:r w:rsidRPr="00FC0B86">
        <w:rPr>
          <w:rFonts w:ascii="Century Gothic" w:hAnsi="Century Gothic"/>
        </w:rPr>
        <w:t>AD DEL VALOR ASEGURADO.</w:t>
      </w:r>
    </w:p>
    <w:p w14:paraId="268F5CB6" w14:textId="072B6C7E"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PRESCRIPCIÓN DE LA ACCIÓN DERIVADA DEL CONTRATO DE SEGURO.</w:t>
      </w:r>
    </w:p>
    <w:p w14:paraId="69E5F165" w14:textId="67973333" w:rsidR="00BC2E25" w:rsidRPr="00FC0B86" w:rsidRDefault="00BC2E25" w:rsidP="007A003F">
      <w:pPr>
        <w:pStyle w:val="Prrafodelista"/>
        <w:numPr>
          <w:ilvl w:val="0"/>
          <w:numId w:val="8"/>
        </w:numPr>
        <w:spacing w:line="360" w:lineRule="auto"/>
        <w:jc w:val="both"/>
        <w:rPr>
          <w:rFonts w:ascii="Century Gothic" w:hAnsi="Century Gothic"/>
        </w:rPr>
      </w:pPr>
      <w:r w:rsidRPr="00FC0B86">
        <w:rPr>
          <w:rFonts w:ascii="Century Gothic" w:hAnsi="Century Gothic"/>
        </w:rPr>
        <w:t xml:space="preserve">GENÉRICA O </w:t>
      </w:r>
      <w:r w:rsidR="00FA79B3" w:rsidRPr="00FC0B86">
        <w:rPr>
          <w:rFonts w:ascii="Century Gothic" w:hAnsi="Century Gothic"/>
        </w:rPr>
        <w:t>I</w:t>
      </w:r>
      <w:r w:rsidRPr="00FC0B86">
        <w:rPr>
          <w:rFonts w:ascii="Century Gothic" w:hAnsi="Century Gothic"/>
        </w:rPr>
        <w:t>NNOMINADA.</w:t>
      </w:r>
    </w:p>
    <w:p w14:paraId="035C3E82" w14:textId="25B1A6B3" w:rsidR="00906282" w:rsidRPr="00FC0B86" w:rsidRDefault="00906282" w:rsidP="00906282">
      <w:pPr>
        <w:spacing w:line="360" w:lineRule="auto"/>
        <w:rPr>
          <w:rFonts w:ascii="Century Gothic" w:hAnsi="Century Gothic"/>
        </w:rPr>
      </w:pPr>
      <w:r w:rsidRPr="00FC0B86">
        <w:rPr>
          <w:rFonts w:ascii="Century Gothic" w:hAnsi="Century Gothic"/>
          <w:b/>
        </w:rPr>
        <w:t>Siniestro</w:t>
      </w:r>
      <w:r w:rsidRPr="00FC0B86">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8B385B" w:rsidRPr="00FC0B86">
            <w:rPr>
              <w:rStyle w:val="Estilo3"/>
              <w:b w:val="0"/>
              <w:bCs/>
            </w:rPr>
            <w:t>10257700</w:t>
          </w:r>
          <w:r w:rsidRPr="00FC0B86">
            <w:rPr>
              <w:rStyle w:val="Estilo3"/>
              <w:b w:val="0"/>
              <w:bCs/>
            </w:rPr>
            <w:t xml:space="preserve"> </w:t>
          </w:r>
        </w:sdtContent>
      </w:sdt>
    </w:p>
    <w:p w14:paraId="04D6BA07" w14:textId="0D434301" w:rsidR="00906282" w:rsidRPr="00FC0B86" w:rsidRDefault="00906282" w:rsidP="00906282">
      <w:pPr>
        <w:spacing w:line="360" w:lineRule="auto"/>
        <w:rPr>
          <w:rFonts w:ascii="Century Gothic" w:hAnsi="Century Gothic"/>
        </w:rPr>
      </w:pPr>
      <w:r w:rsidRPr="00FC0B86">
        <w:rPr>
          <w:rFonts w:ascii="Century Gothic" w:hAnsi="Century Gothic"/>
          <w:b/>
        </w:rPr>
        <w:t>Póliza</w:t>
      </w:r>
      <w:r w:rsidRPr="00FC0B8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5245BF" w:rsidRPr="00FC0B86">
            <w:rPr>
              <w:rStyle w:val="Estilo3"/>
              <w:b w:val="0"/>
              <w:bCs/>
            </w:rPr>
            <w:t>AA195705</w:t>
          </w:r>
        </w:sdtContent>
      </w:sdt>
    </w:p>
    <w:p w14:paraId="3CAB45E1" w14:textId="3E616718" w:rsidR="00906282" w:rsidRPr="00FC0B86" w:rsidRDefault="00906282" w:rsidP="00906282">
      <w:pPr>
        <w:spacing w:line="360" w:lineRule="auto"/>
        <w:rPr>
          <w:rFonts w:ascii="Century Gothic" w:hAnsi="Century Gothic"/>
        </w:rPr>
      </w:pPr>
      <w:r w:rsidRPr="00FC0B86">
        <w:rPr>
          <w:rFonts w:ascii="Century Gothic" w:hAnsi="Century Gothic"/>
          <w:b/>
        </w:rPr>
        <w:t>Vigencia Afectada</w:t>
      </w:r>
      <w:r w:rsidRPr="00FC0B86">
        <w:rPr>
          <w:rFonts w:ascii="Century Gothic" w:hAnsi="Century Gothic"/>
        </w:rPr>
        <w:t xml:space="preserve">: </w:t>
      </w:r>
      <w:sdt>
        <w:sdtPr>
          <w:rPr>
            <w:rFonts w:ascii="Century Gothic" w:hAnsi="Century Gothic"/>
          </w:rPr>
          <w:id w:val="-878393758"/>
          <w:placeholder>
            <w:docPart w:val="0840BF8604D14C35874A893D390FBAE9"/>
          </w:placeholder>
          <w:date w:fullDate="2022-02-22T00:00:00Z">
            <w:dateFormat w:val="dd/MM/yyyy"/>
            <w:lid w:val="es-CO"/>
            <w:storeMappedDataAs w:val="dateTime"/>
            <w:calendar w:val="gregorian"/>
          </w:date>
        </w:sdtPr>
        <w:sdtContent>
          <w:r w:rsidR="00061440" w:rsidRPr="00FC0B86">
            <w:rPr>
              <w:rFonts w:ascii="Century Gothic" w:hAnsi="Century Gothic"/>
            </w:rPr>
            <w:t>22/02/2022</w:t>
          </w:r>
        </w:sdtContent>
      </w:sdt>
      <w:r w:rsidRPr="00FC0B86">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061440" w:rsidRPr="00FC0B86">
            <w:rPr>
              <w:rFonts w:ascii="Century Gothic" w:hAnsi="Century Gothic"/>
            </w:rPr>
            <w:t>27/09/2022</w:t>
          </w:r>
        </w:sdtContent>
      </w:sdt>
    </w:p>
    <w:p w14:paraId="11A4B071" w14:textId="5D996FBA" w:rsidR="00906282" w:rsidRPr="00FC0B86" w:rsidRDefault="00906282" w:rsidP="00906282">
      <w:pPr>
        <w:spacing w:line="360" w:lineRule="auto"/>
        <w:rPr>
          <w:rFonts w:ascii="Century Gothic" w:hAnsi="Century Gothic"/>
        </w:rPr>
      </w:pPr>
      <w:r w:rsidRPr="00FC0B86">
        <w:rPr>
          <w:rFonts w:ascii="Century Gothic" w:hAnsi="Century Gothic"/>
          <w:b/>
        </w:rPr>
        <w:t>Ramo</w:t>
      </w:r>
      <w:r w:rsidRPr="00FC0B86">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F87CC6" w:rsidRPr="00FC0B86">
            <w:rPr>
              <w:rStyle w:val="Estilo3"/>
              <w:b w:val="0"/>
            </w:rPr>
            <w:t>RCE</w:t>
          </w:r>
        </w:sdtContent>
      </w:sdt>
    </w:p>
    <w:p w14:paraId="7611A182" w14:textId="6553C38B" w:rsidR="00906282" w:rsidRPr="00FC0B86" w:rsidRDefault="00906282" w:rsidP="00906282">
      <w:pPr>
        <w:spacing w:line="360" w:lineRule="auto"/>
        <w:rPr>
          <w:rFonts w:ascii="Century Gothic" w:hAnsi="Century Gothic"/>
        </w:rPr>
      </w:pPr>
      <w:r w:rsidRPr="00FC0B86">
        <w:rPr>
          <w:rFonts w:ascii="Century Gothic" w:hAnsi="Century Gothic"/>
          <w:b/>
        </w:rPr>
        <w:t>Agencia Expide</w:t>
      </w:r>
      <w:r w:rsidRPr="00FC0B8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F87CC6" w:rsidRPr="00FC0B86">
            <w:rPr>
              <w:rStyle w:val="Estilo3"/>
              <w:b w:val="0"/>
            </w:rPr>
            <w:t>100001 BOGOTA CALLE 100</w:t>
          </w:r>
        </w:sdtContent>
      </w:sdt>
    </w:p>
    <w:p w14:paraId="1D6DFCDA" w14:textId="7ECEE590" w:rsidR="00906282" w:rsidRPr="00FC0B86" w:rsidRDefault="00906282" w:rsidP="00906282">
      <w:pPr>
        <w:spacing w:line="360" w:lineRule="auto"/>
        <w:rPr>
          <w:rFonts w:ascii="Century Gothic" w:hAnsi="Century Gothic"/>
        </w:rPr>
      </w:pPr>
      <w:r w:rsidRPr="00FC0B86">
        <w:rPr>
          <w:rFonts w:ascii="Century Gothic" w:hAnsi="Century Gothic"/>
          <w:b/>
        </w:rPr>
        <w:t>Placa</w:t>
      </w:r>
      <w:r w:rsidRPr="00FC0B8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FA79B3" w:rsidRPr="00FC0B86">
            <w:rPr>
              <w:rStyle w:val="Estilo3"/>
              <w:b w:val="0"/>
              <w:bCs/>
            </w:rPr>
            <w:t>N/A</w:t>
          </w:r>
          <w:r w:rsidRPr="00FC0B86">
            <w:rPr>
              <w:rStyle w:val="Estilo3"/>
              <w:b w:val="0"/>
              <w:bCs/>
            </w:rPr>
            <w:t xml:space="preserve"> </w:t>
          </w:r>
        </w:sdtContent>
      </w:sdt>
    </w:p>
    <w:p w14:paraId="1F89FE28" w14:textId="1CF3E365" w:rsidR="00906282" w:rsidRPr="00FC0B86" w:rsidRDefault="00906282" w:rsidP="00906282">
      <w:pPr>
        <w:spacing w:line="360" w:lineRule="auto"/>
        <w:rPr>
          <w:rFonts w:ascii="Century Gothic" w:hAnsi="Century Gothic"/>
        </w:rPr>
      </w:pPr>
      <w:r w:rsidRPr="00FC0B86">
        <w:rPr>
          <w:rFonts w:ascii="Century Gothic" w:hAnsi="Century Gothic"/>
          <w:b/>
        </w:rPr>
        <w:t>Valor Asegurado</w:t>
      </w:r>
      <w:r w:rsidRPr="00FC0B8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A79B3" w:rsidRPr="00FC0B86">
            <w:rPr>
              <w:rFonts w:ascii="Century Gothic" w:hAnsi="Century Gothic"/>
            </w:rPr>
            <w:t>$4.750.000.000</w:t>
          </w:r>
        </w:sdtContent>
      </w:sdt>
    </w:p>
    <w:p w14:paraId="0BE7F889" w14:textId="7903775D" w:rsidR="00906282" w:rsidRPr="00FC0B86" w:rsidRDefault="00906282" w:rsidP="00906282">
      <w:pPr>
        <w:spacing w:line="360" w:lineRule="auto"/>
        <w:rPr>
          <w:rFonts w:ascii="Century Gothic" w:hAnsi="Century Gothic"/>
        </w:rPr>
      </w:pPr>
      <w:r w:rsidRPr="00FC0B86">
        <w:rPr>
          <w:rFonts w:ascii="Century Gothic" w:hAnsi="Century Gothic"/>
          <w:b/>
        </w:rPr>
        <w:t>Deducible</w:t>
      </w:r>
      <w:r w:rsidRPr="00FC0B86">
        <w:rPr>
          <w:rFonts w:ascii="Century Gothic" w:hAnsi="Century Gothic"/>
        </w:rPr>
        <w:t xml:space="preserve">:  </w:t>
      </w:r>
      <w:r w:rsidR="00FA79B3" w:rsidRPr="00FC0B86">
        <w:rPr>
          <w:rFonts w:ascii="Century Gothic" w:hAnsi="Century Gothic"/>
        </w:rPr>
        <w:t>10% mínimo $150.000.000</w:t>
      </w:r>
    </w:p>
    <w:p w14:paraId="5D36557E" w14:textId="628A1C7B" w:rsidR="00906282" w:rsidRPr="00FC0B86" w:rsidRDefault="00906282" w:rsidP="00906282">
      <w:pPr>
        <w:spacing w:line="360" w:lineRule="auto"/>
        <w:rPr>
          <w:rFonts w:ascii="Century Gothic" w:hAnsi="Century Gothic"/>
        </w:rPr>
      </w:pPr>
      <w:r w:rsidRPr="00FC0B86">
        <w:rPr>
          <w:rFonts w:ascii="Century Gothic" w:hAnsi="Century Gothic"/>
          <w:b/>
        </w:rPr>
        <w:t>Exceso</w:t>
      </w:r>
      <w:r w:rsidRPr="00FC0B86">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FC0B86">
            <w:rPr>
              <w:rStyle w:val="Estilo3"/>
              <w:b w:val="0"/>
              <w:bCs/>
            </w:rPr>
            <w:t>NO</w:t>
          </w:r>
        </w:sdtContent>
      </w:sdt>
    </w:p>
    <w:p w14:paraId="087AA5AF" w14:textId="77777777" w:rsidR="00906282" w:rsidRPr="00FC0B86" w:rsidRDefault="00906282" w:rsidP="00906282">
      <w:pPr>
        <w:spacing w:line="360" w:lineRule="auto"/>
        <w:rPr>
          <w:rFonts w:ascii="Century Gothic" w:hAnsi="Century Gothic"/>
        </w:rPr>
      </w:pPr>
      <w:r w:rsidRPr="00FC0B86">
        <w:rPr>
          <w:rFonts w:ascii="Century Gothic" w:hAnsi="Century Gothic"/>
          <w:b/>
        </w:rPr>
        <w:t>Contingencia</w:t>
      </w:r>
      <w:r w:rsidRPr="00FC0B86">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Pr="00FC0B86">
            <w:rPr>
              <w:rStyle w:val="Estilo3"/>
              <w:b w:val="0"/>
              <w:bCs/>
            </w:rPr>
            <w:t>PROBABLE</w:t>
          </w:r>
        </w:sdtContent>
      </w:sdt>
    </w:p>
    <w:p w14:paraId="6432D50F" w14:textId="77777777" w:rsidR="00AC00CB" w:rsidRPr="00FC0B86" w:rsidRDefault="00AC00CB" w:rsidP="00906282">
      <w:pPr>
        <w:spacing w:line="360" w:lineRule="auto"/>
        <w:jc w:val="both"/>
        <w:rPr>
          <w:rFonts w:ascii="Century Gothic" w:hAnsi="Century Gothic"/>
          <w:b/>
        </w:rPr>
      </w:pPr>
      <w:r w:rsidRPr="00FC0B86">
        <w:rPr>
          <w:rFonts w:ascii="Century Gothic" w:hAnsi="Century Gothic"/>
          <w:b/>
          <w:bCs/>
        </w:rPr>
        <w:t>Se precisa que las contingencias únicamente pueden ser PROBABLES O REMOTAS</w:t>
      </w:r>
    </w:p>
    <w:p w14:paraId="0D2479EB" w14:textId="63C6DE62" w:rsidR="00906282" w:rsidRPr="00FC0B86" w:rsidRDefault="00906282" w:rsidP="00906282">
      <w:pPr>
        <w:spacing w:line="360" w:lineRule="auto"/>
        <w:jc w:val="both"/>
        <w:rPr>
          <w:rFonts w:ascii="Century Gothic" w:hAnsi="Century Gothic"/>
        </w:rPr>
      </w:pPr>
      <w:r w:rsidRPr="00FC0B86">
        <w:rPr>
          <w:rFonts w:ascii="Century Gothic" w:hAnsi="Century Gothic"/>
          <w:b/>
        </w:rPr>
        <w:t>Reserva sugerida</w:t>
      </w:r>
      <w:r w:rsidRPr="00FC0B86">
        <w:rPr>
          <w:rFonts w:ascii="Century Gothic" w:hAnsi="Century Gothic"/>
        </w:rPr>
        <w:t>:</w:t>
      </w:r>
      <w:r w:rsidR="00AC00CB" w:rsidRPr="00FC0B86">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FC0B86">
            <w:rPr>
              <w:rStyle w:val="Estilo3"/>
              <w:b w:val="0"/>
              <w:bCs/>
            </w:rPr>
            <w:t>$</w:t>
          </w:r>
          <w:r w:rsidR="00AC23DC" w:rsidRPr="00FC0B86">
            <w:rPr>
              <w:rStyle w:val="Estilo3"/>
              <w:b w:val="0"/>
              <w:bCs/>
            </w:rPr>
            <w:t>96</w:t>
          </w:r>
          <w:r w:rsidR="00061440" w:rsidRPr="00FC0B86">
            <w:rPr>
              <w:rStyle w:val="Estilo3"/>
              <w:b w:val="0"/>
              <w:bCs/>
            </w:rPr>
            <w:t xml:space="preserve">.000.000. </w:t>
          </w:r>
          <w:r w:rsidR="00061440" w:rsidRPr="00FC0B86">
            <w:rPr>
              <w:rStyle w:val="Estilo3"/>
              <w:b w:val="0"/>
              <w:bCs/>
              <w:caps w:val="0"/>
            </w:rPr>
            <w:t xml:space="preserve">correspondiente al 80% del valor de la liquidación objetiva. </w:t>
          </w:r>
        </w:sdtContent>
      </w:sdt>
    </w:p>
    <w:p w14:paraId="1D972186" w14:textId="6D1B2437" w:rsidR="00906282" w:rsidRPr="00FC0B86" w:rsidRDefault="00906282" w:rsidP="3BF4C4F3">
      <w:pPr>
        <w:spacing w:line="360" w:lineRule="auto"/>
        <w:jc w:val="both"/>
        <w:rPr>
          <w:rFonts w:ascii="Century Gothic" w:hAnsi="Century Gothic"/>
        </w:rPr>
      </w:pPr>
      <w:r w:rsidRPr="00FC0B86">
        <w:rPr>
          <w:rFonts w:ascii="Century Gothic" w:hAnsi="Century Gothic"/>
          <w:b/>
          <w:bCs/>
        </w:rPr>
        <w:t>Concepto del Apoderado designado para el caso</w:t>
      </w:r>
      <w:r w:rsidRPr="00FC0B86">
        <w:rPr>
          <w:rFonts w:ascii="Century Gothic" w:hAnsi="Century Gothic"/>
        </w:rPr>
        <w:t xml:space="preserve">:  </w:t>
      </w:r>
    </w:p>
    <w:p w14:paraId="4E2764C9" w14:textId="6B6C2249" w:rsidR="009A5987" w:rsidRPr="00FC0B86" w:rsidRDefault="00061440" w:rsidP="00246AFD">
      <w:pPr>
        <w:spacing w:line="360" w:lineRule="auto"/>
        <w:jc w:val="both"/>
        <w:rPr>
          <w:rFonts w:ascii="Century Gothic" w:hAnsi="Century Gothic"/>
        </w:rPr>
      </w:pPr>
      <w:r w:rsidRPr="00FC0B86">
        <w:rPr>
          <w:rFonts w:ascii="Century Gothic" w:hAnsi="Century Gothic"/>
        </w:rPr>
        <w:lastRenderedPageBreak/>
        <w:t xml:space="preserve">La contingencia se califica como PROBABLE, toda vez que la Póliza presta cobertura material y temporal, </w:t>
      </w:r>
      <w:r w:rsidR="009A5987" w:rsidRPr="00FC0B86">
        <w:rPr>
          <w:rFonts w:ascii="Century Gothic" w:hAnsi="Century Gothic"/>
        </w:rPr>
        <w:t xml:space="preserve">y adicionalmente existen elementos de prueba que podrían determinar la falla médica en cabeza de la clínica prestadora del servicio. </w:t>
      </w:r>
    </w:p>
    <w:p w14:paraId="65EB7ABF" w14:textId="77777777" w:rsidR="00080917" w:rsidRPr="00FC0B86" w:rsidRDefault="00061440" w:rsidP="00246AFD">
      <w:pPr>
        <w:spacing w:line="360" w:lineRule="auto"/>
        <w:jc w:val="both"/>
        <w:rPr>
          <w:rFonts w:ascii="Century Gothic" w:hAnsi="Century Gothic"/>
        </w:rPr>
      </w:pPr>
      <w:r w:rsidRPr="00FC0B86">
        <w:rPr>
          <w:rFonts w:ascii="Century Gothic" w:hAnsi="Century Gothic"/>
        </w:rPr>
        <w:t>Lo primero que debe tomarse en consideración es que la Póliza R.C. Profesional Clínicas No. AA195705 cuyo asegurado es la Entidad Promotora de Salud Sanitas S.A.S., presta cobertura material y temporal de conformidad con los hechos y pretensiones expuestas en el libelo de la demanda. Frente a la cobertura temporal</w:t>
      </w:r>
      <w:r w:rsidR="009A5987" w:rsidRPr="00FC0B86">
        <w:rPr>
          <w:rFonts w:ascii="Century Gothic" w:hAnsi="Century Gothic"/>
        </w:rPr>
        <w:t>,</w:t>
      </w:r>
      <w:r w:rsidRPr="00FC0B86">
        <w:rPr>
          <w:rFonts w:ascii="Century Gothic" w:hAnsi="Century Gothic"/>
        </w:rPr>
        <w:t xml:space="preserve"> debe señalarse que</w:t>
      </w:r>
      <w:r w:rsidR="009A5987" w:rsidRPr="00FC0B86">
        <w:rPr>
          <w:rFonts w:ascii="Century Gothic" w:hAnsi="Century Gothic"/>
        </w:rPr>
        <w:t xml:space="preserve"> se trata de una póliza contratada bajo la modalidad </w:t>
      </w:r>
      <w:proofErr w:type="spellStart"/>
      <w:r w:rsidR="009A5987" w:rsidRPr="00FC0B86">
        <w:rPr>
          <w:rFonts w:ascii="Century Gothic" w:hAnsi="Century Gothic"/>
        </w:rPr>
        <w:t>claims</w:t>
      </w:r>
      <w:proofErr w:type="spellEnd"/>
      <w:r w:rsidR="009A5987" w:rsidRPr="00FC0B86">
        <w:rPr>
          <w:rFonts w:ascii="Century Gothic" w:hAnsi="Century Gothic"/>
        </w:rPr>
        <w:t xml:space="preserve"> </w:t>
      </w:r>
      <w:proofErr w:type="spellStart"/>
      <w:r w:rsidR="009A5987" w:rsidRPr="00FC0B86">
        <w:rPr>
          <w:rFonts w:ascii="Century Gothic" w:hAnsi="Century Gothic"/>
        </w:rPr>
        <w:t>made</w:t>
      </w:r>
      <w:proofErr w:type="spellEnd"/>
      <w:r w:rsidR="009A5987" w:rsidRPr="00FC0B86">
        <w:rPr>
          <w:rFonts w:ascii="Century Gothic" w:hAnsi="Century Gothic"/>
        </w:rPr>
        <w:t>, con fecha de retroactivida</w:t>
      </w:r>
      <w:r w:rsidR="00080917" w:rsidRPr="00FC0B86">
        <w:rPr>
          <w:rFonts w:ascii="Century Gothic" w:hAnsi="Century Gothic"/>
        </w:rPr>
        <w:t>d</w:t>
      </w:r>
      <w:r w:rsidR="009A5987" w:rsidRPr="00FC0B86">
        <w:rPr>
          <w:rFonts w:ascii="Century Gothic" w:hAnsi="Century Gothic"/>
        </w:rPr>
        <w:t xml:space="preserve"> del 01 de julio de 2006. Asi las cosas, el hecho, esto es el deceso de la menor </w:t>
      </w:r>
      <w:proofErr w:type="spellStart"/>
      <w:r w:rsidR="009A5987" w:rsidRPr="00FC0B86">
        <w:rPr>
          <w:rFonts w:ascii="Century Gothic" w:hAnsi="Century Gothic"/>
        </w:rPr>
        <w:t>Brillyd</w:t>
      </w:r>
      <w:proofErr w:type="spellEnd"/>
      <w:r w:rsidR="009A5987" w:rsidRPr="00FC0B86">
        <w:rPr>
          <w:rFonts w:ascii="Century Gothic" w:hAnsi="Century Gothic"/>
        </w:rPr>
        <w:t xml:space="preserve"> Estefany Rodríguez ocurrió el 22 de octubre de 2019, es decir, durante el periodo de retroactividad comprendido en la póliza. Adicionalmente, la reclamación se entiende presentada con la audiencia de conciliación </w:t>
      </w:r>
      <w:r w:rsidR="00080917" w:rsidRPr="00FC0B86">
        <w:rPr>
          <w:rFonts w:ascii="Century Gothic" w:hAnsi="Century Gothic"/>
        </w:rPr>
        <w:t xml:space="preserve">que se surtió el día 13 de julio de 2022, fecha que se encuentra dentro de la vigencia comprendida entre el 22 de febrero de 2022 hasta el 27 de septiembre de 2022. Aunado a ello presta cobertura material </w:t>
      </w:r>
      <w:r w:rsidR="00246AFD" w:rsidRPr="00FC0B86">
        <w:rPr>
          <w:rFonts w:ascii="Century Gothic" w:hAnsi="Century Gothic"/>
        </w:rPr>
        <w:t xml:space="preserve">en tanto </w:t>
      </w:r>
      <w:r w:rsidR="00080917" w:rsidRPr="00FC0B86">
        <w:rPr>
          <w:rFonts w:ascii="Century Gothic" w:hAnsi="Century Gothic"/>
        </w:rPr>
        <w:t>ampara la responsabilidad civil profesional médica, pretensión que se le endilga al asegurado.</w:t>
      </w:r>
    </w:p>
    <w:p w14:paraId="33AA71F5" w14:textId="5FA767D4" w:rsidR="00080917" w:rsidRPr="00FC0B86" w:rsidRDefault="00246AFD" w:rsidP="00246AFD">
      <w:pPr>
        <w:spacing w:line="360" w:lineRule="auto"/>
        <w:jc w:val="both"/>
        <w:rPr>
          <w:rFonts w:ascii="Century Gothic" w:hAnsi="Century Gothic"/>
        </w:rPr>
      </w:pPr>
      <w:r w:rsidRPr="00FC0B86">
        <w:rPr>
          <w:rFonts w:ascii="Century Gothic" w:hAnsi="Century Gothic"/>
        </w:rPr>
        <w:t xml:space="preserve">Por otro lado, frente a la </w:t>
      </w:r>
      <w:r w:rsidR="00080917" w:rsidRPr="00FC0B86">
        <w:rPr>
          <w:rFonts w:ascii="Century Gothic" w:hAnsi="Century Gothic"/>
        </w:rPr>
        <w:t>responsabilidad del asegurado</w:t>
      </w:r>
      <w:r w:rsidRPr="00FC0B86">
        <w:rPr>
          <w:rFonts w:ascii="Century Gothic" w:hAnsi="Century Gothic"/>
        </w:rPr>
        <w:t xml:space="preserve">, debe decirse que </w:t>
      </w:r>
      <w:r w:rsidR="00080917" w:rsidRPr="00FC0B86">
        <w:rPr>
          <w:rFonts w:ascii="Century Gothic" w:hAnsi="Century Gothic"/>
        </w:rPr>
        <w:t xml:space="preserve">si bien la EPS cumplió con los procedimientos administrativos, lo cierto es que si existen documentos clínicos de las atenciones post operatorias dispensadas a la menor en la Fundación Hospital Pediátrico – </w:t>
      </w:r>
      <w:proofErr w:type="spellStart"/>
      <w:r w:rsidR="00080917" w:rsidRPr="00FC0B86">
        <w:rPr>
          <w:rFonts w:ascii="Century Gothic" w:hAnsi="Century Gothic"/>
        </w:rPr>
        <w:t>Homi</w:t>
      </w:r>
      <w:proofErr w:type="spellEnd"/>
      <w:r w:rsidR="00080917" w:rsidRPr="00FC0B86">
        <w:rPr>
          <w:rFonts w:ascii="Century Gothic" w:hAnsi="Century Gothic"/>
        </w:rPr>
        <w:t xml:space="preserve">, en las cuales se refleja que, ante las complicaciones sufridas </w:t>
      </w:r>
      <w:r w:rsidRPr="00FC0B86">
        <w:rPr>
          <w:rFonts w:ascii="Century Gothic" w:hAnsi="Century Gothic"/>
        </w:rPr>
        <w:t xml:space="preserve">por descompensación ventilatoria que exigía un cambio de </w:t>
      </w:r>
      <w:r w:rsidR="006A1E73" w:rsidRPr="00FC0B86">
        <w:rPr>
          <w:rFonts w:ascii="Century Gothic" w:hAnsi="Century Gothic"/>
        </w:rPr>
        <w:t>cánula</w:t>
      </w:r>
      <w:r w:rsidRPr="00FC0B86">
        <w:rPr>
          <w:rFonts w:ascii="Century Gothic" w:hAnsi="Century Gothic"/>
        </w:rPr>
        <w:t xml:space="preserve"> de su traqueostomía, se </w:t>
      </w:r>
      <w:r w:rsidR="006A1E73" w:rsidRPr="00FC0B86">
        <w:rPr>
          <w:rFonts w:ascii="Century Gothic" w:hAnsi="Century Gothic"/>
        </w:rPr>
        <w:t>consignó</w:t>
      </w:r>
      <w:r w:rsidRPr="00FC0B86">
        <w:rPr>
          <w:rFonts w:ascii="Century Gothic" w:hAnsi="Century Gothic"/>
        </w:rPr>
        <w:t xml:space="preserve"> que la institución de salud no contaba con la medida requerida. Esta situación es un eje central de la </w:t>
      </w:r>
      <w:r w:rsidR="006A1E73" w:rsidRPr="00FC0B86">
        <w:rPr>
          <w:rFonts w:ascii="Century Gothic" w:hAnsi="Century Gothic"/>
        </w:rPr>
        <w:t>imputación</w:t>
      </w:r>
      <w:r w:rsidRPr="00FC0B86">
        <w:rPr>
          <w:rFonts w:ascii="Century Gothic" w:hAnsi="Century Gothic"/>
        </w:rPr>
        <w:t xml:space="preserve"> que realiza la parte demandante, dejando en claro que </w:t>
      </w:r>
      <w:r w:rsidR="005F1F54" w:rsidRPr="00FC0B86">
        <w:rPr>
          <w:rFonts w:ascii="Century Gothic" w:hAnsi="Century Gothic"/>
        </w:rPr>
        <w:t>la</w:t>
      </w:r>
      <w:r w:rsidR="00080917" w:rsidRPr="00FC0B86">
        <w:rPr>
          <w:rFonts w:ascii="Century Gothic" w:hAnsi="Century Gothic"/>
        </w:rPr>
        <w:t xml:space="preserve"> clínica</w:t>
      </w:r>
      <w:r w:rsidR="005F1F54" w:rsidRPr="00FC0B86">
        <w:rPr>
          <w:rFonts w:ascii="Century Gothic" w:hAnsi="Century Gothic"/>
        </w:rPr>
        <w:t xml:space="preserve"> </w:t>
      </w:r>
      <w:r w:rsidRPr="00FC0B86">
        <w:rPr>
          <w:rFonts w:ascii="Century Gothic" w:hAnsi="Century Gothic"/>
        </w:rPr>
        <w:t xml:space="preserve">no </w:t>
      </w:r>
      <w:r w:rsidR="006A1E73" w:rsidRPr="00FC0B86">
        <w:rPr>
          <w:rFonts w:ascii="Century Gothic" w:hAnsi="Century Gothic"/>
        </w:rPr>
        <w:t>desconoció</w:t>
      </w:r>
      <w:r w:rsidRPr="00FC0B86">
        <w:rPr>
          <w:rFonts w:ascii="Century Gothic" w:hAnsi="Century Gothic"/>
        </w:rPr>
        <w:t xml:space="preserve"> dicha </w:t>
      </w:r>
      <w:r w:rsidR="006A1E73" w:rsidRPr="00FC0B86">
        <w:rPr>
          <w:rFonts w:ascii="Century Gothic" w:hAnsi="Century Gothic"/>
        </w:rPr>
        <w:t>circunstancia</w:t>
      </w:r>
      <w:r w:rsidR="005F1F54" w:rsidRPr="00FC0B86">
        <w:rPr>
          <w:rFonts w:ascii="Century Gothic" w:hAnsi="Century Gothic"/>
        </w:rPr>
        <w:t xml:space="preserve"> puntual</w:t>
      </w:r>
      <w:r w:rsidR="006A1E73" w:rsidRPr="00FC0B86">
        <w:rPr>
          <w:rFonts w:ascii="Century Gothic" w:hAnsi="Century Gothic"/>
        </w:rPr>
        <w:t>,</w:t>
      </w:r>
      <w:r w:rsidRPr="00FC0B86">
        <w:rPr>
          <w:rFonts w:ascii="Century Gothic" w:hAnsi="Century Gothic"/>
        </w:rPr>
        <w:t xml:space="preserve"> </w:t>
      </w:r>
      <w:r w:rsidR="00080917" w:rsidRPr="00FC0B86">
        <w:rPr>
          <w:rFonts w:ascii="Century Gothic" w:hAnsi="Century Gothic"/>
        </w:rPr>
        <w:t xml:space="preserve">lo cual probablemente incidirá de manera directa en el análisis de responsabilidad que realice el juez. </w:t>
      </w:r>
    </w:p>
    <w:p w14:paraId="29E8ED4E" w14:textId="50EA4050" w:rsidR="006A1E73" w:rsidRPr="00FC0B86" w:rsidRDefault="006A1E73" w:rsidP="00246AFD">
      <w:pPr>
        <w:spacing w:line="360" w:lineRule="auto"/>
        <w:jc w:val="both"/>
        <w:rPr>
          <w:rFonts w:ascii="Century Gothic" w:hAnsi="Century Gothic"/>
        </w:rPr>
      </w:pPr>
      <w:r w:rsidRPr="00FC0B86">
        <w:rPr>
          <w:rFonts w:ascii="Century Gothic" w:hAnsi="Century Gothic"/>
        </w:rPr>
        <w:t>Todo lo anterior, sin perjuicio del carácter contingente del proceso.</w:t>
      </w:r>
    </w:p>
    <w:p w14:paraId="49EDDE08" w14:textId="5793F3F4" w:rsidR="00906282" w:rsidRPr="00FC0B86" w:rsidRDefault="00906282" w:rsidP="00906282">
      <w:pPr>
        <w:spacing w:line="360" w:lineRule="auto"/>
        <w:rPr>
          <w:rFonts w:ascii="Century Gothic" w:hAnsi="Century Gothic"/>
          <w:bCs/>
        </w:rPr>
      </w:pPr>
      <w:r w:rsidRPr="00FC0B86">
        <w:rPr>
          <w:rFonts w:ascii="Century Gothic" w:hAnsi="Century Gothic"/>
          <w:b/>
          <w:bCs/>
        </w:rPr>
        <w:t>Solicitud Autorización</w:t>
      </w:r>
      <w:r w:rsidR="00AC00CB" w:rsidRPr="00FC0B86">
        <w:rPr>
          <w:rFonts w:ascii="Century Gothic" w:hAnsi="Century Gothic"/>
          <w:b/>
          <w:bCs/>
        </w:rPr>
        <w:t xml:space="preserve">: </w:t>
      </w:r>
      <w:r w:rsidRPr="00FC0B86">
        <w:rPr>
          <w:rFonts w:ascii="Century Gothic" w:hAnsi="Century Gothic"/>
          <w:b/>
          <w:bCs/>
        </w:rPr>
        <w:t>Se deben indicar los argumentos que justifican la solicitud</w:t>
      </w:r>
    </w:p>
    <w:p w14:paraId="30C958B3" w14:textId="7572A316" w:rsidR="00906282" w:rsidRPr="00FC0B86" w:rsidRDefault="00906282" w:rsidP="00906282">
      <w:pPr>
        <w:spacing w:line="360" w:lineRule="auto"/>
        <w:rPr>
          <w:rFonts w:ascii="Century Gothic" w:hAnsi="Century Gothic"/>
          <w:bCs/>
        </w:rPr>
      </w:pPr>
      <w:r w:rsidRPr="00FC0B86">
        <w:rPr>
          <w:rFonts w:ascii="Century Gothic" w:hAnsi="Century Gothic"/>
          <w:bCs/>
        </w:rPr>
        <w:t xml:space="preserve">Firma: </w:t>
      </w:r>
      <w:r w:rsidR="006A1E73" w:rsidRPr="00FC0B86">
        <w:rPr>
          <w:rFonts w:ascii="Century Gothic" w:hAnsi="Century Gothic"/>
          <w:bCs/>
        </w:rPr>
        <w:t>CEFZ</w:t>
      </w:r>
    </w:p>
    <w:p w14:paraId="06526756" w14:textId="34471DA3" w:rsidR="000F0821" w:rsidRPr="00080917" w:rsidRDefault="006A1E73" w:rsidP="00080917">
      <w:pPr>
        <w:spacing w:after="0" w:line="360" w:lineRule="auto"/>
        <w:jc w:val="both"/>
        <w:rPr>
          <w:rFonts w:ascii="Century Gothic" w:hAnsi="Century Gothic" w:cs="Arial"/>
          <w:bCs/>
        </w:rPr>
      </w:pPr>
      <w:r w:rsidRPr="00FC0B86">
        <w:rPr>
          <w:rFonts w:ascii="Century Gothic" w:hAnsi="Century Gothic" w:cs="Arial"/>
          <w:bCs/>
        </w:rPr>
        <w:t>GHA Abogados &amp; Asociados</w:t>
      </w:r>
    </w:p>
    <w:sectPr w:rsidR="000F0821" w:rsidRPr="0008091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F7314" w14:textId="77777777" w:rsidR="00AB1FC1" w:rsidRDefault="00AB1FC1" w:rsidP="00F361C1">
      <w:pPr>
        <w:spacing w:after="0" w:line="240" w:lineRule="auto"/>
      </w:pPr>
      <w:r>
        <w:separator/>
      </w:r>
    </w:p>
  </w:endnote>
  <w:endnote w:type="continuationSeparator" w:id="0">
    <w:p w14:paraId="37951680" w14:textId="77777777" w:rsidR="00AB1FC1" w:rsidRDefault="00AB1FC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4F4B" w14:textId="77777777" w:rsidR="00AB1FC1" w:rsidRDefault="00AB1FC1" w:rsidP="00F361C1">
      <w:pPr>
        <w:spacing w:after="0" w:line="240" w:lineRule="auto"/>
      </w:pPr>
      <w:r>
        <w:separator/>
      </w:r>
    </w:p>
  </w:footnote>
  <w:footnote w:type="continuationSeparator" w:id="0">
    <w:p w14:paraId="182E46A6" w14:textId="77777777" w:rsidR="00AB1FC1" w:rsidRDefault="00AB1FC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13846F5C">
          <wp:simplePos x="0" y="0"/>
          <wp:positionH relativeFrom="page">
            <wp:posOffset>-190500</wp:posOffset>
          </wp:positionH>
          <wp:positionV relativeFrom="paragraph">
            <wp:posOffset>-546735</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D0473"/>
    <w:multiLevelType w:val="hybridMultilevel"/>
    <w:tmpl w:val="72689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F8706F"/>
    <w:multiLevelType w:val="hybridMultilevel"/>
    <w:tmpl w:val="42B48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6478BA"/>
    <w:multiLevelType w:val="hybridMultilevel"/>
    <w:tmpl w:val="4D1822E2"/>
    <w:lvl w:ilvl="0" w:tplc="A5B825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BD428D"/>
    <w:multiLevelType w:val="hybridMultilevel"/>
    <w:tmpl w:val="8F48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25AF4"/>
    <w:multiLevelType w:val="hybridMultilevel"/>
    <w:tmpl w:val="59E61F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16cid:durableId="399793390">
    <w:abstractNumId w:val="0"/>
  </w:num>
  <w:num w:numId="2" w16cid:durableId="357507992">
    <w:abstractNumId w:val="3"/>
  </w:num>
  <w:num w:numId="3" w16cid:durableId="710499634">
    <w:abstractNumId w:val="7"/>
  </w:num>
  <w:num w:numId="4" w16cid:durableId="1597208418">
    <w:abstractNumId w:val="6"/>
  </w:num>
  <w:num w:numId="5" w16cid:durableId="1392340042">
    <w:abstractNumId w:val="8"/>
  </w:num>
  <w:num w:numId="6" w16cid:durableId="2031906975">
    <w:abstractNumId w:val="4"/>
  </w:num>
  <w:num w:numId="7" w16cid:durableId="416948119">
    <w:abstractNumId w:val="2"/>
  </w:num>
  <w:num w:numId="8" w16cid:durableId="50932179">
    <w:abstractNumId w:val="1"/>
  </w:num>
  <w:num w:numId="9" w16cid:durableId="666707160">
    <w:abstractNumId w:val="5"/>
  </w:num>
  <w:num w:numId="10" w16cid:durableId="978921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9C4"/>
    <w:rsid w:val="0004668B"/>
    <w:rsid w:val="00061440"/>
    <w:rsid w:val="00080917"/>
    <w:rsid w:val="000F0821"/>
    <w:rsid w:val="00137BCB"/>
    <w:rsid w:val="00154ADD"/>
    <w:rsid w:val="00180BDC"/>
    <w:rsid w:val="001835CD"/>
    <w:rsid w:val="00217582"/>
    <w:rsid w:val="00225AC7"/>
    <w:rsid w:val="00246AFD"/>
    <w:rsid w:val="002B795C"/>
    <w:rsid w:val="002E6DB4"/>
    <w:rsid w:val="00324D4B"/>
    <w:rsid w:val="003377F2"/>
    <w:rsid w:val="00365EBA"/>
    <w:rsid w:val="00375DE6"/>
    <w:rsid w:val="00396009"/>
    <w:rsid w:val="00401E93"/>
    <w:rsid w:val="00445B01"/>
    <w:rsid w:val="004C032C"/>
    <w:rsid w:val="005245BF"/>
    <w:rsid w:val="005411CD"/>
    <w:rsid w:val="00571E71"/>
    <w:rsid w:val="005F1F54"/>
    <w:rsid w:val="00641EA2"/>
    <w:rsid w:val="006755C8"/>
    <w:rsid w:val="006A1E73"/>
    <w:rsid w:val="00714849"/>
    <w:rsid w:val="00723CDA"/>
    <w:rsid w:val="00730BF7"/>
    <w:rsid w:val="00737BCD"/>
    <w:rsid w:val="007A003F"/>
    <w:rsid w:val="008178BA"/>
    <w:rsid w:val="00850544"/>
    <w:rsid w:val="008B385B"/>
    <w:rsid w:val="00906282"/>
    <w:rsid w:val="00931957"/>
    <w:rsid w:val="00993B48"/>
    <w:rsid w:val="009A5987"/>
    <w:rsid w:val="00A62588"/>
    <w:rsid w:val="00A71964"/>
    <w:rsid w:val="00AB1FC1"/>
    <w:rsid w:val="00AC00CB"/>
    <w:rsid w:val="00AC23DC"/>
    <w:rsid w:val="00AD28C5"/>
    <w:rsid w:val="00B4416D"/>
    <w:rsid w:val="00B95E36"/>
    <w:rsid w:val="00BC2E25"/>
    <w:rsid w:val="00C1627D"/>
    <w:rsid w:val="00C568C0"/>
    <w:rsid w:val="00CC7D61"/>
    <w:rsid w:val="00D02A7C"/>
    <w:rsid w:val="00D32DC1"/>
    <w:rsid w:val="00D670EF"/>
    <w:rsid w:val="00D87C88"/>
    <w:rsid w:val="00DE485D"/>
    <w:rsid w:val="00E445AE"/>
    <w:rsid w:val="00E75C23"/>
    <w:rsid w:val="00EB028B"/>
    <w:rsid w:val="00F361C1"/>
    <w:rsid w:val="00F61A01"/>
    <w:rsid w:val="00F770DB"/>
    <w:rsid w:val="00F87CC6"/>
    <w:rsid w:val="00FA79B3"/>
    <w:rsid w:val="00FC0B86"/>
    <w:rsid w:val="00FD222A"/>
    <w:rsid w:val="00FD590E"/>
    <w:rsid w:val="00FE01A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5B876DF9-5E31-43B9-9B54-AF20DC7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75C23"/>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75C23"/>
    <w:rPr>
      <w:lang w:val="es-CO"/>
    </w:rPr>
  </w:style>
  <w:style w:type="paragraph" w:customStyle="1" w:styleId="Default">
    <w:name w:val="Default"/>
    <w:rsid w:val="00E75C23"/>
    <w:pPr>
      <w:autoSpaceDE w:val="0"/>
      <w:autoSpaceDN w:val="0"/>
      <w:adjustRightInd w:val="0"/>
      <w:spacing w:after="0" w:line="240" w:lineRule="auto"/>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61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68248550">
      <w:bodyDiv w:val="1"/>
      <w:marLeft w:val="0"/>
      <w:marRight w:val="0"/>
      <w:marTop w:val="0"/>
      <w:marBottom w:val="0"/>
      <w:divBdr>
        <w:top w:val="none" w:sz="0" w:space="0" w:color="auto"/>
        <w:left w:val="none" w:sz="0" w:space="0" w:color="auto"/>
        <w:bottom w:val="none" w:sz="0" w:space="0" w:color="auto"/>
        <w:right w:val="none" w:sz="0" w:space="0" w:color="auto"/>
      </w:divBdr>
      <w:divsChild>
        <w:div w:id="511186648">
          <w:marLeft w:val="0"/>
          <w:marRight w:val="0"/>
          <w:marTop w:val="0"/>
          <w:marBottom w:val="0"/>
          <w:divBdr>
            <w:top w:val="none" w:sz="0" w:space="0" w:color="auto"/>
            <w:left w:val="none" w:sz="0" w:space="0" w:color="auto"/>
            <w:bottom w:val="none" w:sz="0" w:space="0" w:color="auto"/>
            <w:right w:val="none" w:sz="0" w:space="0" w:color="auto"/>
          </w:divBdr>
        </w:div>
        <w:div w:id="1665284625">
          <w:marLeft w:val="0"/>
          <w:marRight w:val="0"/>
          <w:marTop w:val="0"/>
          <w:marBottom w:val="0"/>
          <w:divBdr>
            <w:top w:val="none" w:sz="0" w:space="0" w:color="auto"/>
            <w:left w:val="none" w:sz="0" w:space="0" w:color="auto"/>
            <w:bottom w:val="none" w:sz="0" w:space="0" w:color="auto"/>
            <w:right w:val="none" w:sz="0" w:space="0" w:color="auto"/>
          </w:divBdr>
        </w:div>
        <w:div w:id="1226793604">
          <w:marLeft w:val="0"/>
          <w:marRight w:val="0"/>
          <w:marTop w:val="0"/>
          <w:marBottom w:val="0"/>
          <w:divBdr>
            <w:top w:val="none" w:sz="0" w:space="0" w:color="auto"/>
            <w:left w:val="none" w:sz="0" w:space="0" w:color="auto"/>
            <w:bottom w:val="none" w:sz="0" w:space="0" w:color="auto"/>
            <w:right w:val="none" w:sz="0" w:space="0" w:color="auto"/>
          </w:divBdr>
        </w:div>
        <w:div w:id="13465110">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22555403">
      <w:bodyDiv w:val="1"/>
      <w:marLeft w:val="0"/>
      <w:marRight w:val="0"/>
      <w:marTop w:val="0"/>
      <w:marBottom w:val="0"/>
      <w:divBdr>
        <w:top w:val="none" w:sz="0" w:space="0" w:color="auto"/>
        <w:left w:val="none" w:sz="0" w:space="0" w:color="auto"/>
        <w:bottom w:val="none" w:sz="0" w:space="0" w:color="auto"/>
        <w:right w:val="none" w:sz="0" w:space="0" w:color="auto"/>
      </w:divBdr>
      <w:divsChild>
        <w:div w:id="1934821055">
          <w:marLeft w:val="0"/>
          <w:marRight w:val="0"/>
          <w:marTop w:val="0"/>
          <w:marBottom w:val="0"/>
          <w:divBdr>
            <w:top w:val="none" w:sz="0" w:space="0" w:color="auto"/>
            <w:left w:val="none" w:sz="0" w:space="0" w:color="auto"/>
            <w:bottom w:val="none" w:sz="0" w:space="0" w:color="auto"/>
            <w:right w:val="none" w:sz="0" w:space="0" w:color="auto"/>
          </w:divBdr>
        </w:div>
        <w:div w:id="1405758227">
          <w:marLeft w:val="0"/>
          <w:marRight w:val="0"/>
          <w:marTop w:val="0"/>
          <w:marBottom w:val="0"/>
          <w:divBdr>
            <w:top w:val="none" w:sz="0" w:space="0" w:color="auto"/>
            <w:left w:val="none" w:sz="0" w:space="0" w:color="auto"/>
            <w:bottom w:val="none" w:sz="0" w:space="0" w:color="auto"/>
            <w:right w:val="none" w:sz="0" w:space="0" w:color="auto"/>
          </w:divBdr>
        </w:div>
        <w:div w:id="234707446">
          <w:marLeft w:val="0"/>
          <w:marRight w:val="0"/>
          <w:marTop w:val="0"/>
          <w:marBottom w:val="0"/>
          <w:divBdr>
            <w:top w:val="none" w:sz="0" w:space="0" w:color="auto"/>
            <w:left w:val="none" w:sz="0" w:space="0" w:color="auto"/>
            <w:bottom w:val="none" w:sz="0" w:space="0" w:color="auto"/>
            <w:right w:val="none" w:sz="0" w:space="0" w:color="auto"/>
          </w:divBdr>
        </w:div>
        <w:div w:id="1358774476">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59C4"/>
    <w:rsid w:val="000D4A8E"/>
    <w:rsid w:val="001835CD"/>
    <w:rsid w:val="002F214A"/>
    <w:rsid w:val="00365EBA"/>
    <w:rsid w:val="005411CD"/>
    <w:rsid w:val="008E566F"/>
    <w:rsid w:val="0097355E"/>
    <w:rsid w:val="00A804EA"/>
    <w:rsid w:val="00BE20CB"/>
    <w:rsid w:val="00C371EC"/>
    <w:rsid w:val="00E738C3"/>
    <w:rsid w:val="00E73B5E"/>
    <w:rsid w:val="00EB028B"/>
    <w:rsid w:val="00EB15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AC6BA-068B-430A-A2E8-BC38962B792C}">
  <ds:schemaRefs>
    <ds:schemaRef ds:uri="http://schemas.openxmlformats.org/officeDocument/2006/bibliography"/>
  </ds:schemaRefs>
</ds:datastoreItem>
</file>

<file path=customXml/itemProps4.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2024-08-05T14:12:00Z</dcterms:created>
  <dcterms:modified xsi:type="dcterms:W3CDTF">2024-08-05T14:12:00Z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