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D196F" w14:textId="77777777" w:rsidR="00156A0E" w:rsidRDefault="00156A0E" w:rsidP="00156A0E">
      <w:pPr>
        <w:pStyle w:val="Default"/>
        <w:jc w:val="center"/>
        <w:rPr>
          <w:b/>
          <w:bCs/>
          <w:sz w:val="22"/>
          <w:szCs w:val="22"/>
        </w:rPr>
      </w:pPr>
    </w:p>
    <w:p w14:paraId="5734C12F" w14:textId="50E69A5F" w:rsidR="00156A0E" w:rsidRDefault="00A864F1" w:rsidP="00156A0E">
      <w:pPr>
        <w:pStyle w:val="Default"/>
        <w:jc w:val="center"/>
        <w:rPr>
          <w:color w:val="0461C1"/>
          <w:sz w:val="20"/>
          <w:szCs w:val="20"/>
        </w:rPr>
      </w:pPr>
      <w:r>
        <w:rPr>
          <w:b/>
          <w:bCs/>
          <w:sz w:val="22"/>
          <w:szCs w:val="22"/>
        </w:rPr>
        <w:t xml:space="preserve">JUZGADO CINCUENTA Y CUATRO (54) CIVIL DEL CIRCUITO DE BOGOTÁ </w:t>
      </w:r>
      <w:hyperlink r:id="rId4" w:history="1">
        <w:r w:rsidR="00156A0E" w:rsidRPr="00E35196">
          <w:rPr>
            <w:rStyle w:val="Hipervnculo"/>
            <w:sz w:val="20"/>
            <w:szCs w:val="20"/>
          </w:rPr>
          <w:t>j54cctobt@cendoj.ramajudicial.gov.co</w:t>
        </w:r>
      </w:hyperlink>
      <w:r>
        <w:rPr>
          <w:color w:val="0461C1"/>
          <w:sz w:val="20"/>
          <w:szCs w:val="20"/>
        </w:rPr>
        <w:t xml:space="preserve"> </w:t>
      </w:r>
    </w:p>
    <w:p w14:paraId="50982882" w14:textId="057E3E9D" w:rsidR="00A864F1" w:rsidRDefault="00A864F1" w:rsidP="00156A0E">
      <w:pPr>
        <w:pStyle w:val="Default"/>
        <w:jc w:val="center"/>
        <w:rPr>
          <w:sz w:val="16"/>
          <w:szCs w:val="16"/>
        </w:rPr>
      </w:pPr>
      <w:r>
        <w:rPr>
          <w:color w:val="0461C1"/>
          <w:sz w:val="16"/>
          <w:szCs w:val="16"/>
        </w:rPr>
        <w:t>Carrera 10 #14-33. Edificio Hernando Morales Molina, piso 17</w:t>
      </w:r>
    </w:p>
    <w:p w14:paraId="7856E528" w14:textId="4DEE3ED3" w:rsidR="00A864F1" w:rsidRDefault="00A864F1" w:rsidP="00156A0E">
      <w:pPr>
        <w:pStyle w:val="Default"/>
        <w:jc w:val="center"/>
        <w:rPr>
          <w:rFonts w:ascii="Arial" w:hAnsi="Arial" w:cs="Arial"/>
          <w:color w:val="auto"/>
          <w:sz w:val="14"/>
          <w:szCs w:val="14"/>
        </w:rPr>
      </w:pPr>
      <w:r>
        <w:rPr>
          <w:rFonts w:ascii="Verdana" w:hAnsi="Verdana" w:cs="Verdana"/>
          <w:b/>
          <w:bCs/>
          <w:color w:val="auto"/>
          <w:sz w:val="22"/>
          <w:szCs w:val="22"/>
        </w:rPr>
        <w:t>Bogotá, D.C., veintinueve (29) de mayo de dos mil veinticuatro (2024)</w:t>
      </w:r>
      <w:r>
        <w:rPr>
          <w:rFonts w:ascii="Arial" w:hAnsi="Arial" w:cs="Arial"/>
          <w:b/>
          <w:bCs/>
          <w:color w:val="auto"/>
          <w:sz w:val="14"/>
          <w:szCs w:val="14"/>
        </w:rPr>
        <w:t>1</w:t>
      </w:r>
    </w:p>
    <w:p w14:paraId="67FD8FB0" w14:textId="77777777" w:rsidR="00156A0E" w:rsidRDefault="00156A0E" w:rsidP="00A864F1">
      <w:pPr>
        <w:pStyle w:val="Default"/>
        <w:rPr>
          <w:rFonts w:ascii="Verdana" w:hAnsi="Verdana" w:cs="Verdana"/>
          <w:color w:val="auto"/>
          <w:sz w:val="22"/>
          <w:szCs w:val="22"/>
        </w:rPr>
      </w:pPr>
    </w:p>
    <w:p w14:paraId="2407F9A2" w14:textId="77777777" w:rsidR="00156A0E" w:rsidRDefault="00156A0E" w:rsidP="00A864F1">
      <w:pPr>
        <w:pStyle w:val="Default"/>
        <w:rPr>
          <w:rFonts w:ascii="Verdana" w:hAnsi="Verdana" w:cs="Verdana"/>
          <w:color w:val="auto"/>
          <w:sz w:val="22"/>
          <w:szCs w:val="22"/>
        </w:rPr>
      </w:pPr>
    </w:p>
    <w:p w14:paraId="3DA15890" w14:textId="268598E2" w:rsidR="00A864F1" w:rsidRDefault="00A864F1" w:rsidP="00A864F1">
      <w:pPr>
        <w:pStyle w:val="Default"/>
        <w:rPr>
          <w:color w:val="auto"/>
          <w:sz w:val="22"/>
          <w:szCs w:val="22"/>
        </w:rPr>
      </w:pPr>
      <w:r>
        <w:rPr>
          <w:rFonts w:ascii="Verdana" w:hAnsi="Verdana" w:cs="Verdana"/>
          <w:color w:val="auto"/>
          <w:sz w:val="22"/>
          <w:szCs w:val="22"/>
        </w:rPr>
        <w:t xml:space="preserve">REFERENCIA: </w:t>
      </w:r>
      <w:r w:rsidR="00156A0E">
        <w:rPr>
          <w:rFonts w:ascii="Verdana" w:hAnsi="Verdana" w:cs="Verdana"/>
          <w:color w:val="auto"/>
          <w:sz w:val="22"/>
          <w:szCs w:val="22"/>
        </w:rPr>
        <w:tab/>
      </w:r>
      <w:r>
        <w:rPr>
          <w:rFonts w:ascii="Verdana" w:hAnsi="Verdana" w:cs="Verdana"/>
          <w:b/>
          <w:bCs/>
          <w:color w:val="auto"/>
          <w:sz w:val="22"/>
          <w:szCs w:val="22"/>
        </w:rPr>
        <w:t xml:space="preserve">No. 11001-31-03-054-2024-00212-00 </w:t>
      </w:r>
    </w:p>
    <w:p w14:paraId="71CF6A92" w14:textId="6E46DC9B" w:rsidR="00A864F1" w:rsidRDefault="00A864F1" w:rsidP="00A864F1">
      <w:pPr>
        <w:pStyle w:val="Default"/>
        <w:rPr>
          <w:color w:val="auto"/>
          <w:sz w:val="22"/>
          <w:szCs w:val="22"/>
        </w:rPr>
      </w:pPr>
      <w:r>
        <w:rPr>
          <w:rFonts w:ascii="Verdana" w:hAnsi="Verdana" w:cs="Verdana"/>
          <w:color w:val="auto"/>
          <w:sz w:val="22"/>
          <w:szCs w:val="22"/>
        </w:rPr>
        <w:t xml:space="preserve">DEMANDANTE: </w:t>
      </w:r>
      <w:r w:rsidR="00156A0E">
        <w:rPr>
          <w:rFonts w:ascii="Verdana" w:hAnsi="Verdana" w:cs="Verdana"/>
          <w:color w:val="auto"/>
          <w:sz w:val="22"/>
          <w:szCs w:val="22"/>
        </w:rPr>
        <w:tab/>
      </w:r>
      <w:r>
        <w:rPr>
          <w:rFonts w:ascii="Verdana" w:hAnsi="Verdana" w:cs="Verdana"/>
          <w:b/>
          <w:bCs/>
          <w:color w:val="auto"/>
          <w:sz w:val="22"/>
          <w:szCs w:val="22"/>
        </w:rPr>
        <w:t xml:space="preserve">CHARON YURANI RIAÑO FINO Y OTRA </w:t>
      </w:r>
    </w:p>
    <w:p w14:paraId="3D385036" w14:textId="2F8A2397" w:rsidR="00A864F1" w:rsidRDefault="00A864F1" w:rsidP="00A864F1">
      <w:pPr>
        <w:pStyle w:val="Default"/>
        <w:rPr>
          <w:color w:val="auto"/>
          <w:sz w:val="22"/>
          <w:szCs w:val="22"/>
        </w:rPr>
      </w:pPr>
      <w:r>
        <w:rPr>
          <w:rFonts w:ascii="Verdana" w:hAnsi="Verdana" w:cs="Verdana"/>
          <w:color w:val="auto"/>
          <w:sz w:val="22"/>
          <w:szCs w:val="22"/>
        </w:rPr>
        <w:t xml:space="preserve">DEMANDADOS: </w:t>
      </w:r>
      <w:r w:rsidR="00156A0E">
        <w:rPr>
          <w:rFonts w:ascii="Verdana" w:hAnsi="Verdana" w:cs="Verdana"/>
          <w:color w:val="auto"/>
          <w:sz w:val="22"/>
          <w:szCs w:val="22"/>
        </w:rPr>
        <w:tab/>
      </w:r>
      <w:r>
        <w:rPr>
          <w:rFonts w:ascii="Verdana" w:hAnsi="Verdana" w:cs="Verdana"/>
          <w:b/>
          <w:bCs/>
          <w:color w:val="auto"/>
          <w:sz w:val="22"/>
          <w:szCs w:val="22"/>
        </w:rPr>
        <w:t xml:space="preserve">GUSTAVO ADOLFO CANTE RINCON Y OTROS </w:t>
      </w:r>
    </w:p>
    <w:p w14:paraId="6257ABAF" w14:textId="77777777" w:rsidR="00156A0E" w:rsidRDefault="00156A0E" w:rsidP="00A864F1">
      <w:pPr>
        <w:pStyle w:val="Default"/>
        <w:rPr>
          <w:rFonts w:ascii="Verdana" w:hAnsi="Verdana" w:cs="Verdana"/>
          <w:color w:val="auto"/>
          <w:sz w:val="22"/>
          <w:szCs w:val="22"/>
        </w:rPr>
      </w:pPr>
    </w:p>
    <w:p w14:paraId="4D42BB01" w14:textId="77777777" w:rsidR="00156A0E" w:rsidRDefault="00156A0E" w:rsidP="00A864F1">
      <w:pPr>
        <w:pStyle w:val="Default"/>
        <w:rPr>
          <w:rFonts w:ascii="Verdana" w:hAnsi="Verdana" w:cs="Verdana"/>
          <w:color w:val="auto"/>
          <w:sz w:val="22"/>
          <w:szCs w:val="22"/>
        </w:rPr>
      </w:pPr>
    </w:p>
    <w:p w14:paraId="3469F41F" w14:textId="586246CB" w:rsidR="00A864F1" w:rsidRDefault="00A864F1" w:rsidP="00156A0E">
      <w:pPr>
        <w:pStyle w:val="Default"/>
        <w:jc w:val="both"/>
        <w:rPr>
          <w:color w:val="auto"/>
          <w:sz w:val="22"/>
          <w:szCs w:val="22"/>
        </w:rPr>
      </w:pPr>
      <w:r>
        <w:rPr>
          <w:rFonts w:ascii="Verdana" w:hAnsi="Verdana" w:cs="Verdana"/>
          <w:color w:val="auto"/>
          <w:sz w:val="22"/>
          <w:szCs w:val="22"/>
        </w:rPr>
        <w:t xml:space="preserve">Mediante auto del diez (10) de mayo de dos mil veinticuatro (2024), una vez examinada la demanda y sus anexos, se inadmitió y se concedió plazo de 05 días a la actora para que subsanara los defectos formales advertidos en ese proveído, so pena de su rechazo. </w:t>
      </w:r>
    </w:p>
    <w:p w14:paraId="68C17AED" w14:textId="77777777" w:rsidR="00156A0E" w:rsidRDefault="00156A0E" w:rsidP="00156A0E">
      <w:pPr>
        <w:pStyle w:val="Default"/>
        <w:jc w:val="both"/>
        <w:rPr>
          <w:rFonts w:ascii="Verdana" w:hAnsi="Verdana" w:cs="Verdana"/>
          <w:color w:val="auto"/>
          <w:sz w:val="22"/>
          <w:szCs w:val="22"/>
        </w:rPr>
      </w:pPr>
    </w:p>
    <w:p w14:paraId="5FC70E32" w14:textId="61006F7A" w:rsidR="00A864F1" w:rsidRDefault="00A864F1" w:rsidP="00156A0E">
      <w:pPr>
        <w:pStyle w:val="Default"/>
        <w:jc w:val="both"/>
        <w:rPr>
          <w:color w:val="auto"/>
          <w:sz w:val="22"/>
          <w:szCs w:val="22"/>
        </w:rPr>
      </w:pPr>
      <w:r>
        <w:rPr>
          <w:rFonts w:ascii="Verdana" w:hAnsi="Verdana" w:cs="Verdana"/>
          <w:color w:val="auto"/>
          <w:sz w:val="22"/>
          <w:szCs w:val="22"/>
        </w:rPr>
        <w:t xml:space="preserve">Así las cosas, habiéndose notificado la inadmisión por estado el día catorce (14) de mayo de dos mil veinticuatro (2024), se tiene que los cinco días con que contaba la parte actora para subsanar la demanda fenecieron el día veintiuno (21) de mayo de dos mil veinticuatro (2024). </w:t>
      </w:r>
    </w:p>
    <w:p w14:paraId="4AFDA8A5" w14:textId="77777777" w:rsidR="00156A0E" w:rsidRDefault="00156A0E" w:rsidP="00156A0E">
      <w:pPr>
        <w:pStyle w:val="Default"/>
        <w:jc w:val="both"/>
        <w:rPr>
          <w:rFonts w:ascii="Verdana" w:hAnsi="Verdana" w:cs="Verdana"/>
          <w:color w:val="auto"/>
          <w:sz w:val="22"/>
          <w:szCs w:val="22"/>
        </w:rPr>
      </w:pPr>
    </w:p>
    <w:p w14:paraId="72787232" w14:textId="6195CD9B" w:rsidR="00A864F1" w:rsidRDefault="00A864F1" w:rsidP="00156A0E">
      <w:pPr>
        <w:pStyle w:val="Default"/>
        <w:jc w:val="both"/>
        <w:rPr>
          <w:color w:val="auto"/>
          <w:sz w:val="22"/>
          <w:szCs w:val="22"/>
        </w:rPr>
      </w:pPr>
      <w:r>
        <w:rPr>
          <w:rFonts w:ascii="Verdana" w:hAnsi="Verdana" w:cs="Verdana"/>
          <w:color w:val="auto"/>
          <w:sz w:val="22"/>
          <w:szCs w:val="22"/>
        </w:rPr>
        <w:t xml:space="preserve">En efecto, revisado el expediente electrónico, el Despacho advierte que la parte actora no presentó escrito alguno tendiente a subsanar las falencias e irregularidades advertidas dentro del término estipulado; por lo tanto, se cumple el presupuesto establecido por el legislador en el artículo 90 de la Ley 1564 de 2012, para rechazar la demanda. </w:t>
      </w:r>
    </w:p>
    <w:p w14:paraId="0C693B96" w14:textId="77777777" w:rsidR="00156A0E" w:rsidRDefault="00156A0E" w:rsidP="00156A0E">
      <w:pPr>
        <w:pStyle w:val="Default"/>
        <w:jc w:val="both"/>
        <w:rPr>
          <w:rFonts w:ascii="Verdana" w:hAnsi="Verdana" w:cs="Verdana"/>
          <w:color w:val="auto"/>
          <w:sz w:val="22"/>
          <w:szCs w:val="22"/>
        </w:rPr>
      </w:pPr>
    </w:p>
    <w:p w14:paraId="11C1E6CC" w14:textId="003BAD05" w:rsidR="00A864F1" w:rsidRDefault="00A864F1" w:rsidP="00156A0E">
      <w:pPr>
        <w:pStyle w:val="Default"/>
        <w:jc w:val="both"/>
        <w:rPr>
          <w:rFonts w:ascii="Verdana" w:hAnsi="Verdana" w:cs="Verdana"/>
          <w:color w:val="auto"/>
          <w:sz w:val="22"/>
          <w:szCs w:val="22"/>
        </w:rPr>
      </w:pPr>
      <w:r>
        <w:rPr>
          <w:rFonts w:ascii="Verdana" w:hAnsi="Verdana" w:cs="Verdana"/>
          <w:color w:val="auto"/>
          <w:sz w:val="22"/>
          <w:szCs w:val="22"/>
        </w:rPr>
        <w:t xml:space="preserve">En mérito de lo expuesto, el Despacho </w:t>
      </w:r>
    </w:p>
    <w:p w14:paraId="2573A385" w14:textId="77777777" w:rsidR="00156A0E" w:rsidRDefault="00156A0E" w:rsidP="00156A0E">
      <w:pPr>
        <w:pStyle w:val="Default"/>
        <w:jc w:val="both"/>
        <w:rPr>
          <w:rFonts w:ascii="Verdana" w:hAnsi="Verdana" w:cs="Verdana"/>
          <w:b/>
          <w:bCs/>
          <w:color w:val="auto"/>
          <w:sz w:val="22"/>
          <w:szCs w:val="22"/>
        </w:rPr>
      </w:pPr>
    </w:p>
    <w:p w14:paraId="56BFD2AF" w14:textId="3C1FA7C2" w:rsidR="00A864F1" w:rsidRDefault="00A864F1" w:rsidP="00156A0E">
      <w:pPr>
        <w:pStyle w:val="Default"/>
        <w:jc w:val="both"/>
        <w:rPr>
          <w:rFonts w:ascii="Verdana" w:hAnsi="Verdana" w:cs="Verdana"/>
          <w:color w:val="auto"/>
          <w:sz w:val="22"/>
          <w:szCs w:val="22"/>
        </w:rPr>
      </w:pPr>
      <w:r>
        <w:rPr>
          <w:rFonts w:ascii="Verdana" w:hAnsi="Verdana" w:cs="Verdana"/>
          <w:b/>
          <w:bCs/>
          <w:color w:val="auto"/>
          <w:sz w:val="22"/>
          <w:szCs w:val="22"/>
        </w:rPr>
        <w:t xml:space="preserve">RESUELVE: </w:t>
      </w:r>
    </w:p>
    <w:p w14:paraId="37C7B376" w14:textId="77777777" w:rsidR="00156A0E" w:rsidRDefault="00156A0E" w:rsidP="00156A0E">
      <w:pPr>
        <w:pStyle w:val="Default"/>
        <w:jc w:val="both"/>
        <w:rPr>
          <w:rFonts w:ascii="Verdana" w:hAnsi="Verdana" w:cs="Verdana"/>
          <w:b/>
          <w:bCs/>
          <w:color w:val="auto"/>
          <w:sz w:val="22"/>
          <w:szCs w:val="22"/>
        </w:rPr>
      </w:pPr>
    </w:p>
    <w:p w14:paraId="180274B8" w14:textId="6054FF01" w:rsidR="00A864F1" w:rsidRDefault="00A864F1" w:rsidP="00156A0E">
      <w:pPr>
        <w:pStyle w:val="Default"/>
        <w:jc w:val="both"/>
        <w:rPr>
          <w:rFonts w:ascii="Verdana" w:hAnsi="Verdana" w:cs="Verdana"/>
          <w:color w:val="auto"/>
          <w:sz w:val="22"/>
          <w:szCs w:val="22"/>
        </w:rPr>
      </w:pPr>
      <w:r>
        <w:rPr>
          <w:rFonts w:ascii="Verdana" w:hAnsi="Verdana" w:cs="Verdana"/>
          <w:b/>
          <w:bCs/>
          <w:color w:val="auto"/>
          <w:sz w:val="22"/>
          <w:szCs w:val="22"/>
        </w:rPr>
        <w:t xml:space="preserve">PRIMERO: RECHAZAR </w:t>
      </w:r>
      <w:r>
        <w:rPr>
          <w:rFonts w:ascii="Verdana" w:hAnsi="Verdana" w:cs="Verdana"/>
          <w:color w:val="auto"/>
          <w:sz w:val="22"/>
          <w:szCs w:val="22"/>
        </w:rPr>
        <w:t xml:space="preserve">la demanda por no haberse subsanado. </w:t>
      </w:r>
    </w:p>
    <w:p w14:paraId="468CD6FA" w14:textId="77777777" w:rsidR="00156A0E" w:rsidRDefault="00156A0E" w:rsidP="00156A0E">
      <w:pPr>
        <w:pStyle w:val="Default"/>
        <w:jc w:val="both"/>
        <w:rPr>
          <w:rFonts w:ascii="Verdana" w:hAnsi="Verdana" w:cs="Verdana"/>
          <w:b/>
          <w:bCs/>
          <w:color w:val="auto"/>
          <w:sz w:val="22"/>
          <w:szCs w:val="22"/>
        </w:rPr>
      </w:pPr>
    </w:p>
    <w:p w14:paraId="314474F6" w14:textId="033C9781" w:rsidR="00A864F1" w:rsidRDefault="00A864F1" w:rsidP="00156A0E">
      <w:pPr>
        <w:pStyle w:val="Default"/>
        <w:jc w:val="both"/>
        <w:rPr>
          <w:color w:val="auto"/>
          <w:sz w:val="22"/>
          <w:szCs w:val="22"/>
        </w:rPr>
      </w:pPr>
      <w:r>
        <w:rPr>
          <w:rFonts w:ascii="Verdana" w:hAnsi="Verdana" w:cs="Verdana"/>
          <w:b/>
          <w:bCs/>
          <w:color w:val="auto"/>
          <w:sz w:val="22"/>
          <w:szCs w:val="22"/>
        </w:rPr>
        <w:t xml:space="preserve">SEGUNDO. </w:t>
      </w:r>
      <w:r>
        <w:rPr>
          <w:rFonts w:ascii="Verdana" w:hAnsi="Verdana" w:cs="Verdana"/>
          <w:color w:val="auto"/>
          <w:sz w:val="22"/>
          <w:szCs w:val="22"/>
        </w:rPr>
        <w:t xml:space="preserve">Para efectos estadísticos, </w:t>
      </w:r>
      <w:r>
        <w:rPr>
          <w:rFonts w:ascii="Verdana" w:hAnsi="Verdana" w:cs="Verdana"/>
          <w:b/>
          <w:bCs/>
          <w:color w:val="auto"/>
          <w:sz w:val="22"/>
          <w:szCs w:val="22"/>
        </w:rPr>
        <w:t xml:space="preserve">DESCÁRGUESE </w:t>
      </w:r>
      <w:r>
        <w:rPr>
          <w:rFonts w:ascii="Verdana" w:hAnsi="Verdana" w:cs="Verdana"/>
          <w:color w:val="auto"/>
          <w:sz w:val="22"/>
          <w:szCs w:val="22"/>
        </w:rPr>
        <w:t xml:space="preserve">la presente demanda de la actividad del juzgado. </w:t>
      </w:r>
    </w:p>
    <w:p w14:paraId="7BD11E39" w14:textId="77777777" w:rsidR="00156A0E" w:rsidRDefault="00156A0E" w:rsidP="00156A0E">
      <w:pPr>
        <w:pStyle w:val="Default"/>
        <w:jc w:val="both"/>
        <w:rPr>
          <w:rFonts w:ascii="Verdana" w:hAnsi="Verdana" w:cs="Verdana"/>
          <w:b/>
          <w:bCs/>
          <w:color w:val="auto"/>
          <w:sz w:val="22"/>
          <w:szCs w:val="22"/>
        </w:rPr>
      </w:pPr>
    </w:p>
    <w:p w14:paraId="2A47CB19" w14:textId="2420079F" w:rsidR="00A864F1" w:rsidRDefault="00A864F1" w:rsidP="00156A0E">
      <w:pPr>
        <w:pStyle w:val="Default"/>
        <w:jc w:val="both"/>
        <w:rPr>
          <w:rFonts w:ascii="Verdana" w:hAnsi="Verdana" w:cs="Verdana"/>
          <w:color w:val="auto"/>
          <w:sz w:val="22"/>
          <w:szCs w:val="22"/>
        </w:rPr>
      </w:pPr>
      <w:r>
        <w:rPr>
          <w:rFonts w:ascii="Verdana" w:hAnsi="Verdana" w:cs="Verdana"/>
          <w:b/>
          <w:bCs/>
          <w:color w:val="auto"/>
          <w:sz w:val="22"/>
          <w:szCs w:val="22"/>
        </w:rPr>
        <w:t xml:space="preserve">NOTIFÍQUESE y CÚMPLASE, </w:t>
      </w:r>
    </w:p>
    <w:p w14:paraId="1FF8166D" w14:textId="77777777" w:rsidR="00156A0E" w:rsidRDefault="00156A0E" w:rsidP="00156A0E">
      <w:pPr>
        <w:pStyle w:val="Default"/>
        <w:jc w:val="both"/>
        <w:rPr>
          <w:rFonts w:ascii="Verdana" w:hAnsi="Verdana" w:cs="Verdana"/>
          <w:b/>
          <w:bCs/>
          <w:color w:val="auto"/>
          <w:sz w:val="22"/>
          <w:szCs w:val="22"/>
        </w:rPr>
      </w:pPr>
    </w:p>
    <w:p w14:paraId="1F474DBC" w14:textId="20816B24" w:rsidR="00A864F1" w:rsidRDefault="00A864F1" w:rsidP="00156A0E">
      <w:pPr>
        <w:pStyle w:val="Default"/>
        <w:jc w:val="both"/>
        <w:rPr>
          <w:rFonts w:ascii="Verdana" w:hAnsi="Verdana" w:cs="Verdana"/>
          <w:color w:val="auto"/>
          <w:sz w:val="22"/>
          <w:szCs w:val="22"/>
        </w:rPr>
      </w:pPr>
      <w:r>
        <w:rPr>
          <w:rFonts w:ascii="Verdana" w:hAnsi="Verdana" w:cs="Verdana"/>
          <w:b/>
          <w:bCs/>
          <w:color w:val="auto"/>
          <w:sz w:val="22"/>
          <w:szCs w:val="22"/>
        </w:rPr>
        <w:t xml:space="preserve">SIRLEY JULIANA AGUDELO IBÁÑEZ </w:t>
      </w:r>
    </w:p>
    <w:p w14:paraId="0D7DDBFF" w14:textId="77777777" w:rsidR="00A864F1" w:rsidRDefault="00A864F1" w:rsidP="00156A0E">
      <w:pPr>
        <w:pStyle w:val="Default"/>
        <w:jc w:val="both"/>
        <w:rPr>
          <w:rFonts w:ascii="Verdana" w:hAnsi="Verdana" w:cs="Verdana"/>
          <w:color w:val="auto"/>
          <w:sz w:val="22"/>
          <w:szCs w:val="22"/>
        </w:rPr>
      </w:pPr>
      <w:r>
        <w:rPr>
          <w:rFonts w:ascii="Verdana" w:hAnsi="Verdana" w:cs="Verdana"/>
          <w:color w:val="auto"/>
          <w:sz w:val="22"/>
          <w:szCs w:val="22"/>
        </w:rPr>
        <w:t xml:space="preserve">JUEZA </w:t>
      </w:r>
    </w:p>
    <w:p w14:paraId="738E2C51" w14:textId="77777777" w:rsidR="00156A0E" w:rsidRDefault="00156A0E" w:rsidP="00156A0E">
      <w:pPr>
        <w:pStyle w:val="Default"/>
        <w:jc w:val="both"/>
        <w:rPr>
          <w:rFonts w:ascii="Verdana" w:hAnsi="Verdana" w:cs="Verdana"/>
          <w:color w:val="auto"/>
          <w:sz w:val="14"/>
          <w:szCs w:val="14"/>
        </w:rPr>
      </w:pPr>
    </w:p>
    <w:p w14:paraId="31FA27A8" w14:textId="77777777" w:rsidR="00156A0E" w:rsidRDefault="00156A0E" w:rsidP="00156A0E">
      <w:pPr>
        <w:pStyle w:val="Default"/>
        <w:jc w:val="both"/>
        <w:rPr>
          <w:rFonts w:ascii="Verdana" w:hAnsi="Verdana" w:cs="Verdana"/>
          <w:color w:val="auto"/>
          <w:sz w:val="14"/>
          <w:szCs w:val="14"/>
        </w:rPr>
      </w:pPr>
    </w:p>
    <w:p w14:paraId="1E58D4C0" w14:textId="77777777" w:rsidR="00156A0E" w:rsidRDefault="00156A0E" w:rsidP="00156A0E">
      <w:pPr>
        <w:pStyle w:val="Default"/>
        <w:jc w:val="both"/>
        <w:rPr>
          <w:rFonts w:ascii="Verdana" w:hAnsi="Verdana" w:cs="Verdana"/>
          <w:color w:val="auto"/>
          <w:sz w:val="14"/>
          <w:szCs w:val="14"/>
        </w:rPr>
      </w:pPr>
    </w:p>
    <w:p w14:paraId="306D900B" w14:textId="64D018EB" w:rsidR="00A864F1" w:rsidRDefault="00A864F1" w:rsidP="00156A0E">
      <w:pPr>
        <w:pStyle w:val="Default"/>
        <w:jc w:val="both"/>
        <w:rPr>
          <w:rFonts w:ascii="Arial" w:hAnsi="Arial" w:cs="Arial"/>
          <w:color w:val="auto"/>
          <w:sz w:val="16"/>
          <w:szCs w:val="16"/>
        </w:rPr>
      </w:pPr>
      <w:r>
        <w:rPr>
          <w:rFonts w:ascii="Verdana" w:hAnsi="Verdana" w:cs="Verdana"/>
          <w:color w:val="auto"/>
          <w:sz w:val="14"/>
          <w:szCs w:val="14"/>
        </w:rPr>
        <w:t xml:space="preserve">A.C. </w:t>
      </w:r>
      <w:r>
        <w:rPr>
          <w:rFonts w:ascii="Arial" w:hAnsi="Arial" w:cs="Arial"/>
          <w:color w:val="auto"/>
          <w:sz w:val="16"/>
          <w:szCs w:val="16"/>
        </w:rPr>
        <w:t xml:space="preserve">Firmado Por: </w:t>
      </w:r>
    </w:p>
    <w:p w14:paraId="763BB7A1"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Sirley Juliana Agudelo Ibáñez </w:t>
      </w:r>
    </w:p>
    <w:p w14:paraId="6C00A02F"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Juez </w:t>
      </w:r>
    </w:p>
    <w:p w14:paraId="6F0E1F49"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Juzgado De Circuito </w:t>
      </w:r>
    </w:p>
    <w:p w14:paraId="0BD3293C"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Civil 054 </w:t>
      </w:r>
    </w:p>
    <w:p w14:paraId="3EE1A40F"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Bogotá, D.C. - Bogotá D.C., </w:t>
      </w:r>
    </w:p>
    <w:p w14:paraId="715FB54E"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7FBB53B7"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5087805A"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7953D3AF"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lastRenderedPageBreak/>
        <w:t xml:space="preserve">61b6a876421989ff510feaf6811e22add7459d14e86b51d90cf508abf00ebcbd </w:t>
      </w:r>
    </w:p>
    <w:p w14:paraId="1FECDC5C" w14:textId="77777777" w:rsidR="00A864F1" w:rsidRDefault="00A864F1" w:rsidP="00156A0E">
      <w:pPr>
        <w:pStyle w:val="Default"/>
        <w:jc w:val="both"/>
        <w:rPr>
          <w:rFonts w:ascii="Arial" w:hAnsi="Arial" w:cs="Arial"/>
          <w:color w:val="auto"/>
          <w:sz w:val="16"/>
          <w:szCs w:val="16"/>
        </w:rPr>
      </w:pPr>
      <w:r>
        <w:rPr>
          <w:rFonts w:ascii="Arial" w:hAnsi="Arial" w:cs="Arial"/>
          <w:color w:val="auto"/>
          <w:sz w:val="16"/>
          <w:szCs w:val="16"/>
        </w:rPr>
        <w:t xml:space="preserve">Documento generado en 29/05/2024 05:23:23 PM </w:t>
      </w:r>
    </w:p>
    <w:p w14:paraId="5CCE6B98" w14:textId="77777777" w:rsidR="00A864F1" w:rsidRDefault="00A864F1" w:rsidP="00156A0E">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1C498920" w14:textId="76028C91" w:rsidR="00B9243D" w:rsidRDefault="00A864F1" w:rsidP="00156A0E">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F1"/>
    <w:rsid w:val="00146EE7"/>
    <w:rsid w:val="00156A0E"/>
    <w:rsid w:val="00737460"/>
    <w:rsid w:val="00A864F1"/>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3611"/>
  <w15:chartTrackingRefBased/>
  <w15:docId w15:val="{B7D78C83-71EB-4AEE-BB04-62CC9890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864F1"/>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 w:type="character" w:styleId="Hipervnculo">
    <w:name w:val="Hyperlink"/>
    <w:basedOn w:val="Fuentedeprrafopredeter"/>
    <w:uiPriority w:val="99"/>
    <w:unhideWhenUsed/>
    <w:rsid w:val="00156A0E"/>
    <w:rPr>
      <w:color w:val="0563C1" w:themeColor="hyperlink"/>
      <w:u w:val="single"/>
    </w:rPr>
  </w:style>
  <w:style w:type="character" w:styleId="Mencinsinresolver">
    <w:name w:val="Unresolved Mention"/>
    <w:basedOn w:val="Fuentedeprrafopredeter"/>
    <w:uiPriority w:val="99"/>
    <w:semiHidden/>
    <w:unhideWhenUsed/>
    <w:rsid w:val="0015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54cctobt@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1832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2024-05-30T16:54:00Z</dcterms:created>
  <dcterms:modified xsi:type="dcterms:W3CDTF">2024-05-30T16:56:00Z</dcterms:modified>
</cp:coreProperties>
</file>