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3449F" w14:textId="366CE036" w:rsidR="00930468" w:rsidRDefault="001A66F5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 w:rsidRPr="002D2FD3">
        <w:rPr>
          <w:noProof/>
        </w:rPr>
        <w:drawing>
          <wp:inline distT="0" distB="0" distL="0" distR="0" wp14:anchorId="09E241BA" wp14:editId="48002256">
            <wp:extent cx="4181475" cy="1343025"/>
            <wp:effectExtent l="0" t="0" r="9525" b="9525"/>
            <wp:docPr id="2968389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4E48F" w14:textId="1C2E6858" w:rsidR="00930468" w:rsidRDefault="00930468" w:rsidP="001A66F5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Rama Judicial del Poder Público</w:t>
      </w:r>
    </w:p>
    <w:p w14:paraId="70B105E8" w14:textId="77777777" w:rsidR="00930468" w:rsidRDefault="00930468" w:rsidP="001A66F5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JUZGADO DÉCIMO CIVIL DEL CIRCUITO DE BOGOTÁ D.C.</w:t>
      </w:r>
    </w:p>
    <w:p w14:paraId="523C8BD2" w14:textId="77777777" w:rsidR="00930468" w:rsidRDefault="00930468" w:rsidP="001A66F5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Carrera 9 No. 11-45 Piso 4</w:t>
      </w:r>
    </w:p>
    <w:p w14:paraId="77CCCF7A" w14:textId="77777777" w:rsidR="00930468" w:rsidRDefault="00930468" w:rsidP="001A66F5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Edificio El Virrey Torre Central</w:t>
      </w:r>
    </w:p>
    <w:p w14:paraId="07407382" w14:textId="77777777" w:rsidR="00930468" w:rsidRDefault="00930468" w:rsidP="001A66F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Teléfono (601) 3432666 Ext. 71310</w:t>
      </w:r>
    </w:p>
    <w:p w14:paraId="1C76D6F9" w14:textId="77777777" w:rsidR="001A66F5" w:rsidRDefault="001A66F5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523334C8" w14:textId="1A933577" w:rsidR="00930468" w:rsidRDefault="00930468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Bogotá D.C. veinte de mayo de dos mil veinticuatro</w:t>
      </w:r>
    </w:p>
    <w:p w14:paraId="27BDC3A3" w14:textId="77777777" w:rsidR="001A66F5" w:rsidRDefault="001A66F5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0"/>
          <w:szCs w:val="20"/>
          <w:lang w:val="es-CO"/>
        </w:rPr>
      </w:pPr>
    </w:p>
    <w:p w14:paraId="117CCF86" w14:textId="17B1A643" w:rsidR="00930468" w:rsidRDefault="00930468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0"/>
          <w:szCs w:val="20"/>
          <w:lang w:val="es-CO"/>
        </w:rPr>
      </w:pP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 xml:space="preserve">REFERENCIA: </w:t>
      </w:r>
      <w:r w:rsidR="001A66F5">
        <w:rPr>
          <w:rFonts w:ascii="Eras Medium ITC" w:hAnsi="Eras Medium ITC" w:cs="Eras Medium ITC"/>
          <w:kern w:val="0"/>
          <w:sz w:val="20"/>
          <w:szCs w:val="20"/>
          <w:lang w:val="es-CO"/>
        </w:rPr>
        <w:tab/>
      </w:r>
      <w:r w:rsidR="001A66F5">
        <w:rPr>
          <w:rFonts w:ascii="Eras Medium ITC" w:hAnsi="Eras Medium ITC" w:cs="Eras Medium ITC"/>
          <w:kern w:val="0"/>
          <w:sz w:val="20"/>
          <w:szCs w:val="20"/>
          <w:lang w:val="es-CO"/>
        </w:rPr>
        <w:tab/>
      </w: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>DECLARATIVO RESPONSABILIDAD CIVIL</w:t>
      </w:r>
    </w:p>
    <w:p w14:paraId="7C320C9C" w14:textId="72183978" w:rsidR="00930468" w:rsidRDefault="00930468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0"/>
          <w:szCs w:val="20"/>
          <w:lang w:val="es-CO"/>
        </w:rPr>
      </w:pP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 xml:space="preserve">RADICADO: </w:t>
      </w:r>
      <w:r w:rsidR="001A66F5">
        <w:rPr>
          <w:rFonts w:ascii="Eras Medium ITC" w:hAnsi="Eras Medium ITC" w:cs="Eras Medium ITC"/>
          <w:kern w:val="0"/>
          <w:sz w:val="20"/>
          <w:szCs w:val="20"/>
          <w:lang w:val="es-CO"/>
        </w:rPr>
        <w:tab/>
      </w:r>
      <w:r w:rsidR="001A66F5">
        <w:rPr>
          <w:rFonts w:ascii="Eras Medium ITC" w:hAnsi="Eras Medium ITC" w:cs="Eras Medium ITC"/>
          <w:kern w:val="0"/>
          <w:sz w:val="20"/>
          <w:szCs w:val="20"/>
          <w:lang w:val="es-CO"/>
        </w:rPr>
        <w:tab/>
      </w: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>11001310301020230058400</w:t>
      </w:r>
    </w:p>
    <w:p w14:paraId="486DA7E1" w14:textId="1411728B" w:rsidR="00930468" w:rsidRDefault="00930468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0"/>
          <w:szCs w:val="20"/>
          <w:lang w:val="es-CO"/>
        </w:rPr>
      </w:pP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 xml:space="preserve">DEMANDANTE: </w:t>
      </w:r>
      <w:r w:rsidR="001A66F5">
        <w:rPr>
          <w:rFonts w:ascii="Eras Medium ITC" w:hAnsi="Eras Medium ITC" w:cs="Eras Medium ITC"/>
          <w:kern w:val="0"/>
          <w:sz w:val="20"/>
          <w:szCs w:val="20"/>
          <w:lang w:val="es-CO"/>
        </w:rPr>
        <w:tab/>
      </w: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>DANIELA GUTIÉRREZ MEJÍA</w:t>
      </w:r>
      <w:r w:rsidR="001A66F5">
        <w:rPr>
          <w:rFonts w:ascii="Eras Medium ITC" w:hAnsi="Eras Medium ITC" w:cs="Eras Medium ITC"/>
          <w:kern w:val="0"/>
          <w:sz w:val="20"/>
          <w:szCs w:val="20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>ESTIBEN ALONSO CALDERÓN LORA</w:t>
      </w:r>
    </w:p>
    <w:p w14:paraId="50D9E138" w14:textId="1FBA00FA" w:rsidR="00930468" w:rsidRDefault="00930468" w:rsidP="001A66F5">
      <w:pPr>
        <w:autoSpaceDE w:val="0"/>
        <w:autoSpaceDN w:val="0"/>
        <w:adjustRightInd w:val="0"/>
        <w:spacing w:after="0" w:line="240" w:lineRule="auto"/>
        <w:ind w:left="2160"/>
        <w:rPr>
          <w:rFonts w:ascii="Eras Medium ITC" w:hAnsi="Eras Medium ITC" w:cs="Eras Medium ITC"/>
          <w:kern w:val="0"/>
          <w:sz w:val="20"/>
          <w:szCs w:val="20"/>
          <w:lang w:val="es-CO"/>
        </w:rPr>
      </w:pP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>Y representación del menor E.A.C.L</w:t>
      </w:r>
      <w:r w:rsidR="001A66F5">
        <w:rPr>
          <w:rFonts w:ascii="Eras Medium ITC" w:hAnsi="Eras Medium ITC" w:cs="Eras Medium ITC"/>
          <w:kern w:val="0"/>
          <w:sz w:val="20"/>
          <w:szCs w:val="20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>DEMANDADOS: ÁLVARO DE JESÚS PARRA BEDOYA</w:t>
      </w:r>
    </w:p>
    <w:p w14:paraId="5110CA82" w14:textId="2E43417C" w:rsidR="00930468" w:rsidRDefault="00930468" w:rsidP="001A66F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Eras Medium ITC" w:hAnsi="Eras Medium ITC" w:cs="Eras Medium ITC"/>
          <w:kern w:val="0"/>
          <w:sz w:val="20"/>
          <w:szCs w:val="20"/>
          <w:lang w:val="es-CO"/>
        </w:rPr>
      </w:pP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>LIBARDO DE JESÚS MEJÍA SALDARRIAGA</w:t>
      </w:r>
      <w:r w:rsidR="001A66F5">
        <w:rPr>
          <w:rFonts w:ascii="Eras Medium ITC" w:hAnsi="Eras Medium ITC" w:cs="Eras Medium ITC"/>
          <w:kern w:val="0"/>
          <w:sz w:val="20"/>
          <w:szCs w:val="20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>ALLIANZ SEGUROS S.A.</w:t>
      </w:r>
    </w:p>
    <w:p w14:paraId="0C35C5AE" w14:textId="14B3C370" w:rsidR="00930468" w:rsidRDefault="00930468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0"/>
          <w:szCs w:val="20"/>
          <w:lang w:val="es-CO"/>
        </w:rPr>
      </w:pP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 xml:space="preserve">PROVIDENCIA: </w:t>
      </w:r>
      <w:r w:rsidR="001A66F5">
        <w:rPr>
          <w:rFonts w:ascii="Eras Medium ITC" w:hAnsi="Eras Medium ITC" w:cs="Eras Medium ITC"/>
          <w:kern w:val="0"/>
          <w:sz w:val="20"/>
          <w:szCs w:val="20"/>
          <w:lang w:val="es-CO"/>
        </w:rPr>
        <w:tab/>
      </w:r>
      <w:r w:rsidR="001A66F5">
        <w:rPr>
          <w:rFonts w:ascii="Eras Medium ITC" w:hAnsi="Eras Medium ITC" w:cs="Eras Medium ITC"/>
          <w:kern w:val="0"/>
          <w:sz w:val="20"/>
          <w:szCs w:val="20"/>
          <w:lang w:val="es-CO"/>
        </w:rPr>
        <w:tab/>
      </w:r>
      <w:r>
        <w:rPr>
          <w:rFonts w:ascii="Eras Medium ITC" w:hAnsi="Eras Medium ITC" w:cs="Eras Medium ITC"/>
          <w:kern w:val="0"/>
          <w:sz w:val="20"/>
          <w:szCs w:val="20"/>
          <w:lang w:val="es-CO"/>
        </w:rPr>
        <w:t>AUTO TIENE POR CONTESTADA DEMANDA</w:t>
      </w:r>
    </w:p>
    <w:p w14:paraId="46CBB6C8" w14:textId="77777777" w:rsidR="001A66F5" w:rsidRDefault="001A66F5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4CDBA671" w14:textId="77777777" w:rsidR="001A66F5" w:rsidRDefault="001A66F5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7E7A7EE6" w14:textId="3F8E19A7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Una vez revisada las actuaciones del proceso, y las solicitudes pendientes por resolver,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el Despacho entra a pronunciarse sobre ellas.</w:t>
      </w:r>
    </w:p>
    <w:p w14:paraId="0B74618F" w14:textId="77777777" w:rsidR="001A66F5" w:rsidRDefault="001A66F5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01FCC260" w14:textId="1420FC95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Se tiene por notificados la parte demandada integrada por Álvaro de Jesús Parra Bedoya,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Libardo de Jesús Mejía Saldarriaga Y Allianz Seguros S.A. de conformidad con el memorial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allegado por el apoderado de la parte actora.</w:t>
      </w:r>
    </w:p>
    <w:p w14:paraId="547AC2C2" w14:textId="77777777" w:rsidR="001A66F5" w:rsidRDefault="001A66F5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37963711" w14:textId="18D8BD85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Vista la contestación de la demanda allegada por el apoderado judicial de Allianz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Seguros S.A., se tendrá por contestada la misma, de conformidad con el artículo 95 del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Código General del Proceso.</w:t>
      </w:r>
    </w:p>
    <w:p w14:paraId="578EB593" w14:textId="77777777" w:rsidR="001A66F5" w:rsidRDefault="001A66F5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3A2CE780" w14:textId="50847886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Se reconoce personería al abogado Gustavo Alberto Herrera Ávila, identificado con la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cédula de ciudadanía No. 19.395.114 y portador de la tarjeta profesional No. 39.116 del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Consejo Superior de la Judicatura, para que actúe dentro del presente asunto como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apoderado judicial de Allianz Seguros S.A.</w:t>
      </w:r>
    </w:p>
    <w:p w14:paraId="64D1DBD3" w14:textId="77777777" w:rsidR="001A66F5" w:rsidRDefault="001A66F5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67B9E10E" w14:textId="05107E81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De otra parte, en cuanto al “cumplimiento de auto”</w:t>
      </w:r>
      <w:r>
        <w:rPr>
          <w:rFonts w:ascii="Eras Medium ITC" w:hAnsi="Eras Medium ITC" w:cs="Eras Medium ITC"/>
          <w:kern w:val="0"/>
          <w:sz w:val="16"/>
          <w:szCs w:val="16"/>
          <w:lang w:val="es-CO"/>
        </w:rPr>
        <w:t xml:space="preserve">2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allegado por la parte actora se</w:t>
      </w:r>
    </w:p>
    <w:p w14:paraId="79050F56" w14:textId="73778DCB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evidencia que lo aportado por éste, no tiene relación con lo solicitado en la providencia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calendada el treinta (30) de enero de dos mil veinticuatro (2024)</w:t>
      </w:r>
      <w:r>
        <w:rPr>
          <w:rFonts w:ascii="Eras Medium ITC" w:hAnsi="Eras Medium ITC" w:cs="Eras Medium ITC"/>
          <w:kern w:val="0"/>
          <w:sz w:val="16"/>
          <w:szCs w:val="16"/>
          <w:lang w:val="es-CO"/>
        </w:rPr>
        <w:t>3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, pues como se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evidencia en el inciso 6° de la mentada providencia, donde el juzgado requiere: </w:t>
      </w:r>
      <w:r>
        <w:rPr>
          <w:rFonts w:ascii="Eras Medium ITC" w:hAnsi="Eras Medium ITC" w:cs="Eras Medium ITC"/>
          <w:kern w:val="0"/>
          <w:sz w:val="25"/>
          <w:szCs w:val="25"/>
          <w:lang w:val="es-CO"/>
        </w:rPr>
        <w:t>“Previo</w:t>
      </w:r>
      <w:r w:rsidR="001A66F5">
        <w:rPr>
          <w:rFonts w:ascii="Eras Medium ITC" w:hAnsi="Eras Medium ITC" w:cs="Eras Medium ITC"/>
          <w:kern w:val="0"/>
          <w:sz w:val="25"/>
          <w:szCs w:val="25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5"/>
          <w:szCs w:val="25"/>
          <w:lang w:val="es-CO"/>
        </w:rPr>
        <w:t>a decretar la inscripción de la demanda sobre el vehículo de placa a TRF-827, se requiere</w:t>
      </w:r>
      <w:r w:rsidR="001A66F5">
        <w:rPr>
          <w:rFonts w:ascii="Eras Medium ITC" w:hAnsi="Eras Medium ITC" w:cs="Eras Medium ITC"/>
          <w:kern w:val="0"/>
          <w:sz w:val="25"/>
          <w:szCs w:val="25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5"/>
          <w:szCs w:val="25"/>
          <w:lang w:val="es-CO"/>
        </w:rPr>
        <w:t>para que dentro del término de 5 días, informe a quien pertenece la propiedad del</w:t>
      </w:r>
      <w:r w:rsidR="001A66F5">
        <w:rPr>
          <w:rFonts w:ascii="Eras Medium ITC" w:hAnsi="Eras Medium ITC" w:cs="Eras Medium ITC"/>
          <w:kern w:val="0"/>
          <w:sz w:val="25"/>
          <w:szCs w:val="25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5"/>
          <w:szCs w:val="25"/>
          <w:lang w:val="es-CO"/>
        </w:rPr>
        <w:t xml:space="preserve">automotor, allegando las evidencias </w:t>
      </w:r>
      <w:r>
        <w:rPr>
          <w:rFonts w:ascii="Eras Medium ITC" w:hAnsi="Eras Medium ITC" w:cs="Eras Medium ITC"/>
          <w:kern w:val="0"/>
          <w:sz w:val="25"/>
          <w:szCs w:val="25"/>
          <w:lang w:val="es-CO"/>
        </w:rPr>
        <w:lastRenderedPageBreak/>
        <w:t xml:space="preserve">correspondientes”;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sin embargo el apoderado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allega información errada, es decir, de un vehículo de otras características que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corresponde a las placas TCR542.</w:t>
      </w:r>
    </w:p>
    <w:p w14:paraId="069FA057" w14:textId="77777777" w:rsidR="001A66F5" w:rsidRDefault="001A66F5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522A540C" w14:textId="4C878900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Visto lo anterior, el juzgado rechaza la solicitud de medida cautelar solicitada en el</w:t>
      </w:r>
    </w:p>
    <w:p w14:paraId="3CE7294D" w14:textId="77777777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escrito de la demanda.</w:t>
      </w:r>
    </w:p>
    <w:p w14:paraId="3456447F" w14:textId="77777777" w:rsidR="001A66F5" w:rsidRDefault="001A66F5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213C5F3B" w14:textId="347E509B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Conste en autos, el pronunciamiento a excepciones</w:t>
      </w:r>
      <w:r>
        <w:rPr>
          <w:rFonts w:ascii="Eras Medium ITC" w:hAnsi="Eras Medium ITC" w:cs="Eras Medium ITC"/>
          <w:kern w:val="0"/>
          <w:sz w:val="16"/>
          <w:szCs w:val="16"/>
          <w:lang w:val="es-CO"/>
        </w:rPr>
        <w:t xml:space="preserve">4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allegadas por el apoderado de la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parte actora, respecto de la contestación allegada por Allianz Seguros.</w:t>
      </w:r>
    </w:p>
    <w:p w14:paraId="7F6E296B" w14:textId="77777777" w:rsidR="001A66F5" w:rsidRDefault="001A66F5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1610DD4B" w14:textId="58CF6EFD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Respecto de la contestación de la demanda</w:t>
      </w:r>
      <w:r>
        <w:rPr>
          <w:rFonts w:ascii="Eras Medium ITC" w:hAnsi="Eras Medium ITC" w:cs="Eras Medium ITC"/>
          <w:kern w:val="0"/>
          <w:sz w:val="16"/>
          <w:szCs w:val="16"/>
          <w:lang w:val="es-CO"/>
        </w:rPr>
        <w:t xml:space="preserve">5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allegada por el apoderado judicial de los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demandados Albeiro de Jesús Parra Bedoya y Libardo de Jesús Mejía Saldarriaga, se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tendrá por contestada la misma, de conformidad con el artículo 95 del Código General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del Proceso.</w:t>
      </w:r>
    </w:p>
    <w:p w14:paraId="7649904C" w14:textId="77777777" w:rsidR="001A66F5" w:rsidRDefault="001A66F5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4AB63738" w14:textId="3CDE4EAC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Se reconoce personería al abogado Álvaro Niño Villabona, identificado con la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cédula de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ciudadanía No. 5.736.026 y portador de la tarjeta profesional No. 116.615 del Consejo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Superior de la Judicatura, para que actúe dentro del presente asunto como apoderado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judicial de los demandados Albeiro de Jesús Parra Bedoya y Libardo de Jesús Mejía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Saldarriaga.</w:t>
      </w:r>
    </w:p>
    <w:p w14:paraId="51027450" w14:textId="77777777" w:rsidR="001A66F5" w:rsidRDefault="001A66F5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222B89D1" w14:textId="2BE83685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Córrase traslado de las excepciones presentadas por el apoderado de la parte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demandada, a la parte demandante por el término de cinco (05) de conformidad con el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artículo 370 del Código General del Proceso.</w:t>
      </w:r>
    </w:p>
    <w:p w14:paraId="04271D60" w14:textId="77777777" w:rsidR="001A66F5" w:rsidRDefault="001A66F5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727091EE" w14:textId="1C2DCB75" w:rsidR="00930468" w:rsidRDefault="00930468" w:rsidP="001A66F5">
      <w:pPr>
        <w:autoSpaceDE w:val="0"/>
        <w:autoSpaceDN w:val="0"/>
        <w:adjustRightInd w:val="0"/>
        <w:spacing w:after="0" w:line="240" w:lineRule="auto"/>
        <w:jc w:val="both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Finalmente se requiere a secretaría para que organice el proceso, en lo relacionado al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llamamiento de garantía, para lo cual debe crear un cuaderno aparte. Sírvase proceder</w:t>
      </w:r>
      <w:r w:rsidR="001A66F5">
        <w:rPr>
          <w:rFonts w:ascii="Eras Medium ITC" w:hAnsi="Eras Medium ITC" w:cs="Eras Medium ITC"/>
          <w:kern w:val="0"/>
          <w:sz w:val="24"/>
          <w:szCs w:val="24"/>
          <w:lang w:val="es-CO"/>
        </w:rPr>
        <w:t xml:space="preserve"> </w:t>
      </w: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de conformidad.</w:t>
      </w:r>
    </w:p>
    <w:p w14:paraId="578F2C2A" w14:textId="77777777" w:rsidR="001A66F5" w:rsidRDefault="001A66F5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639B4441" w14:textId="23E306F8" w:rsidR="00930468" w:rsidRDefault="00930468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Notifíquese y Cúmplase,</w:t>
      </w:r>
    </w:p>
    <w:p w14:paraId="0E435AF3" w14:textId="77777777" w:rsidR="001A66F5" w:rsidRDefault="001A66F5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4"/>
          <w:szCs w:val="24"/>
          <w:lang w:val="es-CO"/>
        </w:rPr>
      </w:pPr>
    </w:p>
    <w:p w14:paraId="569667ED" w14:textId="2A9E1975" w:rsidR="00930468" w:rsidRDefault="00930468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FELIPE PABLO MOJICA CORTÉS</w:t>
      </w:r>
    </w:p>
    <w:p w14:paraId="631DC1AB" w14:textId="77777777" w:rsidR="00930468" w:rsidRDefault="00930468" w:rsidP="00930468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Eras Medium ITC"/>
          <w:kern w:val="0"/>
          <w:sz w:val="24"/>
          <w:szCs w:val="24"/>
          <w:lang w:val="es-CO"/>
        </w:rPr>
      </w:pPr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Juez</w:t>
      </w:r>
    </w:p>
    <w:p w14:paraId="5332E298" w14:textId="079B9D68" w:rsidR="00B9243D" w:rsidRDefault="00930468" w:rsidP="00930468">
      <w:r>
        <w:rPr>
          <w:rFonts w:ascii="Eras Medium ITC" w:hAnsi="Eras Medium ITC" w:cs="Eras Medium ITC"/>
          <w:kern w:val="0"/>
          <w:sz w:val="24"/>
          <w:szCs w:val="24"/>
          <w:lang w:val="es-CO"/>
        </w:rPr>
        <w:t>(1)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68"/>
    <w:rsid w:val="001A66F5"/>
    <w:rsid w:val="00737460"/>
    <w:rsid w:val="007946CC"/>
    <w:rsid w:val="00930468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DBA9"/>
  <w15:chartTrackingRefBased/>
  <w15:docId w15:val="{757C7C0C-5447-4CAC-9641-1A6E4088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2024-05-21T22:53:00Z</dcterms:created>
  <dcterms:modified xsi:type="dcterms:W3CDTF">2024-05-21T22:57:00Z</dcterms:modified>
</cp:coreProperties>
</file>