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B25C" w14:textId="164F7EAF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Para todos los fines pertinentes informo que la </w:t>
      </w:r>
      <w:r>
        <w:rPr>
          <w:rStyle w:val="mark0tcgkf0sj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contingencia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 proceso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scrito anteriormente se califica como </w:t>
      </w:r>
      <w:r w:rsidR="007E433A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REMOTO</w:t>
      </w:r>
      <w:r w:rsidR="00B21CFE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DE ÉXITO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por las siguientes razones:    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0873595" w14:textId="7777777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E1F7DE2" w14:textId="7777777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</w:p>
    <w:p w14:paraId="637182D8" w14:textId="571CB42F" w:rsidR="00DB691A" w:rsidRPr="00DB691A" w:rsidRDefault="001C66BA" w:rsidP="00DB6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Es remota 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 prosperidad </w:t>
      </w:r>
      <w:r w:rsidR="00B21CF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 las pretensiones formuladas en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la intervención como terceros interesados en las resultas del proceso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dado que si bien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B691A" w:rsidRPr="00DB691A">
        <w:rPr>
          <w:rFonts w:ascii="Arial" w:hAnsi="Arial" w:cs="Arial"/>
          <w:sz w:val="22"/>
          <w:szCs w:val="22"/>
        </w:rPr>
        <w:t>de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bemos esperar al análisis que realice el </w:t>
      </w:r>
      <w:r w:rsidR="00DB691A" w:rsidRPr="00DB691A">
        <w:rPr>
          <w:rFonts w:ascii="Arial" w:hAnsi="Arial" w:cs="Arial"/>
          <w:sz w:val="22"/>
          <w:szCs w:val="22"/>
        </w:rPr>
        <w:t>de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spacho conocedor respecto a los actos administrativos:  i) Fallo con Responsabilidad Fiscal No. </w:t>
      </w:r>
      <w:r w:rsidR="00DB691A" w:rsidRPr="00920581">
        <w:rPr>
          <w:rFonts w:ascii="Arial" w:hAnsi="Arial" w:cs="Arial"/>
          <w:sz w:val="22"/>
          <w:szCs w:val="22"/>
        </w:rPr>
        <w:t>00001 del 28 de febrero de 2022, (ii) Auto No. 00671 del 19 de mayo de 2022</w:t>
      </w:r>
      <w:r w:rsidR="00920581" w:rsidRPr="00920581">
        <w:rPr>
          <w:rFonts w:ascii="Arial" w:hAnsi="Arial" w:cs="Arial"/>
          <w:sz w:val="22"/>
          <w:szCs w:val="22"/>
        </w:rPr>
        <w:t xml:space="preserve"> </w:t>
      </w:r>
      <w:r w:rsidR="00920581">
        <w:rPr>
          <w:rFonts w:ascii="Arial" w:hAnsi="Arial" w:cs="Arial"/>
          <w:sz w:val="22"/>
          <w:szCs w:val="22"/>
        </w:rPr>
        <w:t xml:space="preserve">y </w:t>
      </w:r>
      <w:r w:rsidR="00920581" w:rsidRPr="00920581">
        <w:rPr>
          <w:rFonts w:ascii="Arial" w:hAnsi="Arial" w:cs="Arial"/>
          <w:sz w:val="22"/>
          <w:szCs w:val="22"/>
        </w:rPr>
        <w:t>(iii) Auto URF2- 0757 del 23 de junio de 2022</w:t>
      </w:r>
      <w:r w:rsidR="00DB691A" w:rsidRPr="00920581">
        <w:rPr>
          <w:rFonts w:ascii="Arial" w:hAnsi="Arial" w:cs="Arial"/>
          <w:sz w:val="22"/>
          <w:szCs w:val="22"/>
        </w:rPr>
        <w:t xml:space="preserve">  proferidos </w:t>
      </w:r>
      <w:r w:rsidR="00920581">
        <w:rPr>
          <w:rFonts w:ascii="Arial" w:hAnsi="Arial" w:cs="Arial"/>
          <w:sz w:val="22"/>
          <w:szCs w:val="22"/>
        </w:rPr>
        <w:t>dentro del proceso PRF 2017-00332</w:t>
      </w:r>
      <w:r w:rsidR="00DB691A" w:rsidRPr="00920581">
        <w:rPr>
          <w:rFonts w:ascii="Arial" w:hAnsi="Arial" w:cs="Arial"/>
          <w:sz w:val="22"/>
          <w:szCs w:val="22"/>
        </w:rPr>
        <w:t>,</w:t>
      </w:r>
      <w:r w:rsidR="00B21CFE">
        <w:rPr>
          <w:rFonts w:ascii="Arial" w:hAnsi="Arial" w:cs="Arial"/>
          <w:sz w:val="22"/>
          <w:szCs w:val="22"/>
        </w:rPr>
        <w:t xml:space="preserve"> </w:t>
      </w:r>
      <w:r w:rsidR="00B21CF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 claro que para el caso en concreto no operó </w:t>
      </w:r>
      <w:r w:rsidR="00B21CF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 prescripción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B21CF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las acciones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derivadas del contrato de seguro, ello, por cuanto en primer lugar, desde la ocurrencia de los hechos (mayo</w:t>
      </w:r>
      <w:r w:rsidR="00850D7C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2013-fecha de evacuación y redistribución de los estudiantes) hasta la fecha del auto de apertura el 15 de marzo de 2017 no trascurrieron más de cinco años. </w:t>
      </w:r>
    </w:p>
    <w:p w14:paraId="13058ECF" w14:textId="15448642" w:rsidR="00DB691A" w:rsidRDefault="00DB691A" w:rsidP="00DB6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9BC4AC" w14:textId="57BAB198" w:rsidR="00DB691A" w:rsidRDefault="00DB691A" w:rsidP="00DB6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Además, </w:t>
      </w:r>
      <w:r w:rsidR="00850D7C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 observa </w:t>
      </w:r>
      <w:r w:rsidR="00B21CF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que está probada la</w:t>
      </w:r>
      <w:r w:rsidR="00850D7C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responsabilidad del contratista, dado que pese a que en virtud del contrato N°2090079, se construyó la Sede Educativa Villas de San Ignacio, esta tuvo falencias que no le permitieron mantenerse estable, lo cual generó la necesidad de evacuación de los estudiantes y conllevó a que en la actualidad no se use, es decir, se creó pero no es funcional</w:t>
      </w:r>
      <w:r w:rsid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ello, de conformidad con las visitas realizadas por la Contraloría, informe técnico y demás documentos que obran en el expediente en los que se advirtió el agrietamiento del suelo</w:t>
      </w:r>
      <w:r w:rsidR="00850D7C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Sin embargo, los aspectos señalados,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berán ser analizados por el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spacho conocedor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 medio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control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nulidad y restablecimiento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recho</w:t>
      </w:r>
      <w:r w:rsid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interpuesto por </w:t>
      </w:r>
      <w:r w:rsidR="00C94CF8"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T</w:t>
      </w:r>
      <w:r w:rsid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É</w:t>
      </w:r>
      <w:r w:rsidR="00C94CF8"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CNICAS Y CONSTRUCCIONES CIVILES S.A, TECNICIVILES S.A., H&amp;H ARQUITECTURA S.A.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con ocasión a la </w:t>
      </w:r>
      <w:r w:rsid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presunta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expedición irregular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los actos administrativos, incurriendo en indebida motivación, vulnerando el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bido proceso y con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sconocimiento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los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rechos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audiencia y </w:t>
      </w:r>
      <w:r>
        <w:rPr>
          <w:rStyle w:val="markn0zsicqh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fensa. 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2F23B74" w14:textId="582BFD3E" w:rsidR="00D10FCD" w:rsidRPr="005A33DC" w:rsidRDefault="00DB691A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="00D10FC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10FCD" w:rsidRPr="005A33DC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46EBAB0" w14:textId="33112A90" w:rsidR="005162FD" w:rsidRPr="005162FD" w:rsidRDefault="005162FD" w:rsidP="005162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Finalmente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 resalta que </w:t>
      </w:r>
      <w:r w:rsidRP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</w:t>
      </w:r>
      <w:r w:rsidRP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óliza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N°</w:t>
      </w:r>
      <w:r w:rsidRP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994000004314 presta cobertura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material y temporal, motivo por el cual </w:t>
      </w:r>
      <w:r w:rsidRPr="005162F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fue afectada con ocasión del fallo en cuantía de s ($1.517.540.000)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71DF8729" w14:textId="51E5C902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CDE8587" w14:textId="77777777" w:rsidR="005162FD" w:rsidRDefault="005162FD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Calibri" w:hAnsi="Calibri" w:cs="Calibri"/>
          <w:color w:val="424242"/>
          <w:sz w:val="22"/>
          <w:szCs w:val="22"/>
        </w:rPr>
      </w:pPr>
    </w:p>
    <w:p w14:paraId="27512EAD" w14:textId="7777777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 anterior, sin perjuicio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 carácter contingente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ntro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 proceso.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2076C44B" w14:textId="77777777" w:rsidR="00C94CF8" w:rsidRDefault="00C94CF8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5A7B9BD" w14:textId="77777777" w:rsidR="00C94CF8" w:rsidRDefault="00C94CF8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943554E" w14:textId="2A9F2052" w:rsidR="00C94CF8" w:rsidRDefault="00C94CF8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Como liquidación objetiva de las pretensiones, se llegó a la suma de </w:t>
      </w:r>
      <w:r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$1.517.540.000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dado que dicha suma corresponde al pago realizado </w:t>
      </w:r>
      <w:r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el 25 de julio de 2022,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mediante el</w:t>
      </w:r>
      <w:r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giro N°2220600256 a través de las oficinas del Banco Popular a favor de la Dirección del Tesoro Nacional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Giro que se soporta al despacho mediante el comprobante para recaudos empresariales N°01214422.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En virtud de la </w:t>
      </w:r>
      <w:r w:rsidRPr="00C94CF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Póliza de Seguro de Cumplimiento en Favor de Entidades Estatales No. 994000004314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70786335" w14:textId="7777777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582E994" w14:textId="421B8F35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sectPr w:rsidR="00D10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CD"/>
    <w:rsid w:val="000A11E0"/>
    <w:rsid w:val="000F2C17"/>
    <w:rsid w:val="001C66BA"/>
    <w:rsid w:val="00256320"/>
    <w:rsid w:val="00482CD7"/>
    <w:rsid w:val="005162FD"/>
    <w:rsid w:val="005A33DC"/>
    <w:rsid w:val="00767CB9"/>
    <w:rsid w:val="007E433A"/>
    <w:rsid w:val="00850D7C"/>
    <w:rsid w:val="008E4C96"/>
    <w:rsid w:val="008E76FA"/>
    <w:rsid w:val="00920581"/>
    <w:rsid w:val="009A5B46"/>
    <w:rsid w:val="00B21CFE"/>
    <w:rsid w:val="00C21190"/>
    <w:rsid w:val="00C94CF8"/>
    <w:rsid w:val="00D10FCD"/>
    <w:rsid w:val="00D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1684"/>
  <w15:chartTrackingRefBased/>
  <w15:docId w15:val="{3F761812-8D28-42E2-8C18-DE2CD0C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mark0tcgkf0sj">
    <w:name w:val="mark0tcgkf0sj"/>
    <w:basedOn w:val="Fuentedeprrafopredeter"/>
    <w:rsid w:val="00D10FCD"/>
  </w:style>
  <w:style w:type="character" w:customStyle="1" w:styleId="marknlet7pg3i">
    <w:name w:val="marknlet7pg3i"/>
    <w:basedOn w:val="Fuentedeprrafopredeter"/>
    <w:rsid w:val="00D10FCD"/>
  </w:style>
  <w:style w:type="character" w:customStyle="1" w:styleId="markjw2qejbn6">
    <w:name w:val="markjw2qejbn6"/>
    <w:basedOn w:val="Fuentedeprrafopredeter"/>
    <w:rsid w:val="00D10FCD"/>
  </w:style>
  <w:style w:type="character" w:styleId="Refdecomentario">
    <w:name w:val="annotation reference"/>
    <w:basedOn w:val="Fuentedeprrafopredeter"/>
    <w:uiPriority w:val="99"/>
    <w:semiHidden/>
    <w:unhideWhenUsed/>
    <w:rsid w:val="00256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3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3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3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320"/>
    <w:rPr>
      <w:b/>
      <w:bCs/>
      <w:sz w:val="20"/>
      <w:szCs w:val="20"/>
    </w:rPr>
  </w:style>
  <w:style w:type="character" w:customStyle="1" w:styleId="markn0zsicqh4">
    <w:name w:val="markn0zsicqh4"/>
    <w:basedOn w:val="Fuentedeprrafopredeter"/>
    <w:rsid w:val="00DB691A"/>
  </w:style>
  <w:style w:type="paragraph" w:customStyle="1" w:styleId="pf0">
    <w:name w:val="pf0"/>
    <w:basedOn w:val="Normal"/>
    <w:rsid w:val="0051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cf01">
    <w:name w:val="cf01"/>
    <w:basedOn w:val="Fuentedeprrafopredeter"/>
    <w:rsid w:val="005162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2024-03-01T20:15:00Z</dcterms:created>
  <dcterms:modified xsi:type="dcterms:W3CDTF">2024-03-01T20:15:00Z</dcterms:modified>
</cp:coreProperties>
</file>