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707CD2" w:rsidRPr="00707CD2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707CD2" w:rsidRDefault="00011806" w:rsidP="00011806">
            <w:pPr>
              <w:spacing w:before="240"/>
              <w:jc w:val="center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707CD2" w:rsidRPr="00707CD2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707CD2" w:rsidRDefault="00011806" w:rsidP="00011806">
            <w:pPr>
              <w:spacing w:before="240"/>
              <w:jc w:val="both"/>
              <w:rPr>
                <w:rFonts w:ascii="Century Gothic" w:hAnsi="Century Gothic" w:cstheme="majorHAnsi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6CFD8" w14:textId="0D1BD0B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Eliana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Minelly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 Sánchez </w:t>
            </w: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(víctima) </w:t>
            </w:r>
          </w:p>
          <w:p w14:paraId="60C53AF0" w14:textId="71E48EBE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Henry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Jovannu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 Castro Ramos</w:t>
            </w:r>
          </w:p>
          <w:p w14:paraId="44F55D45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Rosa Amelia Sánchez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Botía</w:t>
            </w:r>
            <w:proofErr w:type="spellEnd"/>
          </w:p>
          <w:p w14:paraId="101F5590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 Sandy Jhoana Castro Sánchez, </w:t>
            </w:r>
          </w:p>
          <w:p w14:paraId="4158AC81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Andrea Katherine Paul Sánchez y su hija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Valerin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 Andrea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Quiñoez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 Paul, </w:t>
            </w:r>
          </w:p>
          <w:p w14:paraId="096EF909" w14:textId="6489633D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  <w:lang w:val="es-CO" w:eastAsia="es-CO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Vanessa Castro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Sanchez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 y sus hijos Edwing Santiago Gómez Castro, Erick Samuel Gómez Castro, y Eylin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Saomy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 Piñeros Castro. </w:t>
            </w:r>
          </w:p>
          <w:p w14:paraId="5A644775" w14:textId="45FCAC68" w:rsidR="00050FFA" w:rsidRPr="00707CD2" w:rsidRDefault="00050FFA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lang w:val="es-CO" w:eastAsia="es-CO"/>
              </w:rPr>
            </w:pPr>
          </w:p>
        </w:tc>
      </w:tr>
      <w:tr w:rsidR="00707CD2" w:rsidRPr="00707CD2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707CD2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763EB937" w:rsidR="00EB749C" w:rsidRPr="00707CD2" w:rsidRDefault="00554385" w:rsidP="009216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</w:pPr>
            <w:r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E1661" w:rsidRPr="00707CD2">
              <w:rPr>
                <w:rFonts w:ascii="Century Gothic" w:hAnsi="Century Gothic" w:cstheme="majorHAnsi"/>
                <w:kern w:val="2"/>
                <w:sz w:val="20"/>
                <w:szCs w:val="20"/>
                <w14:ligatures w14:val="standardContextual"/>
              </w:rPr>
              <w:t xml:space="preserve">Andrews Eduardo </w:t>
            </w:r>
            <w:proofErr w:type="spellStart"/>
            <w:r w:rsidR="00CE1661" w:rsidRPr="00707CD2">
              <w:rPr>
                <w:rFonts w:ascii="Century Gothic" w:hAnsi="Century Gothic" w:cstheme="majorHAnsi"/>
                <w:kern w:val="2"/>
                <w:sz w:val="20"/>
                <w:szCs w:val="20"/>
                <w14:ligatures w14:val="standardContextual"/>
              </w:rPr>
              <w:t>Lopez</w:t>
            </w:r>
            <w:proofErr w:type="spellEnd"/>
            <w:r w:rsidR="00CE1661" w:rsidRPr="00707CD2">
              <w:rPr>
                <w:rFonts w:ascii="Century Gothic" w:hAnsi="Century Gothic" w:cstheme="majorHAnsi"/>
                <w:kern w:val="2"/>
                <w:sz w:val="20"/>
                <w:szCs w:val="20"/>
                <w14:ligatures w14:val="standardContextual"/>
              </w:rPr>
              <w:t xml:space="preserve"> Daza (</w:t>
            </w:r>
            <w:r w:rsidR="00477A2D" w:rsidRPr="00707CD2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apoderado) </w:t>
            </w:r>
            <w:r w:rsidR="0061398A" w:rsidRPr="00707CD2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41913A9" w14:textId="72943344" w:rsidR="00554385" w:rsidRPr="00707CD2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E1661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316 8918576</w:t>
            </w:r>
          </w:p>
          <w:p w14:paraId="13ECDD72" w14:textId="682E97FE" w:rsidR="00707CD2" w:rsidRPr="00707CD2" w:rsidRDefault="00554385" w:rsidP="00477A2D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07CD2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707CD2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hyperlink r:id="rId8" w:history="1">
              <w:r w:rsidR="00707CD2" w:rsidRPr="00707CD2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</w:rPr>
                <w:t>enayderj@hotmail.com</w:t>
              </w:r>
            </w:hyperlink>
          </w:p>
        </w:tc>
      </w:tr>
      <w:tr w:rsidR="00707CD2" w:rsidRPr="00707CD2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4C894D" w14:textId="3652531C" w:rsidR="008D791C" w:rsidRPr="00707CD2" w:rsidRDefault="00707CD2" w:rsidP="0061398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707CD2">
              <w:rPr>
                <w:rFonts w:ascii="Century Gothic" w:hAnsi="Century Gothic" w:cstheme="majorHAnsi"/>
                <w:sz w:val="20"/>
                <w:szCs w:val="20"/>
              </w:rPr>
              <w:t xml:space="preserve">Eliseo </w:t>
            </w:r>
            <w:proofErr w:type="spellStart"/>
            <w:r w:rsidRPr="00707CD2">
              <w:rPr>
                <w:rFonts w:ascii="Century Gothic" w:hAnsi="Century Gothic" w:cstheme="majorHAnsi"/>
                <w:sz w:val="20"/>
                <w:szCs w:val="20"/>
              </w:rPr>
              <w:t>Garcia</w:t>
            </w:r>
            <w:proofErr w:type="spellEnd"/>
            <w:r w:rsidRPr="00707CD2">
              <w:rPr>
                <w:rFonts w:ascii="Century Gothic" w:hAnsi="Century Gothic" w:cstheme="majorHAnsi"/>
                <w:sz w:val="20"/>
                <w:szCs w:val="20"/>
              </w:rPr>
              <w:t xml:space="preserve"> Rueda</w:t>
            </w:r>
            <w:r w:rsidR="008D791C" w:rsidRPr="00707CD2">
              <w:rPr>
                <w:rFonts w:ascii="Century Gothic" w:hAnsi="Century Gothic" w:cstheme="majorHAnsi"/>
                <w:sz w:val="20"/>
                <w:szCs w:val="20"/>
              </w:rPr>
              <w:t xml:space="preserve"> (conductor) </w:t>
            </w:r>
          </w:p>
          <w:p w14:paraId="76E30A03" w14:textId="77777777" w:rsidR="00707CD2" w:rsidRPr="00707CD2" w:rsidRDefault="00707CD2" w:rsidP="00A822A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707CD2">
              <w:rPr>
                <w:rFonts w:ascii="Century Gothic" w:hAnsi="Century Gothic" w:cstheme="majorHAnsi"/>
                <w:sz w:val="20"/>
                <w:szCs w:val="20"/>
              </w:rPr>
              <w:t xml:space="preserve">Lagos S.A. </w:t>
            </w:r>
          </w:p>
          <w:p w14:paraId="2BFBC09F" w14:textId="2A937B04" w:rsidR="00015CB7" w:rsidRPr="00707CD2" w:rsidRDefault="00C6493F" w:rsidP="00A822A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707CD2">
              <w:rPr>
                <w:rFonts w:ascii="Century Gothic" w:hAnsi="Century Gothic" w:cstheme="majorHAnsi"/>
                <w:sz w:val="20"/>
                <w:szCs w:val="20"/>
              </w:rPr>
              <w:t xml:space="preserve">Equidad Seguros Generales O.C. </w:t>
            </w:r>
          </w:p>
        </w:tc>
      </w:tr>
      <w:tr w:rsidR="00707CD2" w:rsidRPr="00707CD2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4F5DE8C" w:rsidR="00554385" w:rsidRPr="00707CD2" w:rsidRDefault="00707CD2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10275759</w:t>
            </w:r>
          </w:p>
        </w:tc>
      </w:tr>
      <w:tr w:rsidR="00707CD2" w:rsidRPr="00707CD2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707CD2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07CD2" w:rsidRPr="00707CD2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707CD2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07CD2" w:rsidRPr="00707CD2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B37D4F2" w:rsidR="00554385" w:rsidRPr="00707CD2" w:rsidRDefault="00A822AA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707CD2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C6493F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07CD2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dic</w:t>
            </w:r>
            <w:r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iembre</w:t>
            </w:r>
            <w:r w:rsidR="00C6493F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  <w:r w:rsidR="007E20D8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835AA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707CD2" w:rsidRPr="00707CD2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4E0B8EC" w:rsidR="00554385" w:rsidRPr="00707CD2" w:rsidRDefault="00707CD2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22</w:t>
            </w:r>
            <w:r w:rsidR="00EE7788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diciembre del 2023 </w:t>
            </w:r>
            <w:r w:rsidR="00C20EC7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 la </w:t>
            </w:r>
            <w:r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C20EC7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C6493F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C20EC7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477A2D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C20EC7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  <w:proofErr w:type="spellEnd"/>
            <w:r w:rsidR="00B457DB" w:rsidRPr="00707CD2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707CD2" w:rsidRPr="00707CD2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707CD2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07CD2" w:rsidRPr="00707CD2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707CD2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07CD2" w:rsidRPr="00707CD2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Autorida</w:t>
            </w:r>
            <w:r w:rsidR="00967A3C"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d</w:t>
            </w: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:</w:t>
            </w:r>
            <w:r w:rsidR="00967A3C"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E5617B2" w:rsidR="00554385" w:rsidRPr="00707CD2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7CD2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Centro </w:t>
            </w:r>
            <w:r w:rsidR="00C20EC7" w:rsidRPr="00707CD2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>de Conciliación</w:t>
            </w:r>
            <w:r w:rsidR="00921627" w:rsidRPr="00707CD2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477A2D" w:rsidRPr="00707CD2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de la </w:t>
            </w:r>
            <w:r w:rsidR="00707CD2" w:rsidRPr="00707CD2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>Procuraduría Nacional</w:t>
            </w:r>
            <w:r w:rsidR="00052AF1" w:rsidRPr="00707CD2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07CD2" w:rsidRPr="00707CD2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707CD2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07CD2" w:rsidRPr="00707CD2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647F7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  <w:lang w:val="es-CO" w:eastAsia="es-CO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La parte convocante pretende el reconocimiento de $100'000.000, por concepto de perjuicios materiales e inmateriales, discriminados de la siguiente forma: </w:t>
            </w:r>
          </w:p>
          <w:p w14:paraId="0F93A9C6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br/>
            </w:r>
          </w:p>
          <w:p w14:paraId="2EE4B8A5" w14:textId="6A9EA85B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707CD2">
              <w:rPr>
                <w:rFonts w:ascii="Century Gothic" w:hAnsi="Century Gothic" w:cs="Segoe UI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B72A950" wp14:editId="2E32BECF">
                  <wp:extent cx="3610375" cy="615950"/>
                  <wp:effectExtent l="0" t="0" r="9525" b="0"/>
                  <wp:docPr id="8187883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905" cy="62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EC4A" w14:textId="10201FDA" w:rsidR="00554385" w:rsidRPr="00707CD2" w:rsidRDefault="00554385" w:rsidP="00EE7788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lang w:val="es-CO" w:eastAsia="es-CO"/>
              </w:rPr>
            </w:pPr>
          </w:p>
        </w:tc>
      </w:tr>
      <w:tr w:rsidR="00707CD2" w:rsidRPr="00707CD2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707CD2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</w:pPr>
          </w:p>
        </w:tc>
      </w:tr>
      <w:tr w:rsidR="00707CD2" w:rsidRPr="00707CD2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707CD2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07CD2" w:rsidRPr="00707CD2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3D6729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  <w:lang w:val="es-CO" w:eastAsia="es-CO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24 de diciembre de 2019, en el que estuvo involucrado el vehículo de placas SUE 525, conducido por el señor Eliseo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Garcia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, de propiedad de la sociedad Lagos S.A.  y en el que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resulto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 lesionada la señora Eliana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Minnely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 Sánchez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Sánchez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. </w:t>
            </w:r>
          </w:p>
          <w:p w14:paraId="53AB6CBB" w14:textId="3BB19CC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72771DCB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De acuerdo con IPAT se estableció Hipótesis No. 217 atribuible al vehículo </w:t>
            </w: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de placas SUE 525 que corresponde a "fallas en el motor"</w:t>
            </w:r>
          </w:p>
          <w:p w14:paraId="5EBEE91C" w14:textId="41CB9F78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5D01B475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A causa del accidente, se le ocasionaron lesiones a la señora </w:t>
            </w: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Eliana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Minelly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Sánchez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Sánchez</w:t>
            </w:r>
            <w:proofErr w:type="spellEnd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, con el siguiente diagnóstico:</w:t>
            </w:r>
          </w:p>
          <w:p w14:paraId="2574CBD1" w14:textId="1B0C4BFB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0CBBC634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Ruptura de ligamentos a nivel de tobillo y del pie. </w:t>
            </w:r>
          </w:p>
          <w:p w14:paraId="1AAF71FD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Dolor en articulación.</w:t>
            </w:r>
          </w:p>
          <w:p w14:paraId="57B4BA1F" w14:textId="77777777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 xml:space="preserve">Fractura del </w:t>
            </w:r>
            <w:proofErr w:type="spellStart"/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perone</w:t>
            </w:r>
            <w:proofErr w:type="spellEnd"/>
          </w:p>
          <w:p w14:paraId="4B550E7A" w14:textId="23309D39" w:rsidR="00707CD2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66581B57" w14:textId="75539965" w:rsidR="00EE7788" w:rsidRPr="00707CD2" w:rsidRDefault="00707CD2" w:rsidP="00707CD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707CD2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Se aporta dictamen de pérdida de capacidad laboral y ocupacional de la Junta Regional de Calificación de Invalidez de Santander con un porcentaje del 2,8% </w:t>
            </w:r>
            <w:r w:rsidR="00EE7788" w:rsidRPr="00707CD2">
              <w:rPr>
                <w:rFonts w:ascii="Century Gothic" w:hAnsi="Century Gothic" w:cstheme="majorHAnsi"/>
                <w:sz w:val="20"/>
                <w:szCs w:val="20"/>
                <w:bdr w:val="none" w:sz="0" w:space="0" w:color="auto" w:frame="1"/>
              </w:rPr>
              <w:t>  </w:t>
            </w:r>
          </w:p>
          <w:p w14:paraId="5F9A9499" w14:textId="77777777" w:rsidR="00EE7788" w:rsidRPr="00707CD2" w:rsidRDefault="00EE7788" w:rsidP="003979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9C6B19C" w14:textId="567E0429" w:rsidR="00CE2865" w:rsidRPr="00707CD2" w:rsidRDefault="00CE2865" w:rsidP="00B45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lang w:val="es-CO" w:eastAsia="es-CO"/>
              </w:rPr>
            </w:pPr>
          </w:p>
        </w:tc>
      </w:tr>
      <w:tr w:rsidR="00707CD2" w:rsidRPr="00707CD2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707CD2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07CD2" w:rsidRPr="00707CD2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707CD2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707CD2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707CD2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707CD2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theme="majorHAnsi"/>
          <w:sz w:val="20"/>
          <w:szCs w:val="20"/>
        </w:rPr>
      </w:pPr>
    </w:p>
    <w:sectPr w:rsidR="00AC0325" w:rsidRPr="00707CD2" w:rsidSect="00DE778B">
      <w:headerReference w:type="default" r:id="rId10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50B" w14:textId="77777777" w:rsidR="00D647AE" w:rsidRDefault="00D647AE" w:rsidP="008133D3">
      <w:r>
        <w:separator/>
      </w:r>
    </w:p>
  </w:endnote>
  <w:endnote w:type="continuationSeparator" w:id="0">
    <w:p w14:paraId="61A970B2" w14:textId="77777777" w:rsidR="00D647AE" w:rsidRDefault="00D647A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3483" w14:textId="77777777" w:rsidR="00D647AE" w:rsidRDefault="00D647AE" w:rsidP="008133D3">
      <w:r>
        <w:separator/>
      </w:r>
    </w:p>
  </w:footnote>
  <w:footnote w:type="continuationSeparator" w:id="0">
    <w:p w14:paraId="2F25D19D" w14:textId="77777777" w:rsidR="00D647AE" w:rsidRDefault="00D647A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3836"/>
    <w:multiLevelType w:val="multilevel"/>
    <w:tmpl w:val="6E8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9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2"/>
  </w:num>
  <w:num w:numId="7" w16cid:durableId="1490365404">
    <w:abstractNumId w:val="1"/>
  </w:num>
  <w:num w:numId="8" w16cid:durableId="502429709">
    <w:abstractNumId w:val="11"/>
  </w:num>
  <w:num w:numId="9" w16cid:durableId="1512988184">
    <w:abstractNumId w:val="8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3"/>
  </w:num>
  <w:num w:numId="13" w16cid:durableId="1818184863">
    <w:abstractNumId w:val="14"/>
  </w:num>
  <w:num w:numId="14" w16cid:durableId="800420403">
    <w:abstractNumId w:val="2"/>
  </w:num>
  <w:num w:numId="15" w16cid:durableId="222376278">
    <w:abstractNumId w:val="15"/>
  </w:num>
  <w:num w:numId="16" w16cid:durableId="1951353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352"/>
    <w:rsid w:val="00052AF1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1B38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A15C1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4332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979F7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77A2D"/>
    <w:rsid w:val="00487FD4"/>
    <w:rsid w:val="004906DD"/>
    <w:rsid w:val="004932E6"/>
    <w:rsid w:val="004A5C4B"/>
    <w:rsid w:val="004A6885"/>
    <w:rsid w:val="004C691D"/>
    <w:rsid w:val="004E5C9C"/>
    <w:rsid w:val="004E5E22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1398A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07CD2"/>
    <w:rsid w:val="00722580"/>
    <w:rsid w:val="00726376"/>
    <w:rsid w:val="00735A85"/>
    <w:rsid w:val="0073789B"/>
    <w:rsid w:val="007453F1"/>
    <w:rsid w:val="007551C3"/>
    <w:rsid w:val="007647BA"/>
    <w:rsid w:val="00771691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D791C"/>
    <w:rsid w:val="008E5565"/>
    <w:rsid w:val="00921627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822AA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457DB"/>
    <w:rsid w:val="00B70941"/>
    <w:rsid w:val="00B72C70"/>
    <w:rsid w:val="00B835AA"/>
    <w:rsid w:val="00BB2A9C"/>
    <w:rsid w:val="00BD1EFE"/>
    <w:rsid w:val="00BD5F8E"/>
    <w:rsid w:val="00BF6F4E"/>
    <w:rsid w:val="00C0163C"/>
    <w:rsid w:val="00C105FD"/>
    <w:rsid w:val="00C16C42"/>
    <w:rsid w:val="00C20EC7"/>
    <w:rsid w:val="00C24302"/>
    <w:rsid w:val="00C3159C"/>
    <w:rsid w:val="00C33269"/>
    <w:rsid w:val="00C40D29"/>
    <w:rsid w:val="00C62C51"/>
    <w:rsid w:val="00C6493F"/>
    <w:rsid w:val="00C80695"/>
    <w:rsid w:val="00C86799"/>
    <w:rsid w:val="00C90DC7"/>
    <w:rsid w:val="00CA4D87"/>
    <w:rsid w:val="00CA77EE"/>
    <w:rsid w:val="00CC0220"/>
    <w:rsid w:val="00CD1719"/>
    <w:rsid w:val="00CE1661"/>
    <w:rsid w:val="00CE2865"/>
    <w:rsid w:val="00CF04BA"/>
    <w:rsid w:val="00D16E4B"/>
    <w:rsid w:val="00D26A1B"/>
    <w:rsid w:val="00D26E76"/>
    <w:rsid w:val="00D44072"/>
    <w:rsid w:val="00D647AE"/>
    <w:rsid w:val="00D91EA0"/>
    <w:rsid w:val="00DB477E"/>
    <w:rsid w:val="00DC2527"/>
    <w:rsid w:val="00DC70DC"/>
    <w:rsid w:val="00DE778B"/>
    <w:rsid w:val="00E01589"/>
    <w:rsid w:val="00E119FB"/>
    <w:rsid w:val="00E12CF0"/>
    <w:rsid w:val="00E27BE7"/>
    <w:rsid w:val="00E9018F"/>
    <w:rsid w:val="00E96C1D"/>
    <w:rsid w:val="00EA40E7"/>
    <w:rsid w:val="00EB738F"/>
    <w:rsid w:val="00EB749C"/>
    <w:rsid w:val="00ED7C8D"/>
    <w:rsid w:val="00EE2D05"/>
    <w:rsid w:val="00EE2D14"/>
    <w:rsid w:val="00EE7788"/>
    <w:rsid w:val="00EF15CC"/>
    <w:rsid w:val="00F15379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yderj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2023-12-01T21:19:00Z</cp:lastPrinted>
  <dcterms:created xsi:type="dcterms:W3CDTF">2023-12-14T18:49:00Z</dcterms:created>
  <dcterms:modified xsi:type="dcterms:W3CDTF">2023-12-14T18:49:00Z</dcterms:modified>
</cp:coreProperties>
</file>