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477A2D" w:rsidRPr="00A822AA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A822AA" w:rsidRDefault="00011806" w:rsidP="00011806">
            <w:pPr>
              <w:spacing w:before="240"/>
              <w:jc w:val="center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477A2D" w:rsidRPr="00A822AA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A822AA" w:rsidRDefault="00011806" w:rsidP="00011806">
            <w:pPr>
              <w:spacing w:before="240"/>
              <w:jc w:val="both"/>
              <w:rPr>
                <w:rFonts w:ascii="Century Gothic" w:hAnsi="Century Gothic" w:cstheme="majorHAnsi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BC930" w14:textId="4CD5F214" w:rsidR="00477A2D" w:rsidRPr="00A822AA" w:rsidRDefault="00EE7788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</w:pPr>
            <w:r w:rsidRPr="00A822AA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>Viviana Ordoñez Ortega</w:t>
            </w:r>
            <w:r w:rsidR="00477A2D" w:rsidRPr="00A822AA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 (víctima)  </w:t>
            </w:r>
          </w:p>
          <w:p w14:paraId="5A644775" w14:textId="57C1F5C0" w:rsidR="00050FFA" w:rsidRPr="00A822AA" w:rsidRDefault="00050FFA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  <w:lang w:val="es-CO" w:eastAsia="es-CO"/>
              </w:rPr>
            </w:pPr>
          </w:p>
        </w:tc>
      </w:tr>
      <w:tr w:rsidR="00477A2D" w:rsidRPr="00A822AA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A822AA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763EB937" w:rsidR="00EB749C" w:rsidRPr="00A822AA" w:rsidRDefault="00554385" w:rsidP="0092162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</w:pPr>
            <w:r w:rsidRPr="00A822AA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A822AA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A822AA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A822AA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E1661">
              <w:rPr>
                <w:rFonts w:ascii="Century Gothic" w:hAnsi="Century Gothic" w:cstheme="majorHAnsi"/>
                <w:kern w:val="2"/>
                <w:sz w:val="20"/>
                <w:szCs w:val="20"/>
                <w14:ligatures w14:val="standardContextual"/>
              </w:rPr>
              <w:t xml:space="preserve">Andrews Eduardo </w:t>
            </w:r>
            <w:proofErr w:type="spellStart"/>
            <w:r w:rsidR="00CE1661">
              <w:rPr>
                <w:rFonts w:ascii="Century Gothic" w:hAnsi="Century Gothic" w:cstheme="majorHAnsi"/>
                <w:kern w:val="2"/>
                <w:sz w:val="20"/>
                <w:szCs w:val="20"/>
                <w14:ligatures w14:val="standardContextual"/>
              </w:rPr>
              <w:t>Lopez</w:t>
            </w:r>
            <w:proofErr w:type="spellEnd"/>
            <w:r w:rsidR="00CE1661">
              <w:rPr>
                <w:rFonts w:ascii="Century Gothic" w:hAnsi="Century Gothic" w:cstheme="majorHAnsi"/>
                <w:kern w:val="2"/>
                <w:sz w:val="20"/>
                <w:szCs w:val="20"/>
                <w14:ligatures w14:val="standardContextual"/>
              </w:rPr>
              <w:t xml:space="preserve"> Daza (</w:t>
            </w:r>
            <w:r w:rsidR="00477A2D" w:rsidRPr="00A822AA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apoderado) </w:t>
            </w:r>
            <w:r w:rsidR="0061398A" w:rsidRPr="00A822AA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41913A9" w14:textId="72943344" w:rsidR="00554385" w:rsidRPr="00A822AA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822AA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A822AA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822AA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E1661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316 8918576</w:t>
            </w:r>
          </w:p>
          <w:p w14:paraId="13ECDD72" w14:textId="2552DDE8" w:rsidR="00554385" w:rsidRPr="00A822AA" w:rsidRDefault="00554385" w:rsidP="00477A2D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A822AA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A822AA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822AA">
              <w:rPr>
                <w:rFonts w:ascii="Century Gothic" w:hAnsi="Century Gothic" w:cstheme="maj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A822AA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hyperlink r:id="rId8" w:history="1">
              <w:r w:rsidR="00CE1661" w:rsidRPr="00750010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aele32@hotmail.com</w:t>
              </w:r>
            </w:hyperlink>
            <w:r w:rsidR="00C6493F" w:rsidRPr="00A822AA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="003979F7" w:rsidRPr="00A822AA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</w:tr>
      <w:tr w:rsidR="00477A2D" w:rsidRPr="00A822AA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4C894D" w14:textId="1F17E246" w:rsidR="008D791C" w:rsidRPr="00A822AA" w:rsidRDefault="00A822AA" w:rsidP="0061398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Fulgencio Giraldo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Andradre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Estrada</w:t>
            </w:r>
            <w:r w:rsidR="008D791C" w:rsidRPr="00A822AA">
              <w:rPr>
                <w:rFonts w:ascii="Century Gothic" w:hAnsi="Century Gothic" w:cstheme="majorHAnsi"/>
                <w:sz w:val="20"/>
                <w:szCs w:val="20"/>
              </w:rPr>
              <w:t xml:space="preserve"> (conductor) </w:t>
            </w:r>
          </w:p>
          <w:p w14:paraId="40F46656" w14:textId="39005F63" w:rsidR="00A822AA" w:rsidRDefault="008D791C" w:rsidP="00A822A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A822AA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A822AA">
              <w:rPr>
                <w:rFonts w:ascii="Century Gothic" w:hAnsi="Century Gothic" w:cstheme="majorHAnsi"/>
                <w:sz w:val="20"/>
                <w:szCs w:val="20"/>
              </w:rPr>
              <w:t>hz</w:t>
            </w:r>
            <w:proofErr w:type="spellEnd"/>
            <w:r w:rsidR="00A822AA">
              <w:rPr>
                <w:rFonts w:ascii="Century Gothic" w:hAnsi="Century Gothic" w:cstheme="majorHAnsi"/>
                <w:sz w:val="20"/>
                <w:szCs w:val="20"/>
              </w:rPr>
              <w:t xml:space="preserve"> y </w:t>
            </w:r>
            <w:proofErr w:type="spellStart"/>
            <w:r w:rsidR="00A822AA">
              <w:rPr>
                <w:rFonts w:ascii="Century Gothic" w:hAnsi="Century Gothic" w:cstheme="majorHAnsi"/>
                <w:sz w:val="20"/>
                <w:szCs w:val="20"/>
              </w:rPr>
              <w:t>Cia</w:t>
            </w:r>
            <w:proofErr w:type="spellEnd"/>
            <w:r w:rsidR="00A822AA">
              <w:rPr>
                <w:rFonts w:ascii="Century Gothic" w:hAnsi="Century Gothic" w:cstheme="majorHAnsi"/>
                <w:sz w:val="20"/>
                <w:szCs w:val="20"/>
              </w:rPr>
              <w:t xml:space="preserve"> S.C.S.</w:t>
            </w:r>
          </w:p>
          <w:p w14:paraId="2BFBC09F" w14:textId="73F60A41" w:rsidR="00015CB7" w:rsidRPr="00A822AA" w:rsidRDefault="00C6493F" w:rsidP="00A822A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A822AA">
              <w:rPr>
                <w:rFonts w:ascii="Century Gothic" w:hAnsi="Century Gothic" w:cstheme="majorHAnsi"/>
                <w:sz w:val="20"/>
                <w:szCs w:val="20"/>
              </w:rPr>
              <w:t xml:space="preserve">Equidad Seguros Generales O.C. </w:t>
            </w:r>
          </w:p>
        </w:tc>
      </w:tr>
      <w:tr w:rsidR="00477A2D" w:rsidRPr="00A822AA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75A54102" w:rsidR="00554385" w:rsidRPr="00A822AA" w:rsidRDefault="00EE7788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SP077096</w:t>
            </w:r>
          </w:p>
        </w:tc>
      </w:tr>
      <w:tr w:rsidR="00477A2D" w:rsidRPr="00A822AA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A822AA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A822AA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A822AA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A822AA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0A74B1D6" w:rsidR="00554385" w:rsidRPr="00A822AA" w:rsidRDefault="00A822AA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26</w:t>
            </w:r>
            <w:r w:rsidR="00C6493F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noviembre</w:t>
            </w:r>
            <w:r w:rsidR="00C6493F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  <w:r w:rsidR="007E20D8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B835AA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477A2D" w:rsidRPr="00A822AA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78D14732" w:rsidR="00554385" w:rsidRPr="00A822AA" w:rsidRDefault="00EE7788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15 diciembre del 2023 </w:t>
            </w:r>
            <w:r w:rsidR="00C20EC7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 la </w:t>
            </w:r>
            <w:r w:rsidR="00477A2D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C20EC7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8D791C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C6493F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C20EC7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="00477A2D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p.</w:t>
            </w:r>
            <w:r w:rsidR="00C20EC7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  <w:proofErr w:type="spellEnd"/>
            <w:r w:rsidR="00B457DB" w:rsidRPr="00A822AA"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477A2D" w:rsidRPr="00A822AA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A822AA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A822AA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A822AA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A822AA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Autorida</w:t>
            </w:r>
            <w:r w:rsidR="00967A3C"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d</w:t>
            </w: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:</w:t>
            </w:r>
            <w:r w:rsidR="00967A3C"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CD4FF9C" w:rsidR="00554385" w:rsidRPr="00A822AA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822AA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Centro </w:t>
            </w:r>
            <w:r w:rsidR="00C20EC7" w:rsidRPr="00A822AA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>de Conciliación</w:t>
            </w:r>
            <w:r w:rsidR="00921627" w:rsidRPr="00A822AA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477A2D" w:rsidRPr="00A822AA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de la </w:t>
            </w:r>
            <w:r w:rsidR="00EE7788" w:rsidRPr="00A822AA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>Alcaldía de la Unión – Nariño.</w:t>
            </w:r>
            <w:r w:rsidR="00052AF1" w:rsidRPr="00A822AA"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77A2D" w:rsidRPr="00A822AA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A822AA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A822AA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75FF8A4A" w:rsidR="00554385" w:rsidRPr="00A822AA" w:rsidRDefault="00EE7788" w:rsidP="00EE7788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color w:val="000000"/>
                <w:sz w:val="20"/>
                <w:szCs w:val="20"/>
                <w:lang w:val="es-CO" w:eastAsia="es-CO"/>
              </w:rPr>
            </w:pPr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$209'633.333, por concepto de perjuicios materiales e inmateriales.</w:t>
            </w:r>
          </w:p>
        </w:tc>
      </w:tr>
      <w:tr w:rsidR="00477A2D" w:rsidRPr="00A822AA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A822AA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  <w:shd w:val="clear" w:color="auto" w:fill="FFFFFF"/>
              </w:rPr>
            </w:pPr>
          </w:p>
        </w:tc>
      </w:tr>
      <w:tr w:rsidR="00477A2D" w:rsidRPr="00A822AA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A822AA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A822AA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EB3678" w14:textId="39D71A89" w:rsidR="00EE7788" w:rsidRPr="00A822AA" w:rsidRDefault="00EE7788" w:rsidP="00EE778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color w:val="000000"/>
                <w:sz w:val="20"/>
                <w:szCs w:val="20"/>
                <w:lang w:val="es-CO" w:eastAsia="es-CO"/>
              </w:rPr>
            </w:pPr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Los hechos de la solicitud de conciliación refieren a un accidente, ocurrido el pasado 26 de noviembre de 2018, en el que estuvo involucrado el vehículo de placas WEI 961, afiliado a la empresa Cooperativa de Transportadores de Leiva, conducido por el señor </w:t>
            </w:r>
            <w:proofErr w:type="spellStart"/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t>Anibal</w:t>
            </w:r>
            <w:proofErr w:type="spellEnd"/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 Ordoñez Caicedo y en el que se movilizaba la señora Viviana Ordoñez Ortega; y el vehículo de placas SDL 755, conducido por el señor Fulgencio Giraldo Estrada Andrade. </w:t>
            </w:r>
          </w:p>
          <w:p w14:paraId="3395546A" w14:textId="4843A7BE" w:rsidR="00EE7788" w:rsidRPr="00A822AA" w:rsidRDefault="00EE7788" w:rsidP="00EE778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  <w:p w14:paraId="02D4308B" w14:textId="77777777" w:rsidR="00EE7788" w:rsidRPr="00A822AA" w:rsidRDefault="00EE7788" w:rsidP="00EE778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t>De acuerdo con IPAT se estableció Hipótesis No. 157 atribuible al vehículo </w:t>
            </w:r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de placas SDL 755 que corresponde a invasión de carril contrario e hipótesis No. 305 de la vía pues en este caso derrumbes carril junto a la montaña. </w:t>
            </w:r>
          </w:p>
          <w:p w14:paraId="0018F231" w14:textId="2156E34B" w:rsidR="003979F7" w:rsidRPr="00A822AA" w:rsidRDefault="003979F7" w:rsidP="003979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77F8697" w14:textId="77777777" w:rsidR="00EE7788" w:rsidRPr="00A822AA" w:rsidRDefault="00EE7788" w:rsidP="00EE778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color w:val="000000"/>
                <w:sz w:val="20"/>
                <w:szCs w:val="20"/>
                <w:lang w:val="es-CO" w:eastAsia="es-CO"/>
              </w:rPr>
            </w:pPr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t>A causa del accidente, se le ocasionaron lesiones a la señora </w:t>
            </w:r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Viviana Ordoñez Ortega, con el siguiente diagnóstico:</w:t>
            </w:r>
          </w:p>
          <w:p w14:paraId="025B2D1F" w14:textId="77777777" w:rsidR="00EE7788" w:rsidRPr="00A822AA" w:rsidRDefault="00EE7788" w:rsidP="00EE778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7EDE9EB4" w14:textId="77777777" w:rsidR="00EE7788" w:rsidRPr="00A822AA" w:rsidRDefault="00EE7788" w:rsidP="00EE778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Incapacidad médico legal definitiva de cincuenta (50) días. Secuelas </w:t>
            </w:r>
            <w:proofErr w:type="gramStart"/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t>médico legales</w:t>
            </w:r>
            <w:proofErr w:type="gramEnd"/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 de perturbación funcional de órgano de la visión de carácter permanente. </w:t>
            </w:r>
          </w:p>
          <w:p w14:paraId="3D7B522F" w14:textId="77777777" w:rsidR="00EE7788" w:rsidRPr="00A822AA" w:rsidRDefault="00EE7788" w:rsidP="00EE778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66581B57" w14:textId="0DD9E92C" w:rsidR="00EE7788" w:rsidRPr="00A822AA" w:rsidRDefault="00EE7788" w:rsidP="00EE778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t>Se pretende afectar </w:t>
            </w:r>
            <w:r w:rsidRPr="00A822AA">
              <w:rPr>
                <w:rFonts w:ascii="Century Gothic" w:hAnsi="Century Gothic" w:cstheme="maj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la Póliza No. AA007517</w:t>
            </w:r>
            <w:r w:rsidRPr="00A822AA">
              <w:rPr>
                <w:rFonts w:ascii="Century Gothic" w:hAnsi="Century Gothic" w:cstheme="majorHAnsi"/>
                <w:color w:val="000000"/>
                <w:sz w:val="20"/>
                <w:szCs w:val="20"/>
                <w:bdr w:val="none" w:sz="0" w:space="0" w:color="auto" w:frame="1"/>
              </w:rPr>
              <w:t>.  </w:t>
            </w:r>
          </w:p>
          <w:p w14:paraId="5F9A9499" w14:textId="77777777" w:rsidR="00EE7788" w:rsidRPr="00A822AA" w:rsidRDefault="00EE7788" w:rsidP="003979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9C6B19C" w14:textId="567E0429" w:rsidR="00CE2865" w:rsidRPr="00A822AA" w:rsidRDefault="00CE2865" w:rsidP="00B45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  <w:lang w:val="es-CO" w:eastAsia="es-CO"/>
              </w:rPr>
            </w:pPr>
          </w:p>
        </w:tc>
      </w:tr>
      <w:tr w:rsidR="00477A2D" w:rsidRPr="00A822AA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A822AA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A822AA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A822AA" w:rsidRDefault="00554385" w:rsidP="00011806">
            <w:pPr>
              <w:pStyle w:val="Sinespaciado"/>
              <w:spacing w:before="240"/>
              <w:rPr>
                <w:rFonts w:ascii="Century Gothic" w:hAnsi="Century Gothic" w:cstheme="majorHAnsi"/>
                <w:b w:val="0"/>
                <w:bCs w:val="0"/>
                <w:lang w:eastAsia="en-US"/>
              </w:rPr>
            </w:pPr>
            <w:r w:rsidRPr="00A822AA">
              <w:rPr>
                <w:rFonts w:ascii="Century Gothic" w:hAnsi="Century Gothic" w:cstheme="majorHAnsi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A822AA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A822AA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theme="majorHAnsi"/>
          <w:sz w:val="20"/>
          <w:szCs w:val="20"/>
        </w:rPr>
      </w:pPr>
    </w:p>
    <w:sectPr w:rsidR="00AC0325" w:rsidRPr="00A822AA" w:rsidSect="00DE778B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F7C3" w14:textId="77777777" w:rsidR="0059273C" w:rsidRDefault="0059273C" w:rsidP="008133D3">
      <w:r>
        <w:separator/>
      </w:r>
    </w:p>
  </w:endnote>
  <w:endnote w:type="continuationSeparator" w:id="0">
    <w:p w14:paraId="212961F8" w14:textId="77777777" w:rsidR="0059273C" w:rsidRDefault="0059273C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D027" w14:textId="77777777" w:rsidR="0059273C" w:rsidRDefault="0059273C" w:rsidP="008133D3">
      <w:r>
        <w:separator/>
      </w:r>
    </w:p>
  </w:footnote>
  <w:footnote w:type="continuationSeparator" w:id="0">
    <w:p w14:paraId="14004406" w14:textId="77777777" w:rsidR="0059273C" w:rsidRDefault="0059273C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3836"/>
    <w:multiLevelType w:val="multilevel"/>
    <w:tmpl w:val="6E8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9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2"/>
  </w:num>
  <w:num w:numId="7" w16cid:durableId="1490365404">
    <w:abstractNumId w:val="1"/>
  </w:num>
  <w:num w:numId="8" w16cid:durableId="502429709">
    <w:abstractNumId w:val="11"/>
  </w:num>
  <w:num w:numId="9" w16cid:durableId="1512988184">
    <w:abstractNumId w:val="8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3"/>
  </w:num>
  <w:num w:numId="13" w16cid:durableId="1818184863">
    <w:abstractNumId w:val="14"/>
  </w:num>
  <w:num w:numId="14" w16cid:durableId="800420403">
    <w:abstractNumId w:val="2"/>
  </w:num>
  <w:num w:numId="15" w16cid:durableId="222376278">
    <w:abstractNumId w:val="15"/>
  </w:num>
  <w:num w:numId="16" w16cid:durableId="1951353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352"/>
    <w:rsid w:val="00052AF1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1B38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4332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979F7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53EC5"/>
    <w:rsid w:val="00457C74"/>
    <w:rsid w:val="00471566"/>
    <w:rsid w:val="00471E80"/>
    <w:rsid w:val="00477A2D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273C"/>
    <w:rsid w:val="00596418"/>
    <w:rsid w:val="005A07F3"/>
    <w:rsid w:val="005B2270"/>
    <w:rsid w:val="005B32E2"/>
    <w:rsid w:val="005C2B26"/>
    <w:rsid w:val="005D2E33"/>
    <w:rsid w:val="005F4EC8"/>
    <w:rsid w:val="0061398A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1691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D791C"/>
    <w:rsid w:val="008E5565"/>
    <w:rsid w:val="00921627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822AA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457DB"/>
    <w:rsid w:val="00B70941"/>
    <w:rsid w:val="00B72C70"/>
    <w:rsid w:val="00B835AA"/>
    <w:rsid w:val="00BB2A9C"/>
    <w:rsid w:val="00BD1EFE"/>
    <w:rsid w:val="00BD5F8E"/>
    <w:rsid w:val="00BF6F4E"/>
    <w:rsid w:val="00C0163C"/>
    <w:rsid w:val="00C105FD"/>
    <w:rsid w:val="00C16C42"/>
    <w:rsid w:val="00C20EC7"/>
    <w:rsid w:val="00C24302"/>
    <w:rsid w:val="00C3159C"/>
    <w:rsid w:val="00C33269"/>
    <w:rsid w:val="00C40D29"/>
    <w:rsid w:val="00C62C51"/>
    <w:rsid w:val="00C6493F"/>
    <w:rsid w:val="00C80695"/>
    <w:rsid w:val="00C86799"/>
    <w:rsid w:val="00C90DC7"/>
    <w:rsid w:val="00CA4D87"/>
    <w:rsid w:val="00CA77EE"/>
    <w:rsid w:val="00CC0220"/>
    <w:rsid w:val="00CD1719"/>
    <w:rsid w:val="00CE1661"/>
    <w:rsid w:val="00CE2865"/>
    <w:rsid w:val="00CF04BA"/>
    <w:rsid w:val="00D16E4B"/>
    <w:rsid w:val="00D26A1B"/>
    <w:rsid w:val="00D26E76"/>
    <w:rsid w:val="00D44072"/>
    <w:rsid w:val="00D91EA0"/>
    <w:rsid w:val="00DB477E"/>
    <w:rsid w:val="00DC2527"/>
    <w:rsid w:val="00DC70DC"/>
    <w:rsid w:val="00DE778B"/>
    <w:rsid w:val="00E01589"/>
    <w:rsid w:val="00E119FB"/>
    <w:rsid w:val="00E12CF0"/>
    <w:rsid w:val="00E27BE7"/>
    <w:rsid w:val="00E9018F"/>
    <w:rsid w:val="00E96C1D"/>
    <w:rsid w:val="00EA40E7"/>
    <w:rsid w:val="00EB738F"/>
    <w:rsid w:val="00EB749C"/>
    <w:rsid w:val="00ED7C8D"/>
    <w:rsid w:val="00EE2D05"/>
    <w:rsid w:val="00EE2D14"/>
    <w:rsid w:val="00EE7788"/>
    <w:rsid w:val="00EF15CC"/>
    <w:rsid w:val="00F15379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e32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3</cp:revision>
  <cp:lastPrinted>2023-12-01T21:19:00Z</cp:lastPrinted>
  <dcterms:created xsi:type="dcterms:W3CDTF">2023-12-14T15:34:00Z</dcterms:created>
  <dcterms:modified xsi:type="dcterms:W3CDTF">2023-12-14T15:36:00Z</dcterms:modified>
</cp:coreProperties>
</file>