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F3828" w:rsidRDefault="00906282" w:rsidP="00906282">
      <w:pPr>
        <w:jc w:val="center"/>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F3828">
        <w:rPr>
          <w:rFonts w:ascii="Aharoni" w:hAnsi="Aharoni" w:cs="Aharoni"/>
          <w:b/>
          <w:color w:val="A5A5A5" w:themeColor="accent3"/>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F3828" w:rsidRDefault="00375DE6" w:rsidP="00375DE6">
      <w:pPr>
        <w:spacing w:after="0"/>
        <w:rPr>
          <w:rFonts w:ascii="Century Gothic" w:hAnsi="Century Gothic"/>
          <w:b/>
        </w:rPr>
      </w:pPr>
    </w:p>
    <w:p w14:paraId="0B47FE9D" w14:textId="1CA3F588" w:rsidR="00906282" w:rsidRPr="003F3828" w:rsidRDefault="00906282" w:rsidP="00906282">
      <w:pPr>
        <w:spacing w:line="360" w:lineRule="auto"/>
        <w:rPr>
          <w:rFonts w:ascii="Century Gothic" w:hAnsi="Century Gothic"/>
        </w:rPr>
      </w:pPr>
      <w:r w:rsidRPr="003F3828">
        <w:rPr>
          <w:rFonts w:ascii="Century Gothic" w:hAnsi="Century Gothic"/>
          <w:b/>
        </w:rPr>
        <w:t>Fecha Presentación del Informe</w:t>
      </w:r>
      <w:r w:rsidRPr="003F3828">
        <w:rPr>
          <w:rFonts w:ascii="Century Gothic" w:hAnsi="Century Gothic"/>
        </w:rPr>
        <w:t xml:space="preserve">:  </w:t>
      </w:r>
      <w:sdt>
        <w:sdtPr>
          <w:rPr>
            <w:rStyle w:val="Estilo3"/>
            <w:b w:val="0"/>
            <w:bCs/>
          </w:rPr>
          <w:alias w:val="FECHA"/>
          <w:tag w:val="FEHCA"/>
          <w:id w:val="302663996"/>
          <w:placeholder>
            <w:docPart w:val="7648FE0BD8524C4CB75B438B661094CE"/>
          </w:placeholder>
          <w:date w:fullDate="2024-08-26T00:00:00Z">
            <w:dateFormat w:val="dd/MM/yyyy"/>
            <w:lid w:val="es-CO"/>
            <w:storeMappedDataAs w:val="dateTime"/>
            <w:calendar w:val="gregorian"/>
          </w:date>
        </w:sdtPr>
        <w:sdtEndPr>
          <w:rPr>
            <w:rStyle w:val="Fuentedeprrafopredeter"/>
            <w:rFonts w:asciiTheme="minorHAnsi" w:hAnsiTheme="minorHAnsi"/>
            <w:b/>
            <w:caps w:val="0"/>
          </w:rPr>
        </w:sdtEndPr>
        <w:sdtContent>
          <w:r w:rsidR="00253497">
            <w:rPr>
              <w:rStyle w:val="Estilo3"/>
              <w:b w:val="0"/>
              <w:bCs/>
            </w:rPr>
            <w:t>2</w:t>
          </w:r>
          <w:r w:rsidR="00EA01EE">
            <w:rPr>
              <w:rStyle w:val="Estilo3"/>
              <w:b w:val="0"/>
              <w:bCs/>
            </w:rPr>
            <w:t>6</w:t>
          </w:r>
          <w:r w:rsidR="005167D8" w:rsidRPr="003F3828">
            <w:rPr>
              <w:rStyle w:val="Estilo3"/>
              <w:b w:val="0"/>
              <w:bCs/>
            </w:rPr>
            <w:t>/</w:t>
          </w:r>
          <w:r w:rsidR="005158E3">
            <w:rPr>
              <w:rStyle w:val="Estilo3"/>
              <w:b w:val="0"/>
              <w:bCs/>
            </w:rPr>
            <w:t>0</w:t>
          </w:r>
          <w:r w:rsidR="00D406B1">
            <w:rPr>
              <w:rStyle w:val="Estilo3"/>
              <w:b w:val="0"/>
              <w:bCs/>
            </w:rPr>
            <w:t>8</w:t>
          </w:r>
          <w:r w:rsidR="005167D8" w:rsidRPr="003F3828">
            <w:rPr>
              <w:rStyle w:val="Estilo3"/>
              <w:b w:val="0"/>
              <w:bCs/>
            </w:rPr>
            <w:t>/202</w:t>
          </w:r>
          <w:r w:rsidR="005158E3">
            <w:rPr>
              <w:rStyle w:val="Estilo3"/>
              <w:b w:val="0"/>
              <w:bCs/>
            </w:rPr>
            <w:t>4</w:t>
          </w:r>
        </w:sdtContent>
      </w:sdt>
      <w:r w:rsidRPr="003F3828">
        <w:rPr>
          <w:rFonts w:ascii="Century Gothic" w:hAnsi="Century Gothic"/>
        </w:rPr>
        <w:t xml:space="preserve">                                       </w:t>
      </w:r>
    </w:p>
    <w:p w14:paraId="63FF7917" w14:textId="673978F3" w:rsidR="00906282" w:rsidRPr="003F3828" w:rsidRDefault="00906282" w:rsidP="00906282">
      <w:pPr>
        <w:spacing w:line="360" w:lineRule="auto"/>
        <w:rPr>
          <w:rFonts w:ascii="Century Gothic" w:hAnsi="Century Gothic"/>
        </w:rPr>
      </w:pPr>
      <w:r w:rsidRPr="003F3828">
        <w:rPr>
          <w:rFonts w:ascii="Century Gothic" w:hAnsi="Century Gothic"/>
          <w:b/>
        </w:rPr>
        <w:t>SGC</w:t>
      </w:r>
      <w:r w:rsidRPr="003F3828">
        <w:rPr>
          <w:rFonts w:ascii="Century Gothic" w:hAnsi="Century Gothic"/>
        </w:rPr>
        <w:t xml:space="preserve">: </w:t>
      </w:r>
      <w:r w:rsidR="008122C9" w:rsidRPr="003F3828">
        <w:rPr>
          <w:rFonts w:ascii="Century Gothic" w:hAnsi="Century Gothic"/>
          <w:color w:val="000000"/>
          <w:shd w:val="clear" w:color="auto" w:fill="FFFFFF"/>
        </w:rPr>
        <w:t> </w:t>
      </w:r>
      <w:r w:rsidR="008D0931">
        <w:rPr>
          <w:rFonts w:ascii="Century Gothic" w:hAnsi="Century Gothic"/>
          <w:color w:val="000000"/>
          <w:shd w:val="clear" w:color="auto" w:fill="FFFFFF"/>
        </w:rPr>
        <w:t>9969</w:t>
      </w:r>
    </w:p>
    <w:p w14:paraId="5AD56010" w14:textId="511ED608" w:rsidR="00906282" w:rsidRPr="003F3828" w:rsidRDefault="00906282" w:rsidP="00906282">
      <w:pPr>
        <w:spacing w:line="360" w:lineRule="auto"/>
        <w:rPr>
          <w:rFonts w:ascii="Century Gothic" w:hAnsi="Century Gothic"/>
        </w:rPr>
      </w:pPr>
      <w:r w:rsidRPr="003F3828">
        <w:rPr>
          <w:rFonts w:ascii="Century Gothic" w:hAnsi="Century Gothic"/>
          <w:b/>
        </w:rPr>
        <w:t>Despacho Judicial</w:t>
      </w:r>
      <w:r w:rsidRPr="003F3828">
        <w:rPr>
          <w:rFonts w:ascii="Century Gothic" w:hAnsi="Century Gothic"/>
        </w:rPr>
        <w:t xml:space="preserve">: </w:t>
      </w:r>
      <w:sdt>
        <w:sdtPr>
          <w:rPr>
            <w:rStyle w:val="Estilo3"/>
            <w:b w:val="0"/>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8D0931">
            <w:rPr>
              <w:rStyle w:val="Estilo3"/>
              <w:b w:val="0"/>
            </w:rPr>
            <w:t>3</w:t>
          </w:r>
          <w:r w:rsidR="00183537">
            <w:rPr>
              <w:rStyle w:val="Estilo3"/>
              <w:b w:val="0"/>
            </w:rPr>
            <w:t>6</w:t>
          </w:r>
        </w:sdtContent>
      </w:sdt>
      <w:r w:rsidRPr="003F3828">
        <w:rPr>
          <w:rFonts w:ascii="Century Gothic" w:hAnsi="Century Gothic"/>
          <w:bCs/>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b/>
            <w:caps w:val="0"/>
          </w:rPr>
        </w:sdtEndPr>
        <w:sdtContent>
          <w:r w:rsidR="00183537">
            <w:rPr>
              <w:rStyle w:val="Estilo3"/>
              <w:b w:val="0"/>
            </w:rPr>
            <w:t>CIVIL DEL CIRCUITO</w:t>
          </w:r>
        </w:sdtContent>
      </w:sdt>
      <w:r w:rsidRPr="003F3828">
        <w:rPr>
          <w:rFonts w:ascii="Century Gothic" w:hAnsi="Century Gothic"/>
          <w:bCs/>
        </w:rPr>
        <w:t xml:space="preserve">  </w:t>
      </w:r>
      <w:sdt>
        <w:sdtPr>
          <w:rPr>
            <w:rStyle w:val="Estilo3"/>
            <w:b w:val="0"/>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183537">
            <w:rPr>
              <w:rStyle w:val="Estilo3"/>
              <w:b w:val="0"/>
            </w:rPr>
            <w:t>BOGOTÁ</w:t>
          </w:r>
        </w:sdtContent>
      </w:sdt>
    </w:p>
    <w:p w14:paraId="46D3378E" w14:textId="59D64218" w:rsidR="00906282" w:rsidRPr="003F3828" w:rsidRDefault="00906282" w:rsidP="00906282">
      <w:pPr>
        <w:spacing w:line="360" w:lineRule="auto"/>
        <w:rPr>
          <w:rFonts w:ascii="Century Gothic" w:hAnsi="Century Gothic"/>
        </w:rPr>
      </w:pPr>
      <w:r w:rsidRPr="003F3828">
        <w:rPr>
          <w:rFonts w:ascii="Century Gothic" w:hAnsi="Century Gothic"/>
          <w:b/>
        </w:rPr>
        <w:t>Radicado</w:t>
      </w:r>
      <w:r w:rsidRPr="003F3828">
        <w:rPr>
          <w:rFonts w:ascii="Century Gothic" w:hAnsi="Century Gothic"/>
        </w:rPr>
        <w:t>:</w:t>
      </w:r>
      <w:sdt>
        <w:sdtPr>
          <w:rPr>
            <w:rStyle w:val="Estilo3"/>
          </w:rPr>
          <w:alias w:val="RADICADO"/>
          <w:tag w:val="RADICADO"/>
          <w:id w:val="-31735373"/>
          <w:placeholder>
            <w:docPart w:val="2A04DD0832104E9B9C6DF4825D091F15"/>
          </w:placeholder>
          <w:text/>
        </w:sdtPr>
        <w:sdtContent>
          <w:r w:rsidR="005C13F6" w:rsidRPr="005C13F6">
            <w:rPr>
              <w:rStyle w:val="Estilo3"/>
            </w:rPr>
            <w:t>110013103036-2023-00604-00</w:t>
          </w:r>
        </w:sdtContent>
      </w:sdt>
    </w:p>
    <w:p w14:paraId="59898224" w14:textId="4EBCB6F5" w:rsidR="00726FDE" w:rsidRPr="003F3828" w:rsidRDefault="00906282" w:rsidP="00E241DB">
      <w:pPr>
        <w:spacing w:line="360" w:lineRule="auto"/>
        <w:jc w:val="both"/>
        <w:rPr>
          <w:rStyle w:val="Estilo3"/>
          <w:b w:val="0"/>
          <w:bCs/>
        </w:rPr>
      </w:pPr>
      <w:r w:rsidRPr="003F3828">
        <w:rPr>
          <w:rFonts w:ascii="Century Gothic" w:hAnsi="Century Gothic"/>
          <w:b/>
        </w:rPr>
        <w:t>Demandante</w:t>
      </w:r>
      <w:r w:rsidRPr="003F3828">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652D3C" w:rsidRPr="00652D3C">
            <w:rPr>
              <w:rStyle w:val="Estilo3"/>
              <w:b w:val="0"/>
              <w:bCs/>
            </w:rPr>
            <w:t>SECRETARÍA DISTRITAL DE MOVILIDAD DE BOGOTÁ</w:t>
          </w:r>
        </w:sdtContent>
      </w:sdt>
    </w:p>
    <w:p w14:paraId="1A4DA51E" w14:textId="07411581" w:rsidR="00906282" w:rsidRPr="003F3828" w:rsidRDefault="00906282" w:rsidP="00906282">
      <w:pPr>
        <w:spacing w:line="360" w:lineRule="auto"/>
        <w:rPr>
          <w:rFonts w:ascii="Century Gothic" w:hAnsi="Century Gothic"/>
        </w:rPr>
      </w:pPr>
      <w:r w:rsidRPr="003F3828">
        <w:rPr>
          <w:rFonts w:ascii="Century Gothic" w:hAnsi="Century Gothic"/>
          <w:b/>
        </w:rPr>
        <w:t>Demandado</w:t>
      </w:r>
      <w:r w:rsidRPr="003F3828">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1156A4" w:rsidRPr="001156A4">
            <w:rPr>
              <w:rStyle w:val="Estilo3"/>
              <w:b w:val="0"/>
              <w:bCs/>
            </w:rPr>
            <w:t>LA EQUIDAD SEGUROS GENERALES O.C.</w:t>
          </w:r>
        </w:sdtContent>
      </w:sdt>
    </w:p>
    <w:p w14:paraId="2FC4428C" w14:textId="7AFA8173" w:rsidR="00906282" w:rsidRPr="003F3828" w:rsidRDefault="00906282" w:rsidP="00906282">
      <w:pPr>
        <w:spacing w:line="360" w:lineRule="auto"/>
        <w:rPr>
          <w:rFonts w:ascii="Century Gothic" w:hAnsi="Century Gothic"/>
        </w:rPr>
      </w:pPr>
      <w:r w:rsidRPr="003F3828">
        <w:rPr>
          <w:rFonts w:ascii="Century Gothic" w:hAnsi="Century Gothic"/>
          <w:b/>
        </w:rPr>
        <w:t>Llamados en Garantía</w:t>
      </w:r>
      <w:r w:rsidRPr="003F3828">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b/>
            <w:caps w:val="0"/>
          </w:rPr>
        </w:sdtEndPr>
        <w:sdtContent>
          <w:r w:rsidR="007B360A">
            <w:rPr>
              <w:rStyle w:val="Estilo3"/>
              <w:b w:val="0"/>
            </w:rPr>
            <w:t>NO</w:t>
          </w:r>
        </w:sdtContent>
      </w:sdt>
    </w:p>
    <w:p w14:paraId="1739B5C0" w14:textId="2F8BD623" w:rsidR="00906282" w:rsidRPr="003F3828" w:rsidRDefault="00906282" w:rsidP="00906282">
      <w:pPr>
        <w:spacing w:line="360" w:lineRule="auto"/>
        <w:rPr>
          <w:rFonts w:ascii="Century Gothic" w:hAnsi="Century Gothic"/>
        </w:rPr>
      </w:pPr>
      <w:r w:rsidRPr="003F3828">
        <w:rPr>
          <w:rFonts w:ascii="Century Gothic" w:hAnsi="Century Gothic"/>
          <w:b/>
        </w:rPr>
        <w:t xml:space="preserve">Tipo de Vinculación: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b/>
            <w:caps w:val="0"/>
          </w:rPr>
        </w:sdtEndPr>
        <w:sdtContent>
          <w:r w:rsidR="007B360A">
            <w:rPr>
              <w:rStyle w:val="Estilo3"/>
              <w:b w:val="0"/>
            </w:rPr>
            <w:t>DEMANDA DIRECTA</w:t>
          </w:r>
        </w:sdtContent>
      </w:sdt>
    </w:p>
    <w:p w14:paraId="1BFE45C4" w14:textId="459B967B" w:rsidR="00906282" w:rsidRPr="003F3828" w:rsidRDefault="00906282" w:rsidP="00906282">
      <w:pPr>
        <w:spacing w:line="360" w:lineRule="auto"/>
        <w:rPr>
          <w:rFonts w:ascii="Century Gothic" w:hAnsi="Century Gothic"/>
        </w:rPr>
      </w:pPr>
      <w:r w:rsidRPr="003F3828">
        <w:rPr>
          <w:rFonts w:ascii="Century Gothic" w:hAnsi="Century Gothic"/>
          <w:b/>
        </w:rPr>
        <w:t>Fecha Notificación</w:t>
      </w:r>
      <w:r w:rsidRPr="003F3828">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16T00:00:00Z">
            <w:dateFormat w:val="dd/MM/yyyy"/>
            <w:lid w:val="es-CO"/>
            <w:storeMappedDataAs w:val="dateTime"/>
            <w:calendar w:val="gregorian"/>
          </w:date>
        </w:sdtPr>
        <w:sdtEndPr>
          <w:rPr>
            <w:rStyle w:val="Fuentedeprrafopredeter"/>
            <w:rFonts w:asciiTheme="minorHAnsi" w:hAnsiTheme="minorHAnsi"/>
            <w:b/>
            <w:caps w:val="0"/>
          </w:rPr>
        </w:sdtEndPr>
        <w:sdtContent>
          <w:r w:rsidR="000A7B71">
            <w:rPr>
              <w:rStyle w:val="Estilo3"/>
              <w:b w:val="0"/>
            </w:rPr>
            <w:t>1</w:t>
          </w:r>
          <w:r w:rsidR="009575B2">
            <w:rPr>
              <w:rStyle w:val="Estilo3"/>
              <w:b w:val="0"/>
            </w:rPr>
            <w:t>6</w:t>
          </w:r>
          <w:r w:rsidR="008122C9" w:rsidRPr="003F3828">
            <w:rPr>
              <w:rStyle w:val="Estilo3"/>
              <w:b w:val="0"/>
            </w:rPr>
            <w:t>/0</w:t>
          </w:r>
          <w:r w:rsidR="009575B2">
            <w:rPr>
              <w:rStyle w:val="Estilo3"/>
              <w:b w:val="0"/>
            </w:rPr>
            <w:t>7</w:t>
          </w:r>
          <w:r w:rsidR="008122C9" w:rsidRPr="003F3828">
            <w:rPr>
              <w:rStyle w:val="Estilo3"/>
              <w:b w:val="0"/>
            </w:rPr>
            <w:t>/202</w:t>
          </w:r>
          <w:r w:rsidR="00466D39">
            <w:rPr>
              <w:rStyle w:val="Estilo3"/>
              <w:b w:val="0"/>
            </w:rPr>
            <w:t>4</w:t>
          </w:r>
        </w:sdtContent>
      </w:sdt>
    </w:p>
    <w:p w14:paraId="04C740D4" w14:textId="0A37E286" w:rsidR="00906282" w:rsidRPr="003F3828" w:rsidRDefault="00906282" w:rsidP="00906282">
      <w:pPr>
        <w:spacing w:line="360" w:lineRule="auto"/>
        <w:rPr>
          <w:rFonts w:ascii="Century Gothic" w:hAnsi="Century Gothic"/>
        </w:rPr>
      </w:pPr>
      <w:r w:rsidRPr="003F3828">
        <w:rPr>
          <w:rFonts w:ascii="Century Gothic" w:hAnsi="Century Gothic"/>
          <w:b/>
        </w:rPr>
        <w:t>Fecha fin Término</w:t>
      </w:r>
      <w:r w:rsidRPr="003F3828">
        <w:rPr>
          <w:rFonts w:ascii="Century Gothic" w:hAnsi="Century Gothic"/>
        </w:rPr>
        <w:t xml:space="preserve">: </w:t>
      </w:r>
      <w:sdt>
        <w:sdtPr>
          <w:rPr>
            <w:rFonts w:ascii="Century Gothic" w:hAnsi="Century Gothic"/>
          </w:rPr>
          <w:id w:val="-62026635"/>
          <w:placeholder>
            <w:docPart w:val="058B5A2D546346938DE7ED9DE620076B"/>
          </w:placeholder>
          <w:date w:fullDate="2024-08-14T00:00:00Z">
            <w:dateFormat w:val="dd/MM/yyyy"/>
            <w:lid w:val="es-CO"/>
            <w:storeMappedDataAs w:val="dateTime"/>
            <w:calendar w:val="gregorian"/>
          </w:date>
        </w:sdtPr>
        <w:sdtContent>
          <w:r w:rsidR="000A7B71">
            <w:rPr>
              <w:rFonts w:ascii="Century Gothic" w:hAnsi="Century Gothic"/>
            </w:rPr>
            <w:t>14</w:t>
          </w:r>
          <w:r w:rsidR="007A2114">
            <w:rPr>
              <w:rFonts w:ascii="Century Gothic" w:hAnsi="Century Gothic"/>
            </w:rPr>
            <w:t>/0</w:t>
          </w:r>
          <w:r w:rsidR="000A7B71">
            <w:rPr>
              <w:rFonts w:ascii="Century Gothic" w:hAnsi="Century Gothic"/>
            </w:rPr>
            <w:t>8</w:t>
          </w:r>
          <w:r w:rsidR="008122C9" w:rsidRPr="003F3828">
            <w:rPr>
              <w:rFonts w:ascii="Century Gothic" w:hAnsi="Century Gothic"/>
            </w:rPr>
            <w:t>/202</w:t>
          </w:r>
          <w:r w:rsidR="00FA27A5">
            <w:rPr>
              <w:rFonts w:ascii="Century Gothic" w:hAnsi="Century Gothic"/>
            </w:rPr>
            <w:t>4</w:t>
          </w:r>
        </w:sdtContent>
      </w:sdt>
    </w:p>
    <w:p w14:paraId="6B0EC993" w14:textId="0E5FCA22" w:rsidR="00906282" w:rsidRPr="003F3828" w:rsidRDefault="00906282" w:rsidP="00906282">
      <w:pPr>
        <w:spacing w:line="360" w:lineRule="auto"/>
        <w:rPr>
          <w:rFonts w:ascii="Century Gothic" w:hAnsi="Century Gothic"/>
        </w:rPr>
      </w:pPr>
      <w:r w:rsidRPr="003F3828">
        <w:rPr>
          <w:rFonts w:ascii="Century Gothic" w:hAnsi="Century Gothic"/>
          <w:b/>
        </w:rPr>
        <w:t>Fecha Siniestro</w:t>
      </w:r>
      <w:r w:rsidRPr="003F3828">
        <w:rPr>
          <w:rFonts w:ascii="Century Gothic" w:hAnsi="Century Gothic"/>
        </w:rPr>
        <w:t xml:space="preserve">:  </w:t>
      </w:r>
      <w:sdt>
        <w:sdtPr>
          <w:rPr>
            <w:rFonts w:ascii="Century Gothic" w:hAnsi="Century Gothic"/>
            <w:color w:val="000000" w:themeColor="text1"/>
          </w:rPr>
          <w:alias w:val="FECHA"/>
          <w:tag w:val="FEHCA"/>
          <w:id w:val="1298109440"/>
          <w:placeholder>
            <w:docPart w:val="7B79A3F3CDAC4E69BBE8C2888BCC0E7C"/>
          </w:placeholder>
          <w:date>
            <w:dateFormat w:val="dd/MM/yyyy"/>
            <w:lid w:val="es-CO"/>
            <w:storeMappedDataAs w:val="dateTime"/>
            <w:calendar w:val="gregorian"/>
          </w:date>
        </w:sdtPr>
        <w:sdtContent>
          <w:r w:rsidR="00CC6795" w:rsidRPr="00CC6795">
            <w:rPr>
              <w:rFonts w:ascii="Century Gothic" w:hAnsi="Century Gothic"/>
              <w:color w:val="000000" w:themeColor="text1"/>
            </w:rPr>
            <w:t>00/00/0000 SE ADJUNTA TABLA EN EXCEL DE LOS SINIESTROS</w:t>
          </w:r>
        </w:sdtContent>
      </w:sdt>
    </w:p>
    <w:p w14:paraId="3157EDF6" w14:textId="641A766A" w:rsidR="00906282" w:rsidRPr="003F3828" w:rsidRDefault="00906282" w:rsidP="00F84320">
      <w:pPr>
        <w:spacing w:line="360" w:lineRule="auto"/>
        <w:jc w:val="both"/>
        <w:rPr>
          <w:rFonts w:ascii="Century Gothic" w:hAnsi="Century Gothic"/>
          <w:color w:val="FF0000"/>
        </w:rPr>
      </w:pPr>
      <w:r w:rsidRPr="003F3828">
        <w:rPr>
          <w:rFonts w:ascii="Century Gothic" w:hAnsi="Century Gothic"/>
          <w:b/>
        </w:rPr>
        <w:t>Hechos</w:t>
      </w:r>
      <w:r w:rsidRPr="003F3828">
        <w:rPr>
          <w:rFonts w:ascii="Century Gothic" w:hAnsi="Century Gothic"/>
        </w:rPr>
        <w:t xml:space="preserve">:   </w:t>
      </w:r>
      <w:sdt>
        <w:sdtPr>
          <w:rPr>
            <w:rFonts w:ascii="Century Gothic" w:hAnsi="Century Gothic"/>
            <w:color w:val="000000" w:themeColor="text1"/>
          </w:rPr>
          <w:alias w:val="HECHOS"/>
          <w:tag w:val="HECHOS"/>
          <w:id w:val="-654141650"/>
          <w:placeholder>
            <w:docPart w:val="77B7100F3C8E4F28A3681AAA13B78C22"/>
          </w:placeholder>
          <w:text/>
        </w:sdtPr>
        <w:sdtContent>
          <w:r w:rsidR="00F46C80" w:rsidRPr="00C27BCD">
            <w:rPr>
              <w:rFonts w:ascii="Century Gothic" w:hAnsi="Century Gothic"/>
              <w:color w:val="000000" w:themeColor="text1"/>
            </w:rPr>
            <w:t xml:space="preserve">1. Según los hechos de la demanda, la </w:t>
          </w:r>
          <w:r w:rsidR="005C4FE0" w:rsidRPr="00C27BCD">
            <w:rPr>
              <w:rFonts w:ascii="Century Gothic" w:hAnsi="Century Gothic"/>
              <w:color w:val="000000" w:themeColor="text1"/>
            </w:rPr>
            <w:t>Secretaría Distrital de Movilidad</w:t>
          </w:r>
          <w:r w:rsidR="00F46C80">
            <w:rPr>
              <w:rFonts w:ascii="Century Gothic" w:hAnsi="Century Gothic"/>
              <w:color w:val="000000" w:themeColor="text1"/>
            </w:rPr>
            <w:t xml:space="preserve"> de Bogotá</w:t>
          </w:r>
          <w:r w:rsidR="007D6FC3">
            <w:rPr>
              <w:rFonts w:ascii="Century Gothic" w:hAnsi="Century Gothic"/>
              <w:color w:val="000000" w:themeColor="text1"/>
            </w:rPr>
            <w:t xml:space="preserve"> </w:t>
          </w:r>
          <w:r w:rsidR="00F46C80" w:rsidRPr="00C27BCD">
            <w:rPr>
              <w:rFonts w:ascii="Century Gothic" w:hAnsi="Century Gothic"/>
              <w:color w:val="000000" w:themeColor="text1"/>
            </w:rPr>
            <w:t xml:space="preserve">suscribió acuerdos de pago con ciudadanos deudores por multas </w:t>
          </w:r>
          <w:r w:rsidR="007D6FC3">
            <w:rPr>
              <w:rFonts w:ascii="Century Gothic" w:hAnsi="Century Gothic"/>
              <w:color w:val="000000" w:themeColor="text1"/>
            </w:rPr>
            <w:t>derivadas de</w:t>
          </w:r>
          <w:r w:rsidR="00F46C80" w:rsidRPr="00C27BCD">
            <w:rPr>
              <w:rFonts w:ascii="Century Gothic" w:hAnsi="Century Gothic"/>
              <w:color w:val="000000" w:themeColor="text1"/>
            </w:rPr>
            <w:t xml:space="preserve"> infracciones de tránsito. Dentro de dichos acuerdos de pago, los deudores se obliga</w:t>
          </w:r>
          <w:r w:rsidR="00183628">
            <w:rPr>
              <w:rFonts w:ascii="Century Gothic" w:hAnsi="Century Gothic"/>
              <w:color w:val="000000" w:themeColor="text1"/>
            </w:rPr>
            <w:t>ro</w:t>
          </w:r>
          <w:r w:rsidR="00F46C80" w:rsidRPr="00C27BCD">
            <w:rPr>
              <w:rFonts w:ascii="Century Gothic" w:hAnsi="Century Gothic"/>
              <w:color w:val="000000" w:themeColor="text1"/>
            </w:rPr>
            <w:t xml:space="preserve">n a suscribir una póliza de seguro con La Equidad Seguros Generales O.C. en la que esta se </w:t>
          </w:r>
          <w:r w:rsidR="008929FE">
            <w:rPr>
              <w:rFonts w:ascii="Century Gothic" w:hAnsi="Century Gothic"/>
              <w:color w:val="000000" w:themeColor="text1"/>
            </w:rPr>
            <w:t>allanaba</w:t>
          </w:r>
          <w:r w:rsidR="00F46C80" w:rsidRPr="00C27BCD">
            <w:rPr>
              <w:rFonts w:ascii="Century Gothic" w:hAnsi="Century Gothic"/>
              <w:color w:val="000000" w:themeColor="text1"/>
            </w:rPr>
            <w:t xml:space="preserve"> a pagar en favor de la </w:t>
          </w:r>
          <w:r w:rsidR="00093870">
            <w:rPr>
              <w:rFonts w:ascii="Century Gothic" w:hAnsi="Century Gothic"/>
              <w:color w:val="000000" w:themeColor="text1"/>
            </w:rPr>
            <w:t>SDM</w:t>
          </w:r>
          <w:r w:rsidR="00893B5E">
            <w:rPr>
              <w:rFonts w:ascii="Century Gothic" w:hAnsi="Century Gothic"/>
              <w:color w:val="000000" w:themeColor="text1"/>
            </w:rPr>
            <w:t xml:space="preserve"> </w:t>
          </w:r>
          <w:r w:rsidR="00F46C80" w:rsidRPr="00C27BCD">
            <w:rPr>
              <w:rFonts w:ascii="Century Gothic" w:hAnsi="Century Gothic"/>
              <w:color w:val="000000" w:themeColor="text1"/>
            </w:rPr>
            <w:t>el saldo insoluto de las obligaciones amparadas cuando estos estuvieran en mora por más de 24 meses. Dicho pago estaba sujeto, además, a que la S</w:t>
          </w:r>
          <w:r w:rsidR="00652C05">
            <w:rPr>
              <w:rFonts w:ascii="Century Gothic" w:hAnsi="Century Gothic"/>
              <w:color w:val="000000" w:themeColor="text1"/>
            </w:rPr>
            <w:t>DM</w:t>
          </w:r>
          <w:r w:rsidR="00F46C80" w:rsidRPr="00C27BCD">
            <w:rPr>
              <w:rFonts w:ascii="Century Gothic" w:hAnsi="Century Gothic"/>
              <w:color w:val="000000" w:themeColor="text1"/>
            </w:rPr>
            <w:t xml:space="preserve"> cumpliera con las garantías estipuladas en el contrato de seguro. 2. Durante los años 2021</w:t>
          </w:r>
          <w:r w:rsidR="00392090">
            <w:rPr>
              <w:rFonts w:ascii="Century Gothic" w:hAnsi="Century Gothic"/>
              <w:color w:val="000000" w:themeColor="text1"/>
            </w:rPr>
            <w:t xml:space="preserve"> y 2024</w:t>
          </w:r>
          <w:r w:rsidR="00F46C80" w:rsidRPr="00C27BCD">
            <w:rPr>
              <w:rFonts w:ascii="Century Gothic" w:hAnsi="Century Gothic"/>
              <w:color w:val="000000" w:themeColor="text1"/>
            </w:rPr>
            <w:t>, muchos de los acuerdos de pago adquirieron el status de impagados, razón por la cual la SDM presentó múltiples reclamaciones a la Equidad Seguros con el objetivo de que la compañía aseguradora pagara las obligaciones en mora. 3. La Equidad Seguros</w:t>
          </w:r>
          <w:r w:rsidR="00093870">
            <w:rPr>
              <w:rFonts w:ascii="Century Gothic" w:hAnsi="Century Gothic"/>
              <w:color w:val="000000" w:themeColor="text1"/>
            </w:rPr>
            <w:t xml:space="preserve"> Generales O.C.</w:t>
          </w:r>
          <w:r w:rsidR="00F46C80" w:rsidRPr="00C27BCD">
            <w:rPr>
              <w:rFonts w:ascii="Century Gothic" w:hAnsi="Century Gothic"/>
              <w:color w:val="000000" w:themeColor="text1"/>
            </w:rPr>
            <w:t xml:space="preserve"> objetó las reclamaciones bajo el argumento de que la SDM no había cumplido con las garantías del contrato, razón por la cual no era </w:t>
          </w:r>
          <w:r w:rsidR="00F46C80" w:rsidRPr="00C27BCD">
            <w:rPr>
              <w:rFonts w:ascii="Century Gothic" w:hAnsi="Century Gothic"/>
              <w:color w:val="000000" w:themeColor="text1"/>
            </w:rPr>
            <w:lastRenderedPageBreak/>
            <w:t>procedente el pago y, además, se daba por terminado el contrato por incumplimiento de</w:t>
          </w:r>
          <w:r w:rsidR="00F46C80">
            <w:rPr>
              <w:rFonts w:ascii="Century Gothic" w:hAnsi="Century Gothic"/>
              <w:color w:val="000000" w:themeColor="text1"/>
            </w:rPr>
            <w:t xml:space="preserve"> </w:t>
          </w:r>
          <w:r w:rsidR="00F46C80" w:rsidRPr="00B35C87">
            <w:rPr>
              <w:rFonts w:ascii="Century Gothic" w:hAnsi="Century Gothic"/>
              <w:color w:val="000000" w:themeColor="text1"/>
            </w:rPr>
            <w:t>garantías en virtud del artículo 1061 del C.Co. 4. Como consecuencia, la SDM presentó demanda por un grupo de 58</w:t>
          </w:r>
          <w:r w:rsidR="00F10A4A">
            <w:rPr>
              <w:rFonts w:ascii="Century Gothic" w:hAnsi="Century Gothic"/>
              <w:color w:val="000000" w:themeColor="text1"/>
            </w:rPr>
            <w:t>2</w:t>
          </w:r>
          <w:r w:rsidR="00F46C80" w:rsidRPr="00B35C87">
            <w:rPr>
              <w:rFonts w:ascii="Century Gothic" w:hAnsi="Century Gothic"/>
              <w:color w:val="000000" w:themeColor="text1"/>
            </w:rPr>
            <w:t xml:space="preserve"> pólizas que pretende hacer efectivas.   </w:t>
          </w:r>
        </w:sdtContent>
      </w:sdt>
    </w:p>
    <w:p w14:paraId="1550BD07" w14:textId="4AB5ADC5" w:rsidR="00906282" w:rsidRPr="003F3828" w:rsidRDefault="00906282" w:rsidP="00906282">
      <w:pPr>
        <w:spacing w:line="360" w:lineRule="auto"/>
        <w:rPr>
          <w:rFonts w:ascii="Century Gothic" w:hAnsi="Century Gothic"/>
        </w:rPr>
      </w:pPr>
      <w:r w:rsidRPr="003F3828">
        <w:rPr>
          <w:rFonts w:ascii="Century Gothic" w:hAnsi="Century Gothic"/>
          <w:b/>
        </w:rPr>
        <w:t>Audiencia Prejudicial</w:t>
      </w:r>
      <w:r w:rsidRPr="003F3828">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b/>
            <w:caps w:val="0"/>
          </w:rPr>
        </w:sdtEndPr>
        <w:sdtContent>
          <w:r w:rsidR="00E20E95" w:rsidRPr="003F3828">
            <w:rPr>
              <w:rStyle w:val="Estilo3"/>
              <w:b w:val="0"/>
            </w:rPr>
            <w:t>SI</w:t>
          </w:r>
        </w:sdtContent>
      </w:sdt>
    </w:p>
    <w:p w14:paraId="469A087A" w14:textId="7CA07904" w:rsidR="00E20E95" w:rsidRPr="003F3828" w:rsidRDefault="00906282" w:rsidP="00C77602">
      <w:pPr>
        <w:spacing w:line="360" w:lineRule="auto"/>
        <w:jc w:val="both"/>
        <w:rPr>
          <w:rFonts w:ascii="Century Gothic" w:hAnsi="Century Gothic"/>
        </w:rPr>
      </w:pPr>
      <w:r w:rsidRPr="003F3828">
        <w:rPr>
          <w:rFonts w:ascii="Century Gothic" w:hAnsi="Century Gothic"/>
          <w:b/>
        </w:rPr>
        <w:t>Pretensiones de la demanda</w:t>
      </w:r>
      <w:r w:rsidRPr="003F3828">
        <w:rPr>
          <w:rFonts w:ascii="Century Gothic" w:hAnsi="Century Gothic"/>
        </w:rPr>
        <w:t xml:space="preserve">:  </w:t>
      </w:r>
      <w:sdt>
        <w:sdtPr>
          <w:rPr>
            <w:rFonts w:ascii="Century Gothic" w:hAnsi="Century Gothic"/>
            <w:color w:val="000000" w:themeColor="text1"/>
          </w:rPr>
          <w:alias w:val="PRETENSIONES"/>
          <w:tag w:val="PRETENSIONES"/>
          <w:id w:val="-321507162"/>
          <w:placeholder>
            <w:docPart w:val="7057A85CA769434CB181176B5C5C151A"/>
          </w:placeholder>
          <w:text/>
        </w:sdtPr>
        <w:sdtContent>
          <w:r w:rsidR="00CB04EE" w:rsidRPr="00CB04EE">
            <w:rPr>
              <w:rFonts w:ascii="Century Gothic" w:hAnsi="Century Gothic"/>
              <w:color w:val="000000" w:themeColor="text1"/>
            </w:rPr>
            <w:t>1. Que se declare la existencia de los 582 contratos de seguro. 2. Que se declare que la SDM es la beneficiaria de los 582 contratos de seguro. 3. Que se declare que la decisión de la Equidad Seguros Generales O.C. de declarar terminados los contratos de seguro por incumplimiento de las garantías es ineficaz. 4. Que se ordene a la Equidad Seguros Generales O.C. a hacer efectivas las 582 pólizas de seguro. 5. Que se condene a la Equidad Seguros generales O.C. al pago de agencias y costas en derecho. TOTAL DE LAS PRETENSIONES: $779.972.253</w:t>
          </w:r>
          <w:r w:rsidR="00CB04EE">
            <w:rPr>
              <w:rFonts w:ascii="Century Gothic" w:hAnsi="Century Gothic"/>
              <w:color w:val="000000" w:themeColor="text1"/>
            </w:rPr>
            <w:t>.</w:t>
          </w:r>
        </w:sdtContent>
      </w:sdt>
    </w:p>
    <w:p w14:paraId="38F09232" w14:textId="4CB6F0CD" w:rsidR="00C87298" w:rsidRDefault="00906282" w:rsidP="00C87298">
      <w:pPr>
        <w:spacing w:line="360" w:lineRule="auto"/>
        <w:jc w:val="both"/>
        <w:rPr>
          <w:rFonts w:ascii="Century Gothic" w:hAnsi="Century Gothic" w:cs="Arial"/>
          <w:color w:val="000000" w:themeColor="text1"/>
        </w:rPr>
      </w:pPr>
      <w:r w:rsidRPr="003F3828">
        <w:rPr>
          <w:rFonts w:ascii="Century Gothic" w:hAnsi="Century Gothic"/>
          <w:b/>
        </w:rPr>
        <w:t xml:space="preserve">Liquidación objetivada de las pretensiones: </w:t>
      </w:r>
      <w:r w:rsidR="00C87298" w:rsidRPr="008C46A3">
        <w:rPr>
          <w:rFonts w:ascii="Century Gothic" w:hAnsi="Century Gothic"/>
          <w:color w:val="000000" w:themeColor="text1"/>
        </w:rPr>
        <w:t>Como liquidación objetiva de las pretensiones se llegó a la suma de $</w:t>
      </w:r>
      <w:r w:rsidR="00970A50">
        <w:rPr>
          <w:rFonts w:ascii="Century Gothic" w:hAnsi="Century Gothic"/>
          <w:color w:val="000000" w:themeColor="text1"/>
        </w:rPr>
        <w:t>2</w:t>
      </w:r>
      <w:r w:rsidR="00380AC8">
        <w:rPr>
          <w:rFonts w:ascii="Century Gothic" w:hAnsi="Century Gothic"/>
          <w:color w:val="000000" w:themeColor="text1"/>
        </w:rPr>
        <w:t>43.161.402</w:t>
      </w:r>
      <w:r w:rsidR="00C87298" w:rsidRPr="008C46A3">
        <w:rPr>
          <w:rFonts w:ascii="Century Gothic" w:hAnsi="Century Gothic"/>
          <w:color w:val="000000" w:themeColor="text1"/>
        </w:rPr>
        <w:t xml:space="preserve">. Lo anterior en atención a </w:t>
      </w:r>
      <w:r w:rsidR="00C108EE" w:rsidRPr="008C46A3">
        <w:rPr>
          <w:rFonts w:ascii="Century Gothic" w:hAnsi="Century Gothic"/>
          <w:color w:val="000000" w:themeColor="text1"/>
        </w:rPr>
        <w:t>que,</w:t>
      </w:r>
      <w:r w:rsidR="00C87298" w:rsidRPr="008C46A3">
        <w:rPr>
          <w:rFonts w:ascii="Century Gothic" w:hAnsi="Century Gothic"/>
          <w:color w:val="000000" w:themeColor="text1"/>
        </w:rPr>
        <w:t xml:space="preserve"> del total del saldo insoluto de las obligaciones contenidas en las 58</w:t>
      </w:r>
      <w:r w:rsidR="00970A50">
        <w:rPr>
          <w:rFonts w:ascii="Century Gothic" w:hAnsi="Century Gothic"/>
          <w:color w:val="000000" w:themeColor="text1"/>
        </w:rPr>
        <w:t>2</w:t>
      </w:r>
      <w:r w:rsidR="00C87298" w:rsidRPr="008C46A3">
        <w:rPr>
          <w:rFonts w:ascii="Century Gothic" w:hAnsi="Century Gothic"/>
          <w:color w:val="000000" w:themeColor="text1"/>
        </w:rPr>
        <w:t xml:space="preserve"> pólizas, que asciende a la suma de $</w:t>
      </w:r>
      <w:r w:rsidR="00970A50" w:rsidRPr="00CB04EE">
        <w:rPr>
          <w:rFonts w:ascii="Century Gothic" w:hAnsi="Century Gothic"/>
          <w:color w:val="000000" w:themeColor="text1"/>
        </w:rPr>
        <w:t>779.972.253</w:t>
      </w:r>
      <w:r w:rsidR="00C87298" w:rsidRPr="008C46A3">
        <w:rPr>
          <w:rFonts w:ascii="Century Gothic" w:hAnsi="Century Gothic"/>
          <w:color w:val="000000" w:themeColor="text1"/>
        </w:rPr>
        <w:t xml:space="preserve">, ha de descontarse el valor de </w:t>
      </w:r>
      <w:r w:rsidR="0082623C">
        <w:rPr>
          <w:rFonts w:ascii="Century Gothic" w:hAnsi="Century Gothic"/>
          <w:color w:val="000000" w:themeColor="text1"/>
        </w:rPr>
        <w:t>403</w:t>
      </w:r>
      <w:r w:rsidR="00C87298" w:rsidRPr="008C46A3">
        <w:rPr>
          <w:rFonts w:ascii="Century Gothic" w:hAnsi="Century Gothic"/>
          <w:color w:val="000000" w:themeColor="text1"/>
        </w:rPr>
        <w:t xml:space="preserve"> pólizas </w:t>
      </w:r>
      <w:r w:rsidR="0082623C">
        <w:rPr>
          <w:rFonts w:ascii="Century Gothic" w:hAnsi="Century Gothic"/>
          <w:color w:val="000000" w:themeColor="text1"/>
        </w:rPr>
        <w:t>(</w:t>
      </w:r>
      <w:r w:rsidR="00C87298" w:rsidRPr="008C46A3">
        <w:rPr>
          <w:rFonts w:ascii="Century Gothic" w:hAnsi="Century Gothic"/>
          <w:color w:val="000000" w:themeColor="text1"/>
        </w:rPr>
        <w:t>cuya acción derivada del contrato de seguro se encuentra prescrita</w:t>
      </w:r>
      <w:r w:rsidR="0082623C">
        <w:rPr>
          <w:rFonts w:ascii="Century Gothic" w:hAnsi="Century Gothic"/>
          <w:color w:val="000000" w:themeColor="text1"/>
        </w:rPr>
        <w:t>)</w:t>
      </w:r>
      <w:r w:rsidR="00C87298" w:rsidRPr="008C46A3">
        <w:rPr>
          <w:rFonts w:ascii="Century Gothic" w:hAnsi="Century Gothic"/>
          <w:color w:val="000000" w:themeColor="text1"/>
        </w:rPr>
        <w:t xml:space="preserve"> correspondiente a $</w:t>
      </w:r>
      <w:r w:rsidR="00E864B3">
        <w:rPr>
          <w:rFonts w:ascii="Century Gothic" w:hAnsi="Century Gothic"/>
          <w:color w:val="000000" w:themeColor="text1"/>
        </w:rPr>
        <w:t>527.711.501</w:t>
      </w:r>
      <w:r w:rsidR="00C87298" w:rsidRPr="008C46A3">
        <w:rPr>
          <w:rFonts w:ascii="Century Gothic" w:hAnsi="Century Gothic"/>
          <w:color w:val="000000" w:themeColor="text1"/>
        </w:rPr>
        <w:t xml:space="preserve"> y, también, ha de descontarse el valor de </w:t>
      </w:r>
      <w:r w:rsidR="00C87298">
        <w:rPr>
          <w:rFonts w:ascii="Century Gothic" w:hAnsi="Century Gothic"/>
          <w:color w:val="000000" w:themeColor="text1"/>
        </w:rPr>
        <w:t>2</w:t>
      </w:r>
      <w:r w:rsidR="00CA4AE2">
        <w:rPr>
          <w:rFonts w:ascii="Century Gothic" w:hAnsi="Century Gothic"/>
          <w:color w:val="000000" w:themeColor="text1"/>
        </w:rPr>
        <w:t>3</w:t>
      </w:r>
      <w:r w:rsidR="00C87298" w:rsidRPr="008C46A3">
        <w:rPr>
          <w:rFonts w:ascii="Century Gothic" w:hAnsi="Century Gothic"/>
          <w:color w:val="000000" w:themeColor="text1"/>
        </w:rPr>
        <w:t xml:space="preserve"> pólizas </w:t>
      </w:r>
      <w:r w:rsidR="00CA4AE2">
        <w:rPr>
          <w:rFonts w:ascii="Century Gothic" w:hAnsi="Century Gothic"/>
          <w:color w:val="000000" w:themeColor="text1"/>
        </w:rPr>
        <w:t>(</w:t>
      </w:r>
      <w:r w:rsidR="00C87298" w:rsidRPr="008C46A3">
        <w:rPr>
          <w:rFonts w:ascii="Century Gothic" w:hAnsi="Century Gothic"/>
          <w:color w:val="000000" w:themeColor="text1"/>
        </w:rPr>
        <w:t>en cuyos casos no se ha configurado el siniestro porque la mora no ha superado los 24 meses</w:t>
      </w:r>
      <w:r w:rsidR="00CA4AE2">
        <w:rPr>
          <w:rFonts w:ascii="Century Gothic" w:hAnsi="Century Gothic"/>
          <w:color w:val="000000" w:themeColor="text1"/>
        </w:rPr>
        <w:t xml:space="preserve">) </w:t>
      </w:r>
      <w:r w:rsidR="00C87298" w:rsidRPr="008C46A3">
        <w:rPr>
          <w:rFonts w:ascii="Century Gothic" w:hAnsi="Century Gothic"/>
          <w:color w:val="000000" w:themeColor="text1"/>
        </w:rPr>
        <w:t xml:space="preserve">que asciende a </w:t>
      </w:r>
      <w:r w:rsidR="00C108EE">
        <w:rPr>
          <w:rFonts w:ascii="Century Gothic" w:hAnsi="Century Gothic"/>
          <w:color w:val="000000" w:themeColor="text1"/>
        </w:rPr>
        <w:t>$</w:t>
      </w:r>
      <w:r w:rsidR="00CA4AE2">
        <w:rPr>
          <w:rFonts w:ascii="Century Gothic" w:hAnsi="Century Gothic" w:cs="Arial"/>
          <w:color w:val="000000" w:themeColor="text1"/>
        </w:rPr>
        <w:t>9.099.350</w:t>
      </w:r>
      <w:r w:rsidR="00C87298" w:rsidRPr="008C46A3">
        <w:rPr>
          <w:rFonts w:ascii="Century Gothic" w:hAnsi="Century Gothic" w:cs="Arial"/>
          <w:color w:val="000000" w:themeColor="text1"/>
        </w:rPr>
        <w:t xml:space="preserve">, para un total de </w:t>
      </w:r>
      <w:r w:rsidR="00C87298" w:rsidRPr="008C46A3">
        <w:rPr>
          <w:rFonts w:ascii="Century Gothic" w:hAnsi="Century Gothic"/>
          <w:color w:val="000000" w:themeColor="text1"/>
        </w:rPr>
        <w:t>$</w:t>
      </w:r>
      <w:r w:rsidR="00403FE2">
        <w:rPr>
          <w:rFonts w:ascii="Century Gothic" w:hAnsi="Century Gothic"/>
          <w:color w:val="000000" w:themeColor="text1"/>
        </w:rPr>
        <w:t>243.161.402</w:t>
      </w:r>
      <w:r w:rsidR="00C87298" w:rsidRPr="008C46A3">
        <w:rPr>
          <w:rFonts w:ascii="Century Gothic" w:hAnsi="Century Gothic" w:cs="Arial"/>
          <w:color w:val="000000" w:themeColor="text1"/>
        </w:rPr>
        <w:t>.</w:t>
      </w:r>
    </w:p>
    <w:p w14:paraId="0DBFFA86" w14:textId="29F32B44" w:rsidR="00FD07C5" w:rsidRPr="00941214" w:rsidRDefault="00906282" w:rsidP="00941214">
      <w:pPr>
        <w:spacing w:line="360" w:lineRule="auto"/>
        <w:jc w:val="both"/>
        <w:rPr>
          <w:rFonts w:ascii="Century Gothic" w:hAnsi="Century Gothic"/>
        </w:rPr>
      </w:pPr>
      <w:r w:rsidRPr="00CC34B5">
        <w:rPr>
          <w:rFonts w:ascii="Century Gothic" w:hAnsi="Century Gothic"/>
          <w:b/>
        </w:rPr>
        <w:t>Excepciones</w:t>
      </w:r>
      <w:r w:rsidRPr="00CC34B5">
        <w:rPr>
          <w:rFonts w:ascii="Century Gothic" w:hAnsi="Century Gothic"/>
        </w:rPr>
        <w:t>:</w:t>
      </w:r>
    </w:p>
    <w:p w14:paraId="02E351BE" w14:textId="77777777" w:rsidR="007C6622" w:rsidRPr="007C6622" w:rsidRDefault="007C6622" w:rsidP="00941214">
      <w:pPr>
        <w:pStyle w:val="Prrafodelista"/>
        <w:numPr>
          <w:ilvl w:val="1"/>
          <w:numId w:val="5"/>
        </w:numPr>
        <w:spacing w:line="360" w:lineRule="auto"/>
        <w:jc w:val="both"/>
        <w:rPr>
          <w:rFonts w:ascii="Century Gothic" w:hAnsi="Century Gothic"/>
        </w:rPr>
      </w:pPr>
      <w:r w:rsidRPr="007C6622">
        <w:rPr>
          <w:rFonts w:ascii="Century Gothic" w:hAnsi="Century Gothic"/>
        </w:rPr>
        <w:t xml:space="preserve">INEXISTENCIA DE LA OBLIGACIÓN DE INDEMNIZAR: INCUMPLIMIENTO DE LAS GARANTÍAS PACTADAS EN LAS PÓLIZAS VINCULADAS AL PROCESO – ART. 1061 C.CO. </w:t>
      </w:r>
    </w:p>
    <w:p w14:paraId="16DBAF5E" w14:textId="54297066" w:rsidR="006D66A2" w:rsidRPr="006D66A2" w:rsidRDefault="008D43FF" w:rsidP="00941214">
      <w:pPr>
        <w:pStyle w:val="Prrafodelista"/>
        <w:numPr>
          <w:ilvl w:val="1"/>
          <w:numId w:val="5"/>
        </w:numPr>
        <w:spacing w:line="360" w:lineRule="auto"/>
        <w:jc w:val="both"/>
        <w:rPr>
          <w:rFonts w:ascii="Century Gothic" w:hAnsi="Century Gothic"/>
        </w:rPr>
      </w:pPr>
      <w:r w:rsidRPr="008D43FF">
        <w:rPr>
          <w:rFonts w:ascii="Century Gothic" w:hAnsi="Century Gothic"/>
        </w:rPr>
        <w:t>FALTA DE COBERTURA TEMPORAL DE LAS 582 PÓLIZAS VINCULADAS A LA DEMANDA</w:t>
      </w:r>
      <w:r w:rsidR="006D66A2" w:rsidRPr="006D66A2">
        <w:rPr>
          <w:rFonts w:ascii="Century Gothic" w:hAnsi="Century Gothic"/>
        </w:rPr>
        <w:t>.</w:t>
      </w:r>
    </w:p>
    <w:p w14:paraId="0C5A82BC" w14:textId="77777777" w:rsidR="00C94672" w:rsidRPr="00C94672" w:rsidRDefault="00C94672" w:rsidP="00941214">
      <w:pPr>
        <w:pStyle w:val="Prrafodelista"/>
        <w:numPr>
          <w:ilvl w:val="1"/>
          <w:numId w:val="5"/>
        </w:numPr>
        <w:spacing w:line="360" w:lineRule="auto"/>
        <w:jc w:val="both"/>
        <w:rPr>
          <w:rFonts w:ascii="Century Gothic" w:hAnsi="Century Gothic"/>
        </w:rPr>
      </w:pPr>
      <w:r w:rsidRPr="00C94672">
        <w:rPr>
          <w:rFonts w:ascii="Century Gothic" w:hAnsi="Century Gothic"/>
        </w:rPr>
        <w:lastRenderedPageBreak/>
        <w:t xml:space="preserve">INEXISTENCIA DE LA OBLIGACIÓN DE INDEMNIZAR POR AUSENCIA DE LA OCURRENCIA DEL SINIESTRO EN LOS TÉRMINOS DEL ARTÍCULO 1072 DEL CÓDIGO DE COMERCIO. </w:t>
      </w:r>
    </w:p>
    <w:p w14:paraId="6A45136E" w14:textId="77777777" w:rsidR="00A83FD9" w:rsidRPr="00A83FD9" w:rsidRDefault="00A83FD9" w:rsidP="00941214">
      <w:pPr>
        <w:pStyle w:val="Prrafodelista"/>
        <w:numPr>
          <w:ilvl w:val="1"/>
          <w:numId w:val="5"/>
        </w:numPr>
        <w:spacing w:line="360" w:lineRule="auto"/>
        <w:jc w:val="both"/>
        <w:rPr>
          <w:rFonts w:ascii="Century Gothic" w:hAnsi="Century Gothic"/>
        </w:rPr>
      </w:pPr>
      <w:r w:rsidRPr="00A83FD9">
        <w:rPr>
          <w:rFonts w:ascii="Century Gothic" w:hAnsi="Century Gothic"/>
        </w:rPr>
        <w:t>PRESCRIPCIÓN ORDINARIA DE LA ACCIÓN DERIVADA DEL CONTRATO DE SEGURO.</w:t>
      </w:r>
    </w:p>
    <w:p w14:paraId="0E9FD7AF" w14:textId="77777777" w:rsidR="002017BF" w:rsidRPr="002017BF" w:rsidRDefault="002017BF" w:rsidP="00941214">
      <w:pPr>
        <w:pStyle w:val="Prrafodelista"/>
        <w:numPr>
          <w:ilvl w:val="1"/>
          <w:numId w:val="5"/>
        </w:numPr>
        <w:spacing w:line="360" w:lineRule="auto"/>
        <w:jc w:val="both"/>
        <w:rPr>
          <w:rFonts w:ascii="Century Gothic" w:hAnsi="Century Gothic"/>
        </w:rPr>
      </w:pPr>
      <w:r w:rsidRPr="002017BF">
        <w:rPr>
          <w:rFonts w:ascii="Century Gothic" w:hAnsi="Century Gothic"/>
        </w:rPr>
        <w:t>RIESGOS EXPRESAMENTE EXCLUIDOS EN LAS PÓLIZAS DE SEGURO.</w:t>
      </w:r>
    </w:p>
    <w:p w14:paraId="71C24F90" w14:textId="2FDE63C7" w:rsidR="00B66BEC" w:rsidRPr="00591F85" w:rsidRDefault="00023CF4" w:rsidP="00941214">
      <w:pPr>
        <w:pStyle w:val="Prrafodelista"/>
        <w:numPr>
          <w:ilvl w:val="1"/>
          <w:numId w:val="5"/>
        </w:numPr>
        <w:spacing w:line="360" w:lineRule="auto"/>
        <w:jc w:val="both"/>
        <w:rPr>
          <w:rFonts w:ascii="Century Gothic" w:hAnsi="Century Gothic"/>
        </w:rPr>
      </w:pPr>
      <w:r w:rsidRPr="00591F85">
        <w:rPr>
          <w:rFonts w:ascii="Century Gothic" w:hAnsi="Century Gothic"/>
        </w:rPr>
        <w:t>CARÁCTER MERAMENTE INDEMNIZATORIO DE LOS CONTRATOS DE SEGURO</w:t>
      </w:r>
      <w:r w:rsidR="00B66BEC" w:rsidRPr="00591F85">
        <w:rPr>
          <w:rFonts w:ascii="Century Gothic" w:hAnsi="Century Gothic"/>
        </w:rPr>
        <w:t xml:space="preserve">. </w:t>
      </w:r>
    </w:p>
    <w:p w14:paraId="0305393A" w14:textId="77777777" w:rsidR="00333866" w:rsidRPr="00333866" w:rsidRDefault="00333866" w:rsidP="00941214">
      <w:pPr>
        <w:pStyle w:val="Prrafodelista"/>
        <w:numPr>
          <w:ilvl w:val="1"/>
          <w:numId w:val="5"/>
        </w:numPr>
        <w:spacing w:line="360" w:lineRule="auto"/>
        <w:jc w:val="both"/>
        <w:rPr>
          <w:rFonts w:ascii="Century Gothic" w:hAnsi="Century Gothic"/>
        </w:rPr>
      </w:pPr>
      <w:r w:rsidRPr="00333866">
        <w:rPr>
          <w:rFonts w:ascii="Century Gothic" w:hAnsi="Century Gothic"/>
        </w:rPr>
        <w:t>CADUCIDAD DEL MEDIO DE CONTROL DE CONTROVERSIAS CONTRCTUALES.</w:t>
      </w:r>
    </w:p>
    <w:p w14:paraId="7CD65A84" w14:textId="1EB46780" w:rsidR="00023CF4" w:rsidRPr="003F3828" w:rsidRDefault="00023CF4" w:rsidP="00941214">
      <w:pPr>
        <w:pStyle w:val="Prrafodelista"/>
        <w:numPr>
          <w:ilvl w:val="1"/>
          <w:numId w:val="5"/>
        </w:numPr>
        <w:spacing w:line="360" w:lineRule="auto"/>
        <w:jc w:val="both"/>
        <w:rPr>
          <w:rFonts w:ascii="Century Gothic" w:hAnsi="Century Gothic"/>
        </w:rPr>
      </w:pPr>
      <w:r w:rsidRPr="003F3828">
        <w:rPr>
          <w:rFonts w:ascii="Century Gothic" w:hAnsi="Century Gothic"/>
        </w:rPr>
        <w:t>GENERICA O INNOMINADA.</w:t>
      </w:r>
    </w:p>
    <w:p w14:paraId="035C3E82" w14:textId="1F5A5BCB" w:rsidR="00906282" w:rsidRPr="003F3828" w:rsidRDefault="00906282" w:rsidP="00FD07C5">
      <w:pPr>
        <w:spacing w:line="360" w:lineRule="auto"/>
        <w:rPr>
          <w:rFonts w:ascii="Century Gothic" w:hAnsi="Century Gothic"/>
        </w:rPr>
      </w:pPr>
      <w:r w:rsidRPr="003F3828">
        <w:rPr>
          <w:rFonts w:ascii="Century Gothic" w:hAnsi="Century Gothic"/>
          <w:b/>
        </w:rPr>
        <w:t>Siniestro</w:t>
      </w:r>
      <w:r w:rsidRPr="003F3828">
        <w:rPr>
          <w:rFonts w:ascii="Century Gothic" w:hAnsi="Century Gothic"/>
        </w:rPr>
        <w:t xml:space="preserve">: </w:t>
      </w:r>
      <w:sdt>
        <w:sdtPr>
          <w:rPr>
            <w:rFonts w:ascii="Century Gothic" w:hAnsi="Century Gothic"/>
            <w:color w:val="000000"/>
            <w:shd w:val="clear" w:color="auto" w:fill="FFFFFF"/>
          </w:rPr>
          <w:alias w:val="NUMUERO SINIESTRO"/>
          <w:tag w:val="NUMERO SINIESTRO"/>
          <w:id w:val="1952504439"/>
          <w:placeholder>
            <w:docPart w:val="3DA5AA211C5C445BBDE6C93FB94D889A"/>
          </w:placeholder>
          <w:text/>
        </w:sdtPr>
        <w:sdtContent>
          <w:r w:rsidR="00683E76" w:rsidRPr="00683E76">
            <w:rPr>
              <w:rFonts w:ascii="Century Gothic" w:hAnsi="Century Gothic"/>
              <w:color w:val="000000"/>
              <w:shd w:val="clear" w:color="auto" w:fill="FFFFFF"/>
            </w:rPr>
            <w:t>9969</w:t>
          </w:r>
        </w:sdtContent>
      </w:sdt>
    </w:p>
    <w:p w14:paraId="04D6BA07" w14:textId="1001DF4A" w:rsidR="00906282" w:rsidRPr="003F3828" w:rsidRDefault="00906282" w:rsidP="00877CAA">
      <w:pPr>
        <w:spacing w:line="360" w:lineRule="auto"/>
        <w:jc w:val="both"/>
        <w:rPr>
          <w:rFonts w:ascii="Century Gothic" w:hAnsi="Century Gothic"/>
        </w:rPr>
      </w:pPr>
      <w:r w:rsidRPr="003F3828">
        <w:rPr>
          <w:rFonts w:ascii="Century Gothic" w:hAnsi="Century Gothic"/>
          <w:b/>
        </w:rPr>
        <w:t>Póliza</w:t>
      </w:r>
      <w:r w:rsidRPr="003F3828">
        <w:rPr>
          <w:rFonts w:ascii="Century Gothic" w:hAnsi="Century Gothic"/>
        </w:rPr>
        <w:t xml:space="preserve">:  </w:t>
      </w:r>
      <w:sdt>
        <w:sdtPr>
          <w:rPr>
            <w:rStyle w:val="Estilo3"/>
            <w:b w:val="0"/>
            <w:bCs/>
          </w:rPr>
          <w:alias w:val="PÓLIZA"/>
          <w:tag w:val="PÓLIZA"/>
          <w:id w:val="481668139"/>
          <w:placeholder>
            <w:docPart w:val="BB6D70A7F84D45A79C09B46975C26B96"/>
          </w:placeholder>
          <w:text/>
        </w:sdtPr>
        <w:sdtContent>
          <w:r w:rsidR="005D726E" w:rsidRPr="005D726E">
            <w:rPr>
              <w:rStyle w:val="Estilo3"/>
              <w:b w:val="0"/>
              <w:bCs/>
            </w:rPr>
            <w:t>SE IDENTIFICAN POR NÚMERO DE CÉDULA SEGÚN EXCEL ADJU</w:t>
          </w:r>
          <w:r w:rsidR="005D726E">
            <w:rPr>
              <w:rStyle w:val="Estilo3"/>
              <w:b w:val="0"/>
              <w:bCs/>
            </w:rPr>
            <w:t>NTO</w:t>
          </w:r>
        </w:sdtContent>
      </w:sdt>
    </w:p>
    <w:p w14:paraId="3CAB45E1" w14:textId="6EBEBF2F" w:rsidR="00906282" w:rsidRPr="003F3828" w:rsidRDefault="00906282" w:rsidP="00FD07C5">
      <w:pPr>
        <w:spacing w:line="360" w:lineRule="auto"/>
        <w:rPr>
          <w:rFonts w:ascii="Century Gothic" w:hAnsi="Century Gothic"/>
        </w:rPr>
      </w:pPr>
      <w:r w:rsidRPr="003F3828">
        <w:rPr>
          <w:rFonts w:ascii="Century Gothic" w:hAnsi="Century Gothic"/>
          <w:b/>
        </w:rPr>
        <w:t>Vigencia Afectada</w:t>
      </w:r>
      <w:r w:rsidRPr="003F3828">
        <w:rPr>
          <w:rFonts w:ascii="Century Gothic" w:hAnsi="Century Gothic"/>
        </w:rPr>
        <w:t xml:space="preserve">: </w:t>
      </w:r>
      <w:sdt>
        <w:sdtPr>
          <w:rPr>
            <w:rFonts w:ascii="Century Gothic" w:hAnsi="Century Gothic"/>
          </w:rPr>
          <w:id w:val="-878393758"/>
          <w:placeholder>
            <w:docPart w:val="0840BF8604D14C35874A893D390FBAE9"/>
          </w:placeholder>
          <w:date>
            <w:dateFormat w:val="dd/MM/yyyy"/>
            <w:lid w:val="es-CO"/>
            <w:storeMappedDataAs w:val="dateTime"/>
            <w:calendar w:val="gregorian"/>
          </w:date>
        </w:sdtPr>
        <w:sdtContent>
          <w:r w:rsidR="00493A9E">
            <w:rPr>
              <w:rFonts w:ascii="Century Gothic" w:hAnsi="Century Gothic"/>
            </w:rPr>
            <w:t>00/00/0000</w:t>
          </w:r>
        </w:sdtContent>
      </w:sdt>
      <w:r w:rsidRPr="003F3828">
        <w:rPr>
          <w:rFonts w:ascii="Century Gothic" w:hAnsi="Century Gothic"/>
        </w:rPr>
        <w:t xml:space="preserve"> al </w:t>
      </w:r>
      <w:sdt>
        <w:sdtPr>
          <w:rPr>
            <w:rFonts w:ascii="Century Gothic" w:hAnsi="Century Gothic"/>
          </w:rPr>
          <w:id w:val="-1195382093"/>
          <w:placeholder>
            <w:docPart w:val="0840BF8604D14C35874A893D390FBAE9"/>
          </w:placeholder>
          <w:date>
            <w:dateFormat w:val="dd/MM/yyyy"/>
            <w:lid w:val="es-CO"/>
            <w:storeMappedDataAs w:val="dateTime"/>
            <w:calendar w:val="gregorian"/>
          </w:date>
        </w:sdtPr>
        <w:sdtContent>
          <w:r w:rsidR="00493A9E" w:rsidRPr="008C6E40">
            <w:rPr>
              <w:rFonts w:ascii="Century Gothic" w:hAnsi="Century Gothic"/>
            </w:rPr>
            <w:t>00/00/0000</w:t>
          </w:r>
        </w:sdtContent>
      </w:sdt>
    </w:p>
    <w:p w14:paraId="11A4B071" w14:textId="02859254" w:rsidR="00906282" w:rsidRPr="003F3828" w:rsidRDefault="00906282" w:rsidP="00906282">
      <w:pPr>
        <w:spacing w:line="360" w:lineRule="auto"/>
        <w:rPr>
          <w:rFonts w:ascii="Century Gothic" w:hAnsi="Century Gothic"/>
        </w:rPr>
      </w:pPr>
      <w:r w:rsidRPr="003F3828">
        <w:rPr>
          <w:rFonts w:ascii="Century Gothic" w:hAnsi="Century Gothic"/>
          <w:b/>
        </w:rPr>
        <w:t>Ramo</w:t>
      </w:r>
      <w:r w:rsidRPr="003F3828">
        <w:rPr>
          <w:rFonts w:ascii="Century Gothic" w:hAnsi="Century Gothic"/>
        </w:rPr>
        <w:t xml:space="preserve">: </w:t>
      </w:r>
      <w:sdt>
        <w:sdtPr>
          <w:rPr>
            <w:rStyle w:val="Estilo3"/>
            <w:b w:val="0"/>
            <w:bCs/>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b/>
            <w:caps w:val="0"/>
          </w:rPr>
        </w:sdtEndPr>
        <w:sdtContent>
          <w:r w:rsidR="00D262FA">
            <w:rPr>
              <w:rStyle w:val="Estilo3"/>
              <w:b w:val="0"/>
              <w:bCs/>
            </w:rPr>
            <w:t>RCC</w:t>
          </w:r>
        </w:sdtContent>
      </w:sdt>
    </w:p>
    <w:p w14:paraId="7611A182" w14:textId="366A65CD" w:rsidR="00906282" w:rsidRPr="003F3828" w:rsidRDefault="00906282" w:rsidP="00906282">
      <w:pPr>
        <w:spacing w:line="360" w:lineRule="auto"/>
        <w:rPr>
          <w:rFonts w:ascii="Century Gothic" w:hAnsi="Century Gothic"/>
        </w:rPr>
      </w:pPr>
      <w:r w:rsidRPr="003F3828">
        <w:rPr>
          <w:rFonts w:ascii="Century Gothic" w:hAnsi="Century Gothic"/>
          <w:b/>
        </w:rPr>
        <w:t>Agencia Expide</w:t>
      </w:r>
      <w:r w:rsidRPr="003F3828">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BC2817">
            <w:rPr>
              <w:rStyle w:val="Estilo3"/>
              <w:b w:val="0"/>
            </w:rPr>
            <w:t>100054 BOGOTA CENTRO</w:t>
          </w:r>
        </w:sdtContent>
      </w:sdt>
    </w:p>
    <w:p w14:paraId="1D6DFCDA" w14:textId="6FDCC1CD" w:rsidR="00906282" w:rsidRPr="003F3828" w:rsidRDefault="00906282" w:rsidP="00906282">
      <w:pPr>
        <w:spacing w:line="360" w:lineRule="auto"/>
        <w:rPr>
          <w:rFonts w:ascii="Century Gothic" w:hAnsi="Century Gothic"/>
        </w:rPr>
      </w:pPr>
      <w:r w:rsidRPr="003F3828">
        <w:rPr>
          <w:rFonts w:ascii="Century Gothic" w:hAnsi="Century Gothic"/>
          <w:b/>
        </w:rPr>
        <w:t>Placa</w:t>
      </w:r>
      <w:r w:rsidRPr="003F3828">
        <w:rPr>
          <w:rFonts w:ascii="Century Gothic" w:hAnsi="Century Gothic"/>
        </w:rPr>
        <w:t xml:space="preserve">: </w:t>
      </w:r>
      <w:sdt>
        <w:sdtPr>
          <w:rPr>
            <w:rStyle w:val="Estilo3"/>
            <w:b w:val="0"/>
            <w:bCs/>
          </w:rPr>
          <w:alias w:val="PLACA"/>
          <w:tag w:val="PLACA"/>
          <w:id w:val="14583454"/>
          <w:placeholder>
            <w:docPart w:val="FE60F7B6BD524662AF1863EA8672F47C"/>
          </w:placeholder>
          <w:text/>
        </w:sdtPr>
        <w:sdtContent>
          <w:r w:rsidR="005C7D86">
            <w:rPr>
              <w:rStyle w:val="Estilo3"/>
              <w:b w:val="0"/>
              <w:bCs/>
            </w:rPr>
            <w:t>N/A</w:t>
          </w:r>
        </w:sdtContent>
      </w:sdt>
    </w:p>
    <w:p w14:paraId="1F89FE28" w14:textId="35EBC451" w:rsidR="00906282" w:rsidRPr="003F3828" w:rsidRDefault="00906282" w:rsidP="00906282">
      <w:pPr>
        <w:spacing w:line="360" w:lineRule="auto"/>
        <w:rPr>
          <w:rFonts w:ascii="Century Gothic" w:hAnsi="Century Gothic"/>
        </w:rPr>
      </w:pPr>
      <w:r w:rsidRPr="003F3828">
        <w:rPr>
          <w:rFonts w:ascii="Century Gothic" w:hAnsi="Century Gothic"/>
          <w:b/>
        </w:rPr>
        <w:t>Valor Asegurado</w:t>
      </w:r>
      <w:r w:rsidRPr="003F3828">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357AC8">
            <w:rPr>
              <w:rFonts w:ascii="Century Gothic" w:hAnsi="Century Gothic"/>
            </w:rPr>
            <w:t>VER EXCEL ADJUNTO</w:t>
          </w:r>
        </w:sdtContent>
      </w:sdt>
    </w:p>
    <w:p w14:paraId="0BE7F889" w14:textId="4F8A10D9" w:rsidR="00906282" w:rsidRPr="003F3828" w:rsidRDefault="00906282" w:rsidP="00906282">
      <w:pPr>
        <w:spacing w:line="360" w:lineRule="auto"/>
        <w:rPr>
          <w:rFonts w:ascii="Century Gothic" w:hAnsi="Century Gothic"/>
        </w:rPr>
      </w:pPr>
      <w:r w:rsidRPr="003F3828">
        <w:rPr>
          <w:rFonts w:ascii="Century Gothic" w:hAnsi="Century Gothic"/>
          <w:b/>
        </w:rPr>
        <w:t>Deducible</w:t>
      </w:r>
      <w:r w:rsidRPr="003F3828">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Content>
          <w:r w:rsidR="00CA1977">
            <w:rPr>
              <w:rStyle w:val="Estilo3"/>
              <w:b w:val="0"/>
            </w:rPr>
            <w:t>NO</w:t>
          </w:r>
        </w:sdtContent>
      </w:sdt>
    </w:p>
    <w:p w14:paraId="5D36557E" w14:textId="089888CF" w:rsidR="00906282" w:rsidRPr="003F3828" w:rsidRDefault="00906282" w:rsidP="00970CC7">
      <w:pPr>
        <w:spacing w:line="360" w:lineRule="auto"/>
        <w:jc w:val="both"/>
        <w:rPr>
          <w:rFonts w:ascii="Century Gothic" w:hAnsi="Century Gothic"/>
        </w:rPr>
      </w:pPr>
      <w:r w:rsidRPr="003F3828">
        <w:rPr>
          <w:rFonts w:ascii="Century Gothic" w:hAnsi="Century Gothic"/>
          <w:b/>
        </w:rPr>
        <w:t>Exceso</w:t>
      </w:r>
      <w:r w:rsidRPr="003F3828">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002136A2" w:rsidRPr="003F3828">
            <w:rPr>
              <w:rStyle w:val="Estilo3"/>
              <w:b w:val="0"/>
            </w:rPr>
            <w:t>NO</w:t>
          </w:r>
        </w:sdtContent>
      </w:sdt>
    </w:p>
    <w:p w14:paraId="087AA5AF" w14:textId="13DC79AB" w:rsidR="00906282" w:rsidRPr="003F3828" w:rsidRDefault="00906282" w:rsidP="00906282">
      <w:pPr>
        <w:spacing w:line="360" w:lineRule="auto"/>
        <w:rPr>
          <w:rFonts w:ascii="Century Gothic" w:hAnsi="Century Gothic"/>
        </w:rPr>
      </w:pPr>
      <w:r w:rsidRPr="003F3828">
        <w:rPr>
          <w:rFonts w:ascii="Century Gothic" w:hAnsi="Century Gothic"/>
          <w:b/>
        </w:rPr>
        <w:t>Contingencia</w:t>
      </w:r>
      <w:r w:rsidRPr="003F3828">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E64FD">
            <w:rPr>
              <w:rStyle w:val="Estilo3"/>
              <w:b w:val="0"/>
            </w:rPr>
            <w:t>PROBABLE</w:t>
          </w:r>
        </w:sdtContent>
      </w:sdt>
    </w:p>
    <w:p w14:paraId="6432D50F" w14:textId="77777777" w:rsidR="00AC00CB" w:rsidRPr="003F3828" w:rsidRDefault="00AC00CB" w:rsidP="00906282">
      <w:pPr>
        <w:spacing w:line="360" w:lineRule="auto"/>
        <w:jc w:val="both"/>
        <w:rPr>
          <w:rFonts w:ascii="Century Gothic" w:hAnsi="Century Gothic"/>
        </w:rPr>
      </w:pPr>
      <w:r w:rsidRPr="003F3828">
        <w:rPr>
          <w:rFonts w:ascii="Century Gothic" w:hAnsi="Century Gothic"/>
        </w:rPr>
        <w:t>Se precisa que las contingencias únicamente pueden ser PROBABLES O REMOTAS</w:t>
      </w:r>
    </w:p>
    <w:p w14:paraId="0D2479EB" w14:textId="27ECEA19" w:rsidR="00906282" w:rsidRPr="003F3828" w:rsidRDefault="00906282" w:rsidP="00906282">
      <w:pPr>
        <w:spacing w:line="360" w:lineRule="auto"/>
        <w:jc w:val="both"/>
        <w:rPr>
          <w:rFonts w:ascii="Century Gothic" w:hAnsi="Century Gothic"/>
        </w:rPr>
      </w:pPr>
      <w:r w:rsidRPr="003F3828">
        <w:rPr>
          <w:rFonts w:ascii="Century Gothic" w:hAnsi="Century Gothic"/>
          <w:b/>
        </w:rPr>
        <w:t>Reserva sugerida</w:t>
      </w:r>
      <w:r w:rsidRPr="003F3828">
        <w:rPr>
          <w:rFonts w:ascii="Century Gothic" w:hAnsi="Century Gothic"/>
        </w:rPr>
        <w:t>:</w:t>
      </w:r>
      <w:r w:rsidR="00AC00CB" w:rsidRPr="003F3828">
        <w:rPr>
          <w:rFonts w:ascii="Century Gothic" w:hAnsi="Century Gothic"/>
        </w:rPr>
        <w:t xml:space="preserve"> </w:t>
      </w:r>
      <w:sdt>
        <w:sdtPr>
          <w:rPr>
            <w:rFonts w:ascii="Century Gothic" w:hAnsi="Century Gothic"/>
            <w:color w:val="000000" w:themeColor="text1"/>
          </w:rPr>
          <w:alias w:val="VALOR"/>
          <w:tag w:val="VALOR"/>
          <w:id w:val="169612294"/>
          <w:placeholder>
            <w:docPart w:val="832641FC25A34669A7634A459E4F9229"/>
          </w:placeholder>
          <w:text/>
        </w:sdtPr>
        <w:sdtContent>
          <w:r w:rsidR="00A471E5" w:rsidRPr="00A471E5">
            <w:rPr>
              <w:rFonts w:ascii="Century Gothic" w:hAnsi="Century Gothic"/>
              <w:color w:val="000000" w:themeColor="text1"/>
            </w:rPr>
            <w:t>$243.161.402</w:t>
          </w:r>
        </w:sdtContent>
      </w:sdt>
    </w:p>
    <w:p w14:paraId="4B65DB33" w14:textId="77777777" w:rsidR="00906282" w:rsidRPr="003F3828" w:rsidRDefault="00AC00CB" w:rsidP="00906282">
      <w:pPr>
        <w:spacing w:line="360" w:lineRule="auto"/>
        <w:jc w:val="both"/>
        <w:rPr>
          <w:rFonts w:ascii="Century Gothic" w:hAnsi="Century Gothic"/>
        </w:rPr>
      </w:pPr>
      <w:r w:rsidRPr="003F3828">
        <w:rPr>
          <w:rFonts w:ascii="Century Gothic" w:hAnsi="Century Gothic"/>
        </w:rPr>
        <w:t>L</w:t>
      </w:r>
      <w:r w:rsidR="00906282" w:rsidRPr="003F3828">
        <w:rPr>
          <w:rFonts w:ascii="Century Gothic" w:hAnsi="Century Gothic"/>
        </w:rPr>
        <w:t xml:space="preserve">a reserva debe estimarse de acuerdo con la liquidación </w:t>
      </w:r>
      <w:r w:rsidRPr="003F3828">
        <w:rPr>
          <w:rFonts w:ascii="Century Gothic" w:hAnsi="Century Gothic"/>
        </w:rPr>
        <w:t>o</w:t>
      </w:r>
      <w:r w:rsidR="00906282" w:rsidRPr="003F3828">
        <w:rPr>
          <w:rFonts w:ascii="Century Gothic" w:hAnsi="Century Gothic"/>
        </w:rPr>
        <w:t xml:space="preserve">bjetivada de las pretensiones y el valor asegurado. </w:t>
      </w:r>
    </w:p>
    <w:p w14:paraId="39D71E2D" w14:textId="7672E4F0" w:rsidR="00C3050F" w:rsidRDefault="00906282" w:rsidP="00AB04D8">
      <w:pPr>
        <w:spacing w:line="360" w:lineRule="auto"/>
        <w:jc w:val="both"/>
        <w:rPr>
          <w:rFonts w:ascii="Century Gothic" w:hAnsi="Century Gothic"/>
          <w:bCs/>
        </w:rPr>
      </w:pPr>
      <w:r w:rsidRPr="003F3828">
        <w:rPr>
          <w:rFonts w:ascii="Century Gothic" w:hAnsi="Century Gothic"/>
          <w:b/>
          <w:bCs/>
        </w:rPr>
        <w:t>Concepto del Apoderado designado para el caso</w:t>
      </w:r>
      <w:r w:rsidRPr="003F3828">
        <w:rPr>
          <w:rFonts w:ascii="Century Gothic" w:hAnsi="Century Gothic"/>
          <w:bCs/>
        </w:rPr>
        <w:t xml:space="preserve">:  </w:t>
      </w:r>
      <w:bookmarkStart w:id="0" w:name="_Hlk142487042"/>
      <w:sdt>
        <w:sdtPr>
          <w:rPr>
            <w:rStyle w:val="Estilo3"/>
            <w:b w:val="0"/>
            <w:bCs/>
            <w:color w:val="000000" w:themeColor="text1"/>
          </w:rPr>
          <w:alias w:val="CONCEPTO"/>
          <w:tag w:val="CONCEPTO"/>
          <w:id w:val="1861537587"/>
          <w:placeholder>
            <w:docPart w:val="C3AFCEEA89A24AE281335CEDB2DC1FBA"/>
          </w:placeholder>
          <w:text/>
        </w:sdtPr>
        <w:sdtEndPr>
          <w:rPr>
            <w:rStyle w:val="Fuentedeprrafopredeter"/>
            <w:rFonts w:asciiTheme="minorHAnsi" w:hAnsiTheme="minorHAnsi"/>
            <w:b/>
            <w:caps w:val="0"/>
          </w:rPr>
        </w:sdtEndPr>
        <w:sdtContent>
          <w:r w:rsidR="00AB04D8" w:rsidRPr="00491ED2">
            <w:rPr>
              <w:rStyle w:val="Estilo3"/>
              <w:b w:val="0"/>
              <w:bCs/>
              <w:caps w:val="0"/>
              <w:color w:val="000000" w:themeColor="text1"/>
            </w:rPr>
            <w:t xml:space="preserve">La contingencia se califica como PROBABLE en atención a que las pólizas prestan cobertura para los hechos </w:t>
          </w:r>
          <w:r w:rsidR="00AB04D8" w:rsidRPr="00491ED2">
            <w:rPr>
              <w:rStyle w:val="Estilo3"/>
              <w:b w:val="0"/>
              <w:bCs/>
              <w:caps w:val="0"/>
              <w:color w:val="000000" w:themeColor="text1"/>
            </w:rPr>
            <w:lastRenderedPageBreak/>
            <w:t>objeto de litigio</w:t>
          </w:r>
          <w:r w:rsidR="0010516B">
            <w:rPr>
              <w:rStyle w:val="Estilo3"/>
              <w:b w:val="0"/>
              <w:bCs/>
              <w:caps w:val="0"/>
              <w:color w:val="000000" w:themeColor="text1"/>
            </w:rPr>
            <w:t xml:space="preserve">, </w:t>
          </w:r>
          <w:r w:rsidR="00AB04D8" w:rsidRPr="00491ED2">
            <w:rPr>
              <w:rStyle w:val="Estilo3"/>
              <w:b w:val="0"/>
              <w:bCs/>
              <w:caps w:val="0"/>
              <w:color w:val="000000" w:themeColor="text1"/>
            </w:rPr>
            <w:t>en tanto se ha acreditado el siniestro en los términos del objeto de</w:t>
          </w:r>
          <w:r w:rsidR="00AB04D8" w:rsidRPr="00491ED2">
            <w:rPr>
              <w:rStyle w:val="Estilo3"/>
              <w:b w:val="0"/>
              <w:bCs/>
              <w:color w:val="000000" w:themeColor="text1"/>
            </w:rPr>
            <w:t xml:space="preserve"> </w:t>
          </w:r>
          <w:r w:rsidR="00AB04D8" w:rsidRPr="00491ED2">
            <w:rPr>
              <w:rStyle w:val="Estilo3"/>
              <w:b w:val="0"/>
              <w:bCs/>
              <w:caps w:val="0"/>
              <w:color w:val="000000" w:themeColor="text1"/>
            </w:rPr>
            <w:t>los contratos de seguro. Lo anterior bajo el entendido en que los acuerdos de pago amparados tienen una mora superior a los 18 y</w:t>
          </w:r>
          <w:r w:rsidR="00AB04D8" w:rsidRPr="00491ED2">
            <w:rPr>
              <w:rStyle w:val="Estilo3"/>
              <w:b w:val="0"/>
              <w:bCs/>
              <w:color w:val="000000" w:themeColor="text1"/>
            </w:rPr>
            <w:t xml:space="preserve"> </w:t>
          </w:r>
          <w:r w:rsidR="00AB04D8" w:rsidRPr="00491ED2">
            <w:rPr>
              <w:rStyle w:val="Estilo3"/>
              <w:b w:val="0"/>
              <w:bCs/>
              <w:caps w:val="0"/>
              <w:color w:val="000000" w:themeColor="text1"/>
            </w:rPr>
            <w:t xml:space="preserve">24 meses respectivamente, es decir, han adquirido el estatus de impagados, lo cual, según el clausulado del contrato de seguro, genera la obligación en cabeza de </w:t>
          </w:r>
          <w:r w:rsidR="0010516B">
            <w:rPr>
              <w:rStyle w:val="Estilo3"/>
              <w:b w:val="0"/>
              <w:bCs/>
              <w:caps w:val="0"/>
              <w:color w:val="000000" w:themeColor="text1"/>
            </w:rPr>
            <w:t>La E</w:t>
          </w:r>
          <w:r w:rsidR="00AB04D8" w:rsidRPr="00491ED2">
            <w:rPr>
              <w:rStyle w:val="Estilo3"/>
              <w:b w:val="0"/>
              <w:bCs/>
              <w:caps w:val="0"/>
              <w:color w:val="000000" w:themeColor="text1"/>
            </w:rPr>
            <w:t xml:space="preserve">quidad </w:t>
          </w:r>
          <w:r w:rsidR="0010516B">
            <w:rPr>
              <w:rStyle w:val="Estilo3"/>
              <w:b w:val="0"/>
              <w:bCs/>
              <w:caps w:val="0"/>
              <w:color w:val="000000" w:themeColor="text1"/>
            </w:rPr>
            <w:t>S</w:t>
          </w:r>
          <w:r w:rsidR="00AB04D8" w:rsidRPr="00491ED2">
            <w:rPr>
              <w:rStyle w:val="Estilo3"/>
              <w:b w:val="0"/>
              <w:bCs/>
              <w:caps w:val="0"/>
              <w:color w:val="000000" w:themeColor="text1"/>
            </w:rPr>
            <w:t>eguros</w:t>
          </w:r>
          <w:r w:rsidR="0010516B">
            <w:rPr>
              <w:rStyle w:val="Estilo3"/>
              <w:b w:val="0"/>
              <w:bCs/>
              <w:caps w:val="0"/>
              <w:color w:val="000000" w:themeColor="text1"/>
            </w:rPr>
            <w:t xml:space="preserve"> Generales O.C.</w:t>
          </w:r>
          <w:r w:rsidR="00AB04D8" w:rsidRPr="00491ED2">
            <w:rPr>
              <w:rStyle w:val="Estilo3"/>
              <w:b w:val="0"/>
              <w:bCs/>
              <w:caps w:val="0"/>
              <w:color w:val="000000" w:themeColor="text1"/>
            </w:rPr>
            <w:t xml:space="preserve"> de pagar el saldo insoluto de las obligaciones a la </w:t>
          </w:r>
          <w:r w:rsidR="0010516B">
            <w:rPr>
              <w:rStyle w:val="Estilo3"/>
              <w:b w:val="0"/>
              <w:bCs/>
              <w:caps w:val="0"/>
              <w:color w:val="000000" w:themeColor="text1"/>
            </w:rPr>
            <w:t>SDM</w:t>
          </w:r>
          <w:r w:rsidR="00AB04D8" w:rsidRPr="00491ED2">
            <w:rPr>
              <w:rStyle w:val="Estilo3"/>
              <w:b w:val="0"/>
              <w:bCs/>
              <w:caps w:val="0"/>
              <w:color w:val="000000" w:themeColor="text1"/>
            </w:rPr>
            <w:t>. Sin perjuicio de lo anterior debe decirse que la defensa de la compañía se estructuró en el incumplimiento de las garantías del contrato de seguro, circunstancia que no solo impide la ocurrencia del siniestro, sino que, además, genera la terminación automática del contrato de seguro. No obstante, dado que no existe prueba del envío del condicionado de la póliza a los asegurados (art</w:t>
          </w:r>
          <w:r w:rsidR="003A1AF6">
            <w:rPr>
              <w:rStyle w:val="Estilo3"/>
              <w:b w:val="0"/>
              <w:bCs/>
              <w:caps w:val="0"/>
              <w:color w:val="000000" w:themeColor="text1"/>
            </w:rPr>
            <w:t>.</w:t>
          </w:r>
          <w:r w:rsidR="00AB04D8" w:rsidRPr="00491ED2">
            <w:rPr>
              <w:rStyle w:val="Estilo3"/>
              <w:b w:val="0"/>
              <w:bCs/>
              <w:caps w:val="0"/>
              <w:color w:val="000000" w:themeColor="text1"/>
            </w:rPr>
            <w:t xml:space="preserve"> 37 </w:t>
          </w:r>
          <w:r w:rsidR="003A1AF6">
            <w:rPr>
              <w:rStyle w:val="Estilo3"/>
              <w:b w:val="0"/>
              <w:bCs/>
              <w:caps w:val="0"/>
              <w:color w:val="000000" w:themeColor="text1"/>
            </w:rPr>
            <w:t>L</w:t>
          </w:r>
          <w:r w:rsidR="00AB04D8" w:rsidRPr="00491ED2">
            <w:rPr>
              <w:rStyle w:val="Estilo3"/>
              <w:b w:val="0"/>
              <w:bCs/>
              <w:caps w:val="0"/>
              <w:color w:val="000000" w:themeColor="text1"/>
            </w:rPr>
            <w:t xml:space="preserve">ey 1480 de 2011), estas cláusulas </w:t>
          </w:r>
          <w:r w:rsidR="00372D4F">
            <w:rPr>
              <w:rStyle w:val="Estilo3"/>
              <w:b w:val="0"/>
              <w:bCs/>
              <w:caps w:val="0"/>
              <w:color w:val="000000" w:themeColor="text1"/>
            </w:rPr>
            <w:t>podrían ser</w:t>
          </w:r>
          <w:r w:rsidR="00AB04D8" w:rsidRPr="00491ED2">
            <w:rPr>
              <w:rStyle w:val="Estilo3"/>
              <w:b w:val="0"/>
              <w:bCs/>
              <w:caps w:val="0"/>
              <w:color w:val="000000" w:themeColor="text1"/>
            </w:rPr>
            <w:t xml:space="preserve"> declaradas ineficaces. En ese orden de ideas, salvo las </w:t>
          </w:r>
          <w:r w:rsidR="003A1AF6">
            <w:rPr>
              <w:rStyle w:val="Estilo3"/>
              <w:b w:val="0"/>
              <w:bCs/>
              <w:caps w:val="0"/>
              <w:color w:val="000000" w:themeColor="text1"/>
            </w:rPr>
            <w:t>403</w:t>
          </w:r>
          <w:r w:rsidR="00AB04D8" w:rsidRPr="00491ED2">
            <w:rPr>
              <w:rStyle w:val="Estilo3"/>
              <w:b w:val="0"/>
              <w:bCs/>
              <w:caps w:val="0"/>
              <w:color w:val="000000" w:themeColor="text1"/>
            </w:rPr>
            <w:t xml:space="preserve"> pólizas que se encuentran prescritas y las </w:t>
          </w:r>
          <w:r w:rsidR="003A1AF6">
            <w:rPr>
              <w:rStyle w:val="Estilo3"/>
              <w:b w:val="0"/>
              <w:bCs/>
              <w:caps w:val="0"/>
              <w:color w:val="000000" w:themeColor="text1"/>
            </w:rPr>
            <w:t>23</w:t>
          </w:r>
          <w:r w:rsidR="00AB04D8" w:rsidRPr="00491ED2">
            <w:rPr>
              <w:rStyle w:val="Estilo3"/>
              <w:b w:val="0"/>
              <w:bCs/>
              <w:caps w:val="0"/>
              <w:color w:val="000000" w:themeColor="text1"/>
            </w:rPr>
            <w:t xml:space="preserve"> en cuyos casos no ha ocurrido el siniestro, la contingencia es </w:t>
          </w:r>
          <w:r w:rsidR="00C92CDE" w:rsidRPr="00491ED2">
            <w:rPr>
              <w:rStyle w:val="Estilo3"/>
              <w:b w:val="0"/>
              <w:bCs/>
              <w:caps w:val="0"/>
              <w:color w:val="000000" w:themeColor="text1"/>
            </w:rPr>
            <w:t>PROBABLE</w:t>
          </w:r>
        </w:sdtContent>
      </w:sdt>
      <w:r w:rsidR="00C3050F" w:rsidRPr="00C3050F">
        <w:rPr>
          <w:rFonts w:ascii="Century Gothic" w:hAnsi="Century Gothic"/>
          <w:bCs/>
        </w:rPr>
        <w:t>.</w:t>
      </w:r>
    </w:p>
    <w:p w14:paraId="0AD1E7A1" w14:textId="46E45874" w:rsidR="002D1126" w:rsidRDefault="002D1126" w:rsidP="00AB04D8">
      <w:pPr>
        <w:spacing w:line="360" w:lineRule="auto"/>
        <w:jc w:val="both"/>
        <w:rPr>
          <w:rStyle w:val="Estilo3"/>
          <w:b w:val="0"/>
          <w:bCs/>
          <w:color w:val="000000" w:themeColor="text1"/>
        </w:rPr>
      </w:pPr>
      <w:r w:rsidRPr="00491ED2">
        <w:rPr>
          <w:rStyle w:val="Estilo3"/>
          <w:b w:val="0"/>
          <w:bCs/>
          <w:caps w:val="0"/>
          <w:color w:val="000000" w:themeColor="text1"/>
        </w:rPr>
        <w:t>Finalmente, debe tenerse en cuenta que se encuentra en disputa la falta de jurisdicción comoquiera que la demandante es una entidad del estado y se interpuso la demanda ante la jurisdicción ordinaria, especialidad civil y no ante la contencioso</w:t>
      </w:r>
      <w:r>
        <w:rPr>
          <w:rStyle w:val="Estilo3"/>
          <w:b w:val="0"/>
          <w:bCs/>
          <w:caps w:val="0"/>
          <w:color w:val="000000" w:themeColor="text1"/>
        </w:rPr>
        <w:t xml:space="preserve"> </w:t>
      </w:r>
      <w:r w:rsidRPr="00491ED2">
        <w:rPr>
          <w:rStyle w:val="Estilo3"/>
          <w:b w:val="0"/>
          <w:bCs/>
          <w:caps w:val="0"/>
          <w:color w:val="000000" w:themeColor="text1"/>
        </w:rPr>
        <w:t xml:space="preserve">administrativa. En ese sentido, en el evento en que prospere esa excepción previa se procederá a recalificar la contingencia tomando en consideración, entre otros factores, la caducidad del medio de control de controversia contractual y la indebida acumulación de pretensiones que existiría bajo la </w:t>
      </w:r>
      <w:r w:rsidR="006A648E">
        <w:rPr>
          <w:rStyle w:val="Estilo3"/>
          <w:b w:val="0"/>
          <w:bCs/>
          <w:caps w:val="0"/>
          <w:color w:val="000000" w:themeColor="text1"/>
        </w:rPr>
        <w:t>L</w:t>
      </w:r>
      <w:r w:rsidRPr="00491ED2">
        <w:rPr>
          <w:rStyle w:val="Estilo3"/>
          <w:b w:val="0"/>
          <w:bCs/>
          <w:caps w:val="0"/>
          <w:color w:val="000000" w:themeColor="text1"/>
        </w:rPr>
        <w:t>ey 1437 de 2011.</w:t>
      </w:r>
      <w:r w:rsidRPr="00491ED2">
        <w:rPr>
          <w:rStyle w:val="Estilo3"/>
          <w:b w:val="0"/>
          <w:bCs/>
          <w:color w:val="000000" w:themeColor="text1"/>
        </w:rPr>
        <w:t xml:space="preserve"> </w:t>
      </w:r>
    </w:p>
    <w:p w14:paraId="55B738BD" w14:textId="2A293B3A" w:rsidR="002D1126" w:rsidRDefault="002D1126" w:rsidP="00AB04D8">
      <w:pPr>
        <w:spacing w:line="360" w:lineRule="auto"/>
        <w:jc w:val="both"/>
        <w:rPr>
          <w:rFonts w:ascii="Century Gothic" w:hAnsi="Century Gothic"/>
          <w:bCs/>
        </w:rPr>
      </w:pPr>
      <w:r w:rsidRPr="00491ED2">
        <w:rPr>
          <w:rStyle w:val="Estilo3"/>
          <w:b w:val="0"/>
          <w:bCs/>
          <w:caps w:val="0"/>
          <w:color w:val="000000" w:themeColor="text1"/>
        </w:rPr>
        <w:t>Todo lo anterior sin perjuicio del carácter contingente del proceso</w:t>
      </w:r>
    </w:p>
    <w:bookmarkEnd w:id="0"/>
    <w:p w14:paraId="49EDDE08" w14:textId="3E4A64DC" w:rsidR="00906282" w:rsidRPr="003F3828" w:rsidRDefault="00906282" w:rsidP="00DB1B28">
      <w:pPr>
        <w:spacing w:line="360" w:lineRule="auto"/>
        <w:jc w:val="both"/>
        <w:rPr>
          <w:rFonts w:ascii="Century Gothic" w:hAnsi="Century Gothic"/>
          <w:bCs/>
        </w:rPr>
      </w:pPr>
      <w:r w:rsidRPr="003F3828">
        <w:rPr>
          <w:rFonts w:ascii="Century Gothic" w:hAnsi="Century Gothic"/>
          <w:b/>
          <w:bCs/>
        </w:rPr>
        <w:t>Solicitud Autorización</w:t>
      </w:r>
      <w:r w:rsidR="00AC00CB" w:rsidRPr="003F3828">
        <w:rPr>
          <w:rFonts w:ascii="Century Gothic" w:hAnsi="Century Gothic"/>
          <w:b/>
          <w:bCs/>
        </w:rPr>
        <w:t xml:space="preserve">: </w:t>
      </w:r>
      <w:r w:rsidRPr="003F3828">
        <w:rPr>
          <w:rFonts w:ascii="Century Gothic" w:hAnsi="Century Gothic"/>
          <w:b/>
          <w:bCs/>
        </w:rPr>
        <w:t>Se deben indicar los argumentos que justifican la solicitud</w:t>
      </w:r>
    </w:p>
    <w:p w14:paraId="503C34FB" w14:textId="0FBB8AC1" w:rsidR="00714849" w:rsidRPr="003F3828" w:rsidRDefault="00714849" w:rsidP="003F3828">
      <w:pPr>
        <w:spacing w:line="360" w:lineRule="auto"/>
        <w:jc w:val="both"/>
        <w:rPr>
          <w:rFonts w:ascii="Century Gothic" w:hAnsi="Century Gothic"/>
          <w:bCs/>
        </w:rPr>
      </w:pPr>
      <w:r w:rsidRPr="003F3828">
        <w:rPr>
          <w:rFonts w:ascii="Century Gothic" w:hAnsi="Century Gothic"/>
          <w:bCs/>
        </w:rPr>
        <w:t xml:space="preserve">NOTA: Este informe se debe enviar con la proyección de la contestación de la demanda y anexos que se pretendan aportar, con una antelación no menor a 5 días hábiles previos al cumplimiento del </w:t>
      </w:r>
      <w:r w:rsidR="00211D25" w:rsidRPr="003F3828">
        <w:rPr>
          <w:rFonts w:ascii="Century Gothic" w:hAnsi="Century Gothic"/>
          <w:bCs/>
        </w:rPr>
        <w:t>término</w:t>
      </w:r>
      <w:r w:rsidRPr="003F3828">
        <w:rPr>
          <w:rFonts w:ascii="Century Gothic" w:hAnsi="Century Gothic"/>
          <w:bCs/>
        </w:rPr>
        <w:t xml:space="preserve"> para contestar. </w:t>
      </w:r>
    </w:p>
    <w:p w14:paraId="0F9D0826" w14:textId="77777777" w:rsidR="003F3828" w:rsidRDefault="00236A83" w:rsidP="003F3828">
      <w:pPr>
        <w:spacing w:line="360" w:lineRule="auto"/>
        <w:jc w:val="both"/>
        <w:rPr>
          <w:rFonts w:ascii="Century Gothic" w:hAnsi="Century Gothic" w:cs="Arial"/>
          <w:bCs/>
        </w:rPr>
      </w:pPr>
      <w:r w:rsidRPr="003F3828">
        <w:rPr>
          <w:rFonts w:ascii="Century Gothic" w:hAnsi="Century Gothic" w:cs="Arial"/>
          <w:bCs/>
        </w:rPr>
        <w:t>Firma: ANZA</w:t>
      </w:r>
    </w:p>
    <w:p w14:paraId="06526756" w14:textId="1A9442C8" w:rsidR="000F0821" w:rsidRDefault="00236A83" w:rsidP="003F3828">
      <w:pPr>
        <w:spacing w:line="360" w:lineRule="auto"/>
        <w:jc w:val="both"/>
        <w:rPr>
          <w:rFonts w:ascii="Century Gothic" w:eastAsia="Times New Roman" w:hAnsi="Century Gothic"/>
          <w:color w:val="000000"/>
        </w:rPr>
      </w:pPr>
      <w:r w:rsidRPr="003F3828">
        <w:rPr>
          <w:rFonts w:ascii="Century Gothic" w:hAnsi="Century Gothic" w:cs="Arial"/>
          <w:bCs/>
        </w:rPr>
        <w:lastRenderedPageBreak/>
        <w:t>GHA Abogados &amp; Asociados</w:t>
      </w:r>
    </w:p>
    <w:sectPr w:rsidR="000F0821" w:rsidSect="003F3828">
      <w:headerReference w:type="default" r:id="rId10"/>
      <w:pgSz w:w="12240" w:h="15840"/>
      <w:pgMar w:top="1702" w:right="1701"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5404" w14:textId="77777777" w:rsidR="001F7405" w:rsidRDefault="001F7405" w:rsidP="00F361C1">
      <w:pPr>
        <w:spacing w:after="0" w:line="240" w:lineRule="auto"/>
      </w:pPr>
      <w:r>
        <w:separator/>
      </w:r>
    </w:p>
  </w:endnote>
  <w:endnote w:type="continuationSeparator" w:id="0">
    <w:p w14:paraId="69A3BD80" w14:textId="77777777" w:rsidR="001F7405" w:rsidRDefault="001F7405" w:rsidP="00F361C1">
      <w:pPr>
        <w:spacing w:after="0" w:line="240" w:lineRule="auto"/>
      </w:pPr>
      <w:r>
        <w:continuationSeparator/>
      </w:r>
    </w:p>
  </w:endnote>
  <w:endnote w:type="continuationNotice" w:id="1">
    <w:p w14:paraId="11E7BB89" w14:textId="77777777" w:rsidR="001F7405" w:rsidRDefault="001F74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80F58" w14:textId="77777777" w:rsidR="001F7405" w:rsidRDefault="001F7405" w:rsidP="00F361C1">
      <w:pPr>
        <w:spacing w:after="0" w:line="240" w:lineRule="auto"/>
      </w:pPr>
      <w:r>
        <w:separator/>
      </w:r>
    </w:p>
  </w:footnote>
  <w:footnote w:type="continuationSeparator" w:id="0">
    <w:p w14:paraId="2D61F791" w14:textId="77777777" w:rsidR="001F7405" w:rsidRDefault="001F7405" w:rsidP="00F361C1">
      <w:pPr>
        <w:spacing w:after="0" w:line="240" w:lineRule="auto"/>
      </w:pPr>
      <w:r>
        <w:continuationSeparator/>
      </w:r>
    </w:p>
  </w:footnote>
  <w:footnote w:type="continuationNotice" w:id="1">
    <w:p w14:paraId="523702F1" w14:textId="77777777" w:rsidR="001F7405" w:rsidRDefault="001F74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232540985" name="Imagen 232540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C697B"/>
    <w:multiLevelType w:val="hybridMultilevel"/>
    <w:tmpl w:val="176E52F2"/>
    <w:lvl w:ilvl="0" w:tplc="9B8858E4">
      <w:start w:val="1"/>
      <w:numFmt w:val="decimal"/>
      <w:lvlText w:val="%1."/>
      <w:lvlJc w:val="left"/>
      <w:pPr>
        <w:ind w:left="720" w:hanging="360"/>
      </w:pPr>
      <w:rPr>
        <w:rFonts w:hint="default"/>
        <w:b/>
        <w:bCs/>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B77A85"/>
    <w:multiLevelType w:val="multilevel"/>
    <w:tmpl w:val="7908A626"/>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046354">
    <w:abstractNumId w:val="1"/>
  </w:num>
  <w:num w:numId="2" w16cid:durableId="767427764">
    <w:abstractNumId w:val="3"/>
  </w:num>
  <w:num w:numId="3" w16cid:durableId="1159733856">
    <w:abstractNumId w:val="4"/>
  </w:num>
  <w:num w:numId="4" w16cid:durableId="1610237111">
    <w:abstractNumId w:val="0"/>
  </w:num>
  <w:num w:numId="5" w16cid:durableId="1828281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201D"/>
    <w:rsid w:val="00011078"/>
    <w:rsid w:val="00023CF4"/>
    <w:rsid w:val="000278AA"/>
    <w:rsid w:val="0004051E"/>
    <w:rsid w:val="00062C49"/>
    <w:rsid w:val="00065E13"/>
    <w:rsid w:val="0007053B"/>
    <w:rsid w:val="00072E80"/>
    <w:rsid w:val="000910AC"/>
    <w:rsid w:val="00093870"/>
    <w:rsid w:val="000978C5"/>
    <w:rsid w:val="000A237B"/>
    <w:rsid w:val="000A3855"/>
    <w:rsid w:val="000A7B71"/>
    <w:rsid w:val="000B291C"/>
    <w:rsid w:val="000B3887"/>
    <w:rsid w:val="000C63A1"/>
    <w:rsid w:val="000C68CB"/>
    <w:rsid w:val="000C7A5D"/>
    <w:rsid w:val="000E73B8"/>
    <w:rsid w:val="000F0821"/>
    <w:rsid w:val="0010516B"/>
    <w:rsid w:val="00110599"/>
    <w:rsid w:val="001156A4"/>
    <w:rsid w:val="001450DF"/>
    <w:rsid w:val="00147B0A"/>
    <w:rsid w:val="00174384"/>
    <w:rsid w:val="00176D9E"/>
    <w:rsid w:val="00180208"/>
    <w:rsid w:val="00183537"/>
    <w:rsid w:val="00183628"/>
    <w:rsid w:val="0019597E"/>
    <w:rsid w:val="001A66BE"/>
    <w:rsid w:val="001B384C"/>
    <w:rsid w:val="001D7667"/>
    <w:rsid w:val="001D7BB3"/>
    <w:rsid w:val="001E1AC1"/>
    <w:rsid w:val="001F3A28"/>
    <w:rsid w:val="001F7405"/>
    <w:rsid w:val="002017BF"/>
    <w:rsid w:val="00211D25"/>
    <w:rsid w:val="002136A2"/>
    <w:rsid w:val="00216DBD"/>
    <w:rsid w:val="00217259"/>
    <w:rsid w:val="00217582"/>
    <w:rsid w:val="00225AC7"/>
    <w:rsid w:val="00231199"/>
    <w:rsid w:val="00236A83"/>
    <w:rsid w:val="00253497"/>
    <w:rsid w:val="0026500B"/>
    <w:rsid w:val="0029437D"/>
    <w:rsid w:val="002B1114"/>
    <w:rsid w:val="002B795C"/>
    <w:rsid w:val="002D1126"/>
    <w:rsid w:val="002D381D"/>
    <w:rsid w:val="002E6DB4"/>
    <w:rsid w:val="002E7ABC"/>
    <w:rsid w:val="002F45C6"/>
    <w:rsid w:val="0030238E"/>
    <w:rsid w:val="003076D3"/>
    <w:rsid w:val="00327F38"/>
    <w:rsid w:val="003320F5"/>
    <w:rsid w:val="00333866"/>
    <w:rsid w:val="003377F2"/>
    <w:rsid w:val="00347A89"/>
    <w:rsid w:val="00350AC8"/>
    <w:rsid w:val="00355A46"/>
    <w:rsid w:val="00357AC8"/>
    <w:rsid w:val="00366947"/>
    <w:rsid w:val="00372D4F"/>
    <w:rsid w:val="00375DE6"/>
    <w:rsid w:val="00380AC8"/>
    <w:rsid w:val="0038500F"/>
    <w:rsid w:val="00392090"/>
    <w:rsid w:val="003A1AF6"/>
    <w:rsid w:val="003B13FD"/>
    <w:rsid w:val="003D7618"/>
    <w:rsid w:val="003E6627"/>
    <w:rsid w:val="003F3828"/>
    <w:rsid w:val="00403FE2"/>
    <w:rsid w:val="00466D39"/>
    <w:rsid w:val="00485681"/>
    <w:rsid w:val="00493A9E"/>
    <w:rsid w:val="004A2149"/>
    <w:rsid w:val="004A29BD"/>
    <w:rsid w:val="004B03BE"/>
    <w:rsid w:val="004C5EAA"/>
    <w:rsid w:val="004C7AF3"/>
    <w:rsid w:val="004E1A80"/>
    <w:rsid w:val="005158E3"/>
    <w:rsid w:val="0051615A"/>
    <w:rsid w:val="005167D8"/>
    <w:rsid w:val="00540C20"/>
    <w:rsid w:val="005441DC"/>
    <w:rsid w:val="00551763"/>
    <w:rsid w:val="00551CEE"/>
    <w:rsid w:val="00552784"/>
    <w:rsid w:val="00555DA0"/>
    <w:rsid w:val="00572D16"/>
    <w:rsid w:val="00580088"/>
    <w:rsid w:val="00581EAD"/>
    <w:rsid w:val="00591F85"/>
    <w:rsid w:val="005977A7"/>
    <w:rsid w:val="005C0421"/>
    <w:rsid w:val="005C13F6"/>
    <w:rsid w:val="005C4FE0"/>
    <w:rsid w:val="005C7D86"/>
    <w:rsid w:val="005D4092"/>
    <w:rsid w:val="005D726E"/>
    <w:rsid w:val="005E2003"/>
    <w:rsid w:val="005E7485"/>
    <w:rsid w:val="005F30BA"/>
    <w:rsid w:val="005F42DF"/>
    <w:rsid w:val="006068E2"/>
    <w:rsid w:val="00623FF8"/>
    <w:rsid w:val="00631037"/>
    <w:rsid w:val="00651A37"/>
    <w:rsid w:val="00652456"/>
    <w:rsid w:val="00652C05"/>
    <w:rsid w:val="00652D3C"/>
    <w:rsid w:val="00654549"/>
    <w:rsid w:val="00657D08"/>
    <w:rsid w:val="006723EA"/>
    <w:rsid w:val="00675022"/>
    <w:rsid w:val="00683E76"/>
    <w:rsid w:val="006843AF"/>
    <w:rsid w:val="00687931"/>
    <w:rsid w:val="006946CB"/>
    <w:rsid w:val="006A648E"/>
    <w:rsid w:val="006C2256"/>
    <w:rsid w:val="006D43C5"/>
    <w:rsid w:val="006D66A2"/>
    <w:rsid w:val="006E4066"/>
    <w:rsid w:val="006F48A2"/>
    <w:rsid w:val="007008FA"/>
    <w:rsid w:val="00707F1D"/>
    <w:rsid w:val="00714849"/>
    <w:rsid w:val="00726FDE"/>
    <w:rsid w:val="00730BF7"/>
    <w:rsid w:val="007607BD"/>
    <w:rsid w:val="007622E7"/>
    <w:rsid w:val="00777CB6"/>
    <w:rsid w:val="007822E3"/>
    <w:rsid w:val="007871E1"/>
    <w:rsid w:val="00791C20"/>
    <w:rsid w:val="00793CE6"/>
    <w:rsid w:val="007A2114"/>
    <w:rsid w:val="007B2263"/>
    <w:rsid w:val="007B360A"/>
    <w:rsid w:val="007B524E"/>
    <w:rsid w:val="007C4479"/>
    <w:rsid w:val="007C6622"/>
    <w:rsid w:val="007D3518"/>
    <w:rsid w:val="007D6FC3"/>
    <w:rsid w:val="007F5E92"/>
    <w:rsid w:val="00806862"/>
    <w:rsid w:val="008122C9"/>
    <w:rsid w:val="00815EB6"/>
    <w:rsid w:val="0082623C"/>
    <w:rsid w:val="00833D8C"/>
    <w:rsid w:val="00853E73"/>
    <w:rsid w:val="0085543A"/>
    <w:rsid w:val="00877C4E"/>
    <w:rsid w:val="00877CAA"/>
    <w:rsid w:val="00877E28"/>
    <w:rsid w:val="008929FE"/>
    <w:rsid w:val="00893B5E"/>
    <w:rsid w:val="00894F35"/>
    <w:rsid w:val="00895DC8"/>
    <w:rsid w:val="008B1756"/>
    <w:rsid w:val="008B5F1E"/>
    <w:rsid w:val="008B7F80"/>
    <w:rsid w:val="008C4778"/>
    <w:rsid w:val="008D0931"/>
    <w:rsid w:val="008D11A0"/>
    <w:rsid w:val="008D43FF"/>
    <w:rsid w:val="008E0BFB"/>
    <w:rsid w:val="008E4463"/>
    <w:rsid w:val="008F1A57"/>
    <w:rsid w:val="008F46D4"/>
    <w:rsid w:val="008F542E"/>
    <w:rsid w:val="008F79D0"/>
    <w:rsid w:val="00904357"/>
    <w:rsid w:val="00906282"/>
    <w:rsid w:val="00912900"/>
    <w:rsid w:val="0091365B"/>
    <w:rsid w:val="00920A35"/>
    <w:rsid w:val="00941214"/>
    <w:rsid w:val="009432AD"/>
    <w:rsid w:val="00951D8F"/>
    <w:rsid w:val="009575B2"/>
    <w:rsid w:val="00970A50"/>
    <w:rsid w:val="00970CC7"/>
    <w:rsid w:val="00971FD8"/>
    <w:rsid w:val="009759A9"/>
    <w:rsid w:val="00977B1C"/>
    <w:rsid w:val="00980383"/>
    <w:rsid w:val="00987F00"/>
    <w:rsid w:val="00993B48"/>
    <w:rsid w:val="009B0641"/>
    <w:rsid w:val="009D0FE5"/>
    <w:rsid w:val="009E131F"/>
    <w:rsid w:val="009F16B6"/>
    <w:rsid w:val="009F7E8B"/>
    <w:rsid w:val="00A0393C"/>
    <w:rsid w:val="00A05235"/>
    <w:rsid w:val="00A0768E"/>
    <w:rsid w:val="00A10CFF"/>
    <w:rsid w:val="00A27A4C"/>
    <w:rsid w:val="00A332F5"/>
    <w:rsid w:val="00A41226"/>
    <w:rsid w:val="00A417FF"/>
    <w:rsid w:val="00A46573"/>
    <w:rsid w:val="00A471E5"/>
    <w:rsid w:val="00A52951"/>
    <w:rsid w:val="00A71964"/>
    <w:rsid w:val="00A83FD9"/>
    <w:rsid w:val="00A93689"/>
    <w:rsid w:val="00A95883"/>
    <w:rsid w:val="00AB04D8"/>
    <w:rsid w:val="00AC00CB"/>
    <w:rsid w:val="00AC2260"/>
    <w:rsid w:val="00AD600B"/>
    <w:rsid w:val="00AF4102"/>
    <w:rsid w:val="00AF5457"/>
    <w:rsid w:val="00B13FD3"/>
    <w:rsid w:val="00B23617"/>
    <w:rsid w:val="00B27D3B"/>
    <w:rsid w:val="00B3609D"/>
    <w:rsid w:val="00B4416D"/>
    <w:rsid w:val="00B52D96"/>
    <w:rsid w:val="00B66BEC"/>
    <w:rsid w:val="00B6751D"/>
    <w:rsid w:val="00B9347D"/>
    <w:rsid w:val="00B94B75"/>
    <w:rsid w:val="00B95E36"/>
    <w:rsid w:val="00BB3B3A"/>
    <w:rsid w:val="00BB65AB"/>
    <w:rsid w:val="00BB781C"/>
    <w:rsid w:val="00BC2817"/>
    <w:rsid w:val="00BC5EEF"/>
    <w:rsid w:val="00BD610E"/>
    <w:rsid w:val="00BE3AA7"/>
    <w:rsid w:val="00BE40F8"/>
    <w:rsid w:val="00BF7F49"/>
    <w:rsid w:val="00C07DCC"/>
    <w:rsid w:val="00C108EE"/>
    <w:rsid w:val="00C12439"/>
    <w:rsid w:val="00C16A9C"/>
    <w:rsid w:val="00C204CB"/>
    <w:rsid w:val="00C239D6"/>
    <w:rsid w:val="00C239E9"/>
    <w:rsid w:val="00C27BCD"/>
    <w:rsid w:val="00C3050F"/>
    <w:rsid w:val="00C31924"/>
    <w:rsid w:val="00C50661"/>
    <w:rsid w:val="00C570BA"/>
    <w:rsid w:val="00C77602"/>
    <w:rsid w:val="00C87298"/>
    <w:rsid w:val="00C900F5"/>
    <w:rsid w:val="00C92CDE"/>
    <w:rsid w:val="00C94672"/>
    <w:rsid w:val="00CA1977"/>
    <w:rsid w:val="00CA4092"/>
    <w:rsid w:val="00CA4AE2"/>
    <w:rsid w:val="00CA757D"/>
    <w:rsid w:val="00CB04EE"/>
    <w:rsid w:val="00CC34B5"/>
    <w:rsid w:val="00CC6795"/>
    <w:rsid w:val="00CD1263"/>
    <w:rsid w:val="00CD5571"/>
    <w:rsid w:val="00CE64FD"/>
    <w:rsid w:val="00CF0DE3"/>
    <w:rsid w:val="00D04FBF"/>
    <w:rsid w:val="00D1036E"/>
    <w:rsid w:val="00D137BD"/>
    <w:rsid w:val="00D14819"/>
    <w:rsid w:val="00D262FA"/>
    <w:rsid w:val="00D36AF0"/>
    <w:rsid w:val="00D406B1"/>
    <w:rsid w:val="00D661C7"/>
    <w:rsid w:val="00D67178"/>
    <w:rsid w:val="00D84C05"/>
    <w:rsid w:val="00D87C88"/>
    <w:rsid w:val="00D95C6A"/>
    <w:rsid w:val="00DA1072"/>
    <w:rsid w:val="00DA78CB"/>
    <w:rsid w:val="00DB1B28"/>
    <w:rsid w:val="00DB1F76"/>
    <w:rsid w:val="00DC40B5"/>
    <w:rsid w:val="00DD1A52"/>
    <w:rsid w:val="00DD7FC0"/>
    <w:rsid w:val="00DE2EBF"/>
    <w:rsid w:val="00DE485D"/>
    <w:rsid w:val="00E20E95"/>
    <w:rsid w:val="00E241DB"/>
    <w:rsid w:val="00E454C4"/>
    <w:rsid w:val="00E46C8B"/>
    <w:rsid w:val="00E47AAE"/>
    <w:rsid w:val="00E657A3"/>
    <w:rsid w:val="00E666DF"/>
    <w:rsid w:val="00E7063C"/>
    <w:rsid w:val="00E8277F"/>
    <w:rsid w:val="00E864B3"/>
    <w:rsid w:val="00EA01EE"/>
    <w:rsid w:val="00EA03ED"/>
    <w:rsid w:val="00EA246F"/>
    <w:rsid w:val="00EA6340"/>
    <w:rsid w:val="00EB46EC"/>
    <w:rsid w:val="00EC0FC7"/>
    <w:rsid w:val="00ED3841"/>
    <w:rsid w:val="00EE4BFD"/>
    <w:rsid w:val="00F028AB"/>
    <w:rsid w:val="00F10A4A"/>
    <w:rsid w:val="00F22541"/>
    <w:rsid w:val="00F244BC"/>
    <w:rsid w:val="00F342D8"/>
    <w:rsid w:val="00F361C1"/>
    <w:rsid w:val="00F404FF"/>
    <w:rsid w:val="00F46C80"/>
    <w:rsid w:val="00F669E6"/>
    <w:rsid w:val="00F673EC"/>
    <w:rsid w:val="00F76D78"/>
    <w:rsid w:val="00F8146E"/>
    <w:rsid w:val="00F82B1B"/>
    <w:rsid w:val="00F84320"/>
    <w:rsid w:val="00F87246"/>
    <w:rsid w:val="00FA27A5"/>
    <w:rsid w:val="00FA454E"/>
    <w:rsid w:val="00FA7DB1"/>
    <w:rsid w:val="00FD07C5"/>
    <w:rsid w:val="00FD3799"/>
    <w:rsid w:val="00FE1E97"/>
    <w:rsid w:val="00FE44A6"/>
    <w:rsid w:val="00FF1EB0"/>
    <w:rsid w:val="00FF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Refdecomentario">
    <w:name w:val="annotation reference"/>
    <w:basedOn w:val="Fuentedeprrafopredeter"/>
    <w:uiPriority w:val="99"/>
    <w:semiHidden/>
    <w:unhideWhenUsed/>
    <w:rsid w:val="005167D8"/>
    <w:rPr>
      <w:sz w:val="16"/>
      <w:szCs w:val="16"/>
    </w:rPr>
  </w:style>
  <w:style w:type="paragraph" w:styleId="Textocomentario">
    <w:name w:val="annotation text"/>
    <w:basedOn w:val="Normal"/>
    <w:link w:val="TextocomentarioCar"/>
    <w:uiPriority w:val="99"/>
    <w:unhideWhenUsed/>
    <w:rsid w:val="005167D8"/>
    <w:pPr>
      <w:spacing w:line="240" w:lineRule="auto"/>
    </w:pPr>
    <w:rPr>
      <w:sz w:val="20"/>
      <w:szCs w:val="20"/>
    </w:rPr>
  </w:style>
  <w:style w:type="character" w:customStyle="1" w:styleId="TextocomentarioCar">
    <w:name w:val="Texto comentario Car"/>
    <w:basedOn w:val="Fuentedeprrafopredeter"/>
    <w:link w:val="Textocomentario"/>
    <w:uiPriority w:val="99"/>
    <w:rsid w:val="005167D8"/>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5167D8"/>
    <w:rPr>
      <w:b/>
      <w:bCs/>
    </w:rPr>
  </w:style>
  <w:style w:type="character" w:customStyle="1" w:styleId="AsuntodelcomentarioCar">
    <w:name w:val="Asunto del comentario Car"/>
    <w:basedOn w:val="TextocomentarioCar"/>
    <w:link w:val="Asuntodelcomentario"/>
    <w:uiPriority w:val="99"/>
    <w:semiHidden/>
    <w:rsid w:val="005167D8"/>
    <w:rPr>
      <w:b/>
      <w:bCs/>
      <w:sz w:val="20"/>
      <w:szCs w:val="20"/>
      <w:lang w:val="es-CO"/>
    </w:rPr>
  </w:style>
  <w:style w:type="paragraph" w:styleId="Prrafodelista">
    <w:name w:val="List Paragraph"/>
    <w:basedOn w:val="Normal"/>
    <w:uiPriority w:val="34"/>
    <w:qFormat/>
    <w:rsid w:val="0085543A"/>
    <w:pPr>
      <w:ind w:left="720"/>
      <w:contextualSpacing/>
    </w:pPr>
  </w:style>
  <w:style w:type="character" w:styleId="Textodelmarcadordeposicin">
    <w:name w:val="Placeholder Text"/>
    <w:basedOn w:val="Fuentedeprrafopredeter"/>
    <w:uiPriority w:val="99"/>
    <w:semiHidden/>
    <w:rsid w:val="00970CC7"/>
    <w:rPr>
      <w:color w:val="808080"/>
    </w:rPr>
  </w:style>
  <w:style w:type="paragraph" w:styleId="Sinespaciado">
    <w:name w:val="No Spacing"/>
    <w:uiPriority w:val="1"/>
    <w:qFormat/>
    <w:rsid w:val="00B3609D"/>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15324">
      <w:bodyDiv w:val="1"/>
      <w:marLeft w:val="0"/>
      <w:marRight w:val="0"/>
      <w:marTop w:val="0"/>
      <w:marBottom w:val="0"/>
      <w:divBdr>
        <w:top w:val="none" w:sz="0" w:space="0" w:color="auto"/>
        <w:left w:val="none" w:sz="0" w:space="0" w:color="auto"/>
        <w:bottom w:val="none" w:sz="0" w:space="0" w:color="auto"/>
        <w:right w:val="none" w:sz="0" w:space="0" w:color="auto"/>
      </w:divBdr>
    </w:div>
    <w:div w:id="333148500">
      <w:bodyDiv w:val="1"/>
      <w:marLeft w:val="0"/>
      <w:marRight w:val="0"/>
      <w:marTop w:val="0"/>
      <w:marBottom w:val="0"/>
      <w:divBdr>
        <w:top w:val="none" w:sz="0" w:space="0" w:color="auto"/>
        <w:left w:val="none" w:sz="0" w:space="0" w:color="auto"/>
        <w:bottom w:val="none" w:sz="0" w:space="0" w:color="auto"/>
        <w:right w:val="none" w:sz="0" w:space="0" w:color="auto"/>
      </w:divBdr>
    </w:div>
    <w:div w:id="345794991">
      <w:bodyDiv w:val="1"/>
      <w:marLeft w:val="0"/>
      <w:marRight w:val="0"/>
      <w:marTop w:val="0"/>
      <w:marBottom w:val="0"/>
      <w:divBdr>
        <w:top w:val="none" w:sz="0" w:space="0" w:color="auto"/>
        <w:left w:val="none" w:sz="0" w:space="0" w:color="auto"/>
        <w:bottom w:val="none" w:sz="0" w:space="0" w:color="auto"/>
        <w:right w:val="none" w:sz="0" w:space="0" w:color="auto"/>
      </w:divBdr>
    </w:div>
    <w:div w:id="505168390">
      <w:bodyDiv w:val="1"/>
      <w:marLeft w:val="0"/>
      <w:marRight w:val="0"/>
      <w:marTop w:val="0"/>
      <w:marBottom w:val="0"/>
      <w:divBdr>
        <w:top w:val="none" w:sz="0" w:space="0" w:color="auto"/>
        <w:left w:val="none" w:sz="0" w:space="0" w:color="auto"/>
        <w:bottom w:val="none" w:sz="0" w:space="0" w:color="auto"/>
        <w:right w:val="none" w:sz="0" w:space="0" w:color="auto"/>
      </w:divBdr>
    </w:div>
    <w:div w:id="540634080">
      <w:bodyDiv w:val="1"/>
      <w:marLeft w:val="0"/>
      <w:marRight w:val="0"/>
      <w:marTop w:val="0"/>
      <w:marBottom w:val="0"/>
      <w:divBdr>
        <w:top w:val="none" w:sz="0" w:space="0" w:color="auto"/>
        <w:left w:val="none" w:sz="0" w:space="0" w:color="auto"/>
        <w:bottom w:val="none" w:sz="0" w:space="0" w:color="auto"/>
        <w:right w:val="none" w:sz="0" w:space="0" w:color="auto"/>
      </w:divBdr>
    </w:div>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561332523">
      <w:bodyDiv w:val="1"/>
      <w:marLeft w:val="0"/>
      <w:marRight w:val="0"/>
      <w:marTop w:val="0"/>
      <w:marBottom w:val="0"/>
      <w:divBdr>
        <w:top w:val="none" w:sz="0" w:space="0" w:color="auto"/>
        <w:left w:val="none" w:sz="0" w:space="0" w:color="auto"/>
        <w:bottom w:val="none" w:sz="0" w:space="0" w:color="auto"/>
        <w:right w:val="none" w:sz="0" w:space="0" w:color="auto"/>
      </w:divBdr>
    </w:div>
    <w:div w:id="691224363">
      <w:bodyDiv w:val="1"/>
      <w:marLeft w:val="0"/>
      <w:marRight w:val="0"/>
      <w:marTop w:val="0"/>
      <w:marBottom w:val="0"/>
      <w:divBdr>
        <w:top w:val="none" w:sz="0" w:space="0" w:color="auto"/>
        <w:left w:val="none" w:sz="0" w:space="0" w:color="auto"/>
        <w:bottom w:val="none" w:sz="0" w:space="0" w:color="auto"/>
        <w:right w:val="none" w:sz="0" w:space="0" w:color="auto"/>
      </w:divBdr>
    </w:div>
    <w:div w:id="742603643">
      <w:bodyDiv w:val="1"/>
      <w:marLeft w:val="0"/>
      <w:marRight w:val="0"/>
      <w:marTop w:val="0"/>
      <w:marBottom w:val="0"/>
      <w:divBdr>
        <w:top w:val="none" w:sz="0" w:space="0" w:color="auto"/>
        <w:left w:val="none" w:sz="0" w:space="0" w:color="auto"/>
        <w:bottom w:val="none" w:sz="0" w:space="0" w:color="auto"/>
        <w:right w:val="none" w:sz="0" w:space="0" w:color="auto"/>
      </w:divBdr>
    </w:div>
    <w:div w:id="799153586">
      <w:bodyDiv w:val="1"/>
      <w:marLeft w:val="0"/>
      <w:marRight w:val="0"/>
      <w:marTop w:val="0"/>
      <w:marBottom w:val="0"/>
      <w:divBdr>
        <w:top w:val="none" w:sz="0" w:space="0" w:color="auto"/>
        <w:left w:val="none" w:sz="0" w:space="0" w:color="auto"/>
        <w:bottom w:val="none" w:sz="0" w:space="0" w:color="auto"/>
        <w:right w:val="none" w:sz="0" w:space="0" w:color="auto"/>
      </w:divBdr>
    </w:div>
    <w:div w:id="1069689542">
      <w:bodyDiv w:val="1"/>
      <w:marLeft w:val="0"/>
      <w:marRight w:val="0"/>
      <w:marTop w:val="0"/>
      <w:marBottom w:val="0"/>
      <w:divBdr>
        <w:top w:val="none" w:sz="0" w:space="0" w:color="auto"/>
        <w:left w:val="none" w:sz="0" w:space="0" w:color="auto"/>
        <w:bottom w:val="none" w:sz="0" w:space="0" w:color="auto"/>
        <w:right w:val="none" w:sz="0" w:space="0" w:color="auto"/>
      </w:divBdr>
    </w:div>
    <w:div w:id="1077626914">
      <w:bodyDiv w:val="1"/>
      <w:marLeft w:val="0"/>
      <w:marRight w:val="0"/>
      <w:marTop w:val="0"/>
      <w:marBottom w:val="0"/>
      <w:divBdr>
        <w:top w:val="none" w:sz="0" w:space="0" w:color="auto"/>
        <w:left w:val="none" w:sz="0" w:space="0" w:color="auto"/>
        <w:bottom w:val="none" w:sz="0" w:space="0" w:color="auto"/>
        <w:right w:val="none" w:sz="0" w:space="0" w:color="auto"/>
      </w:divBdr>
    </w:div>
    <w:div w:id="1115366711">
      <w:bodyDiv w:val="1"/>
      <w:marLeft w:val="0"/>
      <w:marRight w:val="0"/>
      <w:marTop w:val="0"/>
      <w:marBottom w:val="0"/>
      <w:divBdr>
        <w:top w:val="none" w:sz="0" w:space="0" w:color="auto"/>
        <w:left w:val="none" w:sz="0" w:space="0" w:color="auto"/>
        <w:bottom w:val="none" w:sz="0" w:space="0" w:color="auto"/>
        <w:right w:val="none" w:sz="0" w:space="0" w:color="auto"/>
      </w:divBdr>
    </w:div>
    <w:div w:id="1246378367">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00349063">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 w:id="1879467972">
      <w:bodyDiv w:val="1"/>
      <w:marLeft w:val="0"/>
      <w:marRight w:val="0"/>
      <w:marTop w:val="0"/>
      <w:marBottom w:val="0"/>
      <w:divBdr>
        <w:top w:val="none" w:sz="0" w:space="0" w:color="auto"/>
        <w:left w:val="none" w:sz="0" w:space="0" w:color="auto"/>
        <w:bottom w:val="none" w:sz="0" w:space="0" w:color="auto"/>
        <w:right w:val="none" w:sz="0" w:space="0" w:color="auto"/>
      </w:divBdr>
    </w:div>
    <w:div w:id="1923373052">
      <w:bodyDiv w:val="1"/>
      <w:marLeft w:val="0"/>
      <w:marRight w:val="0"/>
      <w:marTop w:val="0"/>
      <w:marBottom w:val="0"/>
      <w:divBdr>
        <w:top w:val="none" w:sz="0" w:space="0" w:color="auto"/>
        <w:left w:val="none" w:sz="0" w:space="0" w:color="auto"/>
        <w:bottom w:val="none" w:sz="0" w:space="0" w:color="auto"/>
        <w:right w:val="none" w:sz="0" w:space="0" w:color="auto"/>
      </w:divBdr>
    </w:div>
    <w:div w:id="1964114723">
      <w:bodyDiv w:val="1"/>
      <w:marLeft w:val="0"/>
      <w:marRight w:val="0"/>
      <w:marTop w:val="0"/>
      <w:marBottom w:val="0"/>
      <w:divBdr>
        <w:top w:val="none" w:sz="0" w:space="0" w:color="auto"/>
        <w:left w:val="none" w:sz="0" w:space="0" w:color="auto"/>
        <w:bottom w:val="none" w:sz="0" w:space="0" w:color="auto"/>
        <w:right w:val="none" w:sz="0" w:space="0" w:color="auto"/>
      </w:divBdr>
    </w:div>
    <w:div w:id="1994137754">
      <w:bodyDiv w:val="1"/>
      <w:marLeft w:val="0"/>
      <w:marRight w:val="0"/>
      <w:marTop w:val="0"/>
      <w:marBottom w:val="0"/>
      <w:divBdr>
        <w:top w:val="none" w:sz="0" w:space="0" w:color="auto"/>
        <w:left w:val="none" w:sz="0" w:space="0" w:color="auto"/>
        <w:bottom w:val="none" w:sz="0" w:space="0" w:color="auto"/>
        <w:right w:val="none" w:sz="0" w:space="0" w:color="auto"/>
      </w:divBdr>
    </w:div>
    <w:div w:id="20162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C3AFCEEA89A24AE281335CEDB2DC1FBA"/>
        <w:category>
          <w:name w:val="General"/>
          <w:gallery w:val="placeholder"/>
        </w:category>
        <w:types>
          <w:type w:val="bbPlcHdr"/>
        </w:types>
        <w:behaviors>
          <w:behavior w:val="content"/>
        </w:behaviors>
        <w:guid w:val="{30CA95A3-0F74-43F4-A697-10610FD447CB}"/>
      </w:docPartPr>
      <w:docPartBody>
        <w:p w:rsidR="00A96A7E" w:rsidRDefault="00A96A7E" w:rsidP="00A96A7E">
          <w:pPr>
            <w:pStyle w:val="C3AFCEEA89A24AE281335CEDB2DC1FBA"/>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04051E"/>
    <w:rsid w:val="000634BC"/>
    <w:rsid w:val="00265E71"/>
    <w:rsid w:val="002F214A"/>
    <w:rsid w:val="00366947"/>
    <w:rsid w:val="004D658F"/>
    <w:rsid w:val="00520EC7"/>
    <w:rsid w:val="00545D98"/>
    <w:rsid w:val="00563C7D"/>
    <w:rsid w:val="00650B39"/>
    <w:rsid w:val="006B33D7"/>
    <w:rsid w:val="0070735B"/>
    <w:rsid w:val="00707F1D"/>
    <w:rsid w:val="00736B2E"/>
    <w:rsid w:val="0079412A"/>
    <w:rsid w:val="007B2D1A"/>
    <w:rsid w:val="00855753"/>
    <w:rsid w:val="008C07CD"/>
    <w:rsid w:val="008C27DC"/>
    <w:rsid w:val="008D4DF9"/>
    <w:rsid w:val="00946472"/>
    <w:rsid w:val="00A5325A"/>
    <w:rsid w:val="00A6099D"/>
    <w:rsid w:val="00A61C2C"/>
    <w:rsid w:val="00A96A7E"/>
    <w:rsid w:val="00AC2260"/>
    <w:rsid w:val="00AF4102"/>
    <w:rsid w:val="00BF6074"/>
    <w:rsid w:val="00C371EC"/>
    <w:rsid w:val="00CD0526"/>
    <w:rsid w:val="00D262C4"/>
    <w:rsid w:val="00D53FC6"/>
    <w:rsid w:val="00D819F2"/>
    <w:rsid w:val="00E27DFA"/>
    <w:rsid w:val="00E6057A"/>
    <w:rsid w:val="00E738C3"/>
    <w:rsid w:val="00E73B5E"/>
    <w:rsid w:val="00EE4BFD"/>
    <w:rsid w:val="00F342D8"/>
    <w:rsid w:val="00F83AF3"/>
    <w:rsid w:val="00F85103"/>
    <w:rsid w:val="00FE70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96A7E"/>
    <w:rPr>
      <w:color w:val="808080"/>
    </w:rPr>
  </w:style>
  <w:style w:type="paragraph" w:customStyle="1" w:styleId="7648FE0BD8524C4CB75B438B661094CE">
    <w:name w:val="7648FE0BD8524C4CB75B438B661094CE"/>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2B591375562542929F40D8010F659178">
    <w:name w:val="2B591375562542929F40D8010F659178"/>
    <w:rsid w:val="00946472"/>
    <w:pPr>
      <w:spacing w:line="278" w:lineRule="auto"/>
    </w:pPr>
    <w:rPr>
      <w:kern w:val="2"/>
      <w:sz w:val="24"/>
      <w:szCs w:val="24"/>
      <w14:ligatures w14:val="standardContextual"/>
    </w:rPr>
  </w:style>
  <w:style w:type="paragraph" w:customStyle="1" w:styleId="82E512763408438BAC85025AED174CCF">
    <w:name w:val="82E512763408438BAC85025AED174CCF"/>
    <w:rsid w:val="00520EC7"/>
    <w:pPr>
      <w:spacing w:line="278" w:lineRule="auto"/>
    </w:pPr>
    <w:rPr>
      <w:kern w:val="2"/>
      <w:sz w:val="24"/>
      <w:szCs w:val="24"/>
      <w14:ligatures w14:val="standardContextual"/>
    </w:rPr>
  </w:style>
  <w:style w:type="paragraph" w:customStyle="1" w:styleId="C0EB5CD696A64C7D8110C170C048192A">
    <w:name w:val="C0EB5CD696A64C7D8110C170C048192A"/>
    <w:rsid w:val="00520EC7"/>
    <w:pPr>
      <w:spacing w:line="278" w:lineRule="auto"/>
    </w:pPr>
    <w:rPr>
      <w:kern w:val="2"/>
      <w:sz w:val="24"/>
      <w:szCs w:val="24"/>
      <w14:ligatures w14:val="standardContextual"/>
    </w:rPr>
  </w:style>
  <w:style w:type="paragraph" w:customStyle="1" w:styleId="C3AFCEEA89A24AE281335CEDB2DC1FBA">
    <w:name w:val="C3AFCEEA89A24AE281335CEDB2DC1FBA"/>
    <w:rsid w:val="00A96A7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7" ma:contentTypeDescription="Crear nuevo documento." ma:contentTypeScope="" ma:versionID="9ed070f333dae9c408cc1c9418ec328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9ad137e19e70d4b2fc751bff472bdfb4"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3.xml><?xml version="1.0" encoding="utf-8"?>
<ds:datastoreItem xmlns:ds="http://schemas.openxmlformats.org/officeDocument/2006/customXml" ds:itemID="{4FE76F98-79F2-478D-82EF-438C1F7B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Angie Zambrano</cp:lastModifiedBy>
  <cp:revision>220</cp:revision>
  <dcterms:created xsi:type="dcterms:W3CDTF">2023-08-09T20:20:00Z</dcterms:created>
  <dcterms:modified xsi:type="dcterms:W3CDTF">2024-08-30T21:09:00Z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