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58E6" w14:textId="77777777" w:rsidR="007D01D7" w:rsidRDefault="007D01D7" w:rsidP="007D01D7">
      <w:pPr>
        <w:autoSpaceDE w:val="0"/>
        <w:autoSpaceDN w:val="0"/>
        <w:adjustRightInd w:val="0"/>
        <w:spacing w:after="0" w:line="240" w:lineRule="auto"/>
        <w:rPr>
          <w:rFonts w:ascii="LucidaBright,Italic" w:hAnsi="LucidaBright,Italic" w:cs="LucidaBright,Italic"/>
          <w:i/>
          <w:iCs/>
          <w:kern w:val="0"/>
          <w:sz w:val="20"/>
          <w:szCs w:val="20"/>
          <w:lang w:val="es-CO"/>
        </w:rPr>
      </w:pPr>
      <w:proofErr w:type="spellStart"/>
      <w:r>
        <w:rPr>
          <w:rFonts w:ascii="LucidaBright,Italic" w:hAnsi="LucidaBright,Italic" w:cs="LucidaBright,Italic"/>
          <w:i/>
          <w:iCs/>
          <w:kern w:val="0"/>
          <w:sz w:val="20"/>
          <w:szCs w:val="20"/>
          <w:lang w:val="es-CO"/>
        </w:rPr>
        <w:t>Exp</w:t>
      </w:r>
      <w:proofErr w:type="spellEnd"/>
      <w:r>
        <w:rPr>
          <w:rFonts w:ascii="LucidaBright,Italic" w:hAnsi="LucidaBright,Italic" w:cs="LucidaBright,Italic"/>
          <w:i/>
          <w:iCs/>
          <w:kern w:val="0"/>
          <w:sz w:val="20"/>
          <w:szCs w:val="20"/>
          <w:lang w:val="es-CO"/>
        </w:rPr>
        <w:t>. 009 2021 00332 01</w:t>
      </w:r>
    </w:p>
    <w:p w14:paraId="77C812C4" w14:textId="77777777" w:rsidR="00B5662D" w:rsidRDefault="00B5662D" w:rsidP="007D01D7">
      <w:pPr>
        <w:autoSpaceDE w:val="0"/>
        <w:autoSpaceDN w:val="0"/>
        <w:adjustRightInd w:val="0"/>
        <w:spacing w:after="0" w:line="240" w:lineRule="auto"/>
        <w:rPr>
          <w:rFonts w:ascii="LucidaBright,Italic" w:hAnsi="LucidaBright,Italic" w:cs="LucidaBright,Italic"/>
          <w:i/>
          <w:iCs/>
          <w:kern w:val="0"/>
          <w:sz w:val="20"/>
          <w:szCs w:val="20"/>
          <w:lang w:val="es-CO"/>
        </w:rPr>
      </w:pPr>
    </w:p>
    <w:p w14:paraId="640E06D1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58C2B46" w14:textId="477EBC63" w:rsidR="007D01D7" w:rsidRDefault="007D01D7" w:rsidP="00FC048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TRIBUNAL SUPERIOR DEL DISTRITO JUDICIAL DE BOGOTÁ, DC.</w:t>
      </w:r>
    </w:p>
    <w:p w14:paraId="0D64ED5B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SALA LABORAL</w:t>
      </w:r>
    </w:p>
    <w:p w14:paraId="73F27620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Magistrada Ponente:</w:t>
      </w:r>
    </w:p>
    <w:p w14:paraId="37AAA110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LUZ MARINA IBÁÑEZ HERNÁNDEZ</w:t>
      </w:r>
    </w:p>
    <w:p w14:paraId="48DD99CB" w14:textId="77777777" w:rsidR="00B5662D" w:rsidRDefault="00B5662D" w:rsidP="007D01D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C8B6842" w14:textId="77777777" w:rsidR="00FC048D" w:rsidRDefault="00FC048D" w:rsidP="007D01D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7F1AAF8" w14:textId="77C6467F" w:rsidR="007D01D7" w:rsidRDefault="007D01D7" w:rsidP="007D01D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PROCESO ORDINARIO LABORAL DE LUIS HUMBERTO BELTRÁN</w:t>
      </w:r>
    </w:p>
    <w:p w14:paraId="7D38C2DB" w14:textId="77777777" w:rsidR="007D01D7" w:rsidRDefault="007D01D7" w:rsidP="007D01D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HIDALGO CONTRA INVERSIONES SEQUOIA COLOMBIA SAS.</w:t>
      </w:r>
    </w:p>
    <w:p w14:paraId="7345C92A" w14:textId="77777777" w:rsidR="00B5662D" w:rsidRDefault="00B5662D" w:rsidP="007D01D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7E8CE9C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3B2D8D3" w14:textId="60F77E2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Bogotá D.C., a los treinta y un (31) días de octubre de dos mil veintitrés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(2023), la Magistrada Sustanciadora en asocio de los demás Magistrados que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integran la Sala de Decisión, procedió a dictar la siguiente,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6ED7258A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F34FB95" w14:textId="09286C80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P R O V I D E N C I A</w:t>
      </w:r>
    </w:p>
    <w:p w14:paraId="6F2A6F31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E582A60" w14:textId="349B9ACB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Decide el Tribunal el recurso de apelación interpuesto por la parte demandada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 el auto del 21 de junio de 2023, proferido por el Juzgado Cuarenta y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Dos Laboral del Circuito de esta ciudad dentro del proceso de la referencia,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medio del cual no decretó su propia declaración.</w:t>
      </w:r>
    </w:p>
    <w:p w14:paraId="62FEC01B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75EA72D" w14:textId="49F8A5D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I. A N T E C E D E N T E S</w:t>
      </w:r>
    </w:p>
    <w:p w14:paraId="046F906A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15403E65" w14:textId="621CC2F1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PRETENSIONES</w:t>
      </w:r>
    </w:p>
    <w:p w14:paraId="7B86A71F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EBB7955" w14:textId="5A8D0AD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Luis Humberto Beltrán Hidalgo, por medio de apoderado judicial, promovió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 ordinaria laboral contra Inversiones Sequoia Colombia SAS, para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se declare la existencia de un contrato de trabajo realidad, entre el 6 de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octubre de 2012 y el 20 de junio de 2020 y, como consecuencia, se condene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reconocimiento de trabajo suplementario y en días dominicales y festivos,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prestaciones sociales, compensación de vacaciones, aportes al sistema de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seguridad social, intereses moratorios, indemnizaciones por despido injusto,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las moratorias del artículo 99 de la Ley 50 de 1990 y 65 del CST, indexación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las sumas adeudadas, más las costas del proceso.</w:t>
      </w:r>
    </w:p>
    <w:p w14:paraId="425BAF46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92A9C59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HECHOS.</w:t>
      </w:r>
    </w:p>
    <w:p w14:paraId="45912064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C2A8D34" w14:textId="56476A81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el efecto, se puede resumir que el actor adujo que, entre el 6 de octubre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2012 y el 20 de junio de 2020, prestó sus servicios personales para la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demandada en la Clínica VIP, ubicada en Bogotá, de manera continua 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ininterrumpida como médico pediatra, bajo la órdenes y criterios de dicha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sociedad, en turnos, entre 6 y 24 horas diarias, en algunas ocasiones durante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jornada nocturna y domínales y festivos, que el empleador jamás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reconoció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el pago completo de la remuneración, lo mismo que desconoció el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derecho al reconocimiento de prestaciones sociales y pagos parafiscales,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adicionalmente, que el 20 de junio de 2020, la demandada dio por terminado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manera unilateral y sin justa causa el vínculo sin el pago de la respectiva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indemnización.</w:t>
      </w:r>
    </w:p>
    <w:p w14:paraId="4A6DF626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777C6A6" w14:textId="0CCDB38E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3. ACTUACION DEL JUZGADO.</w:t>
      </w:r>
    </w:p>
    <w:p w14:paraId="59EE36D2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9D3B05A" w14:textId="3678250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demandada se opuso a las pretensiones y como sustento principal de la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defensa, sostuvo que, el actor prestó los servicios profesionales a través de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un contrato civil, el cual ejecutó en forma autónoma e independiente, razón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la cual, la sociedad no ostentó la calidad de empleador sino de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contratante, y por ello, no le adeuda acreencias laborales, dado que, los</w:t>
      </w:r>
    </w:p>
    <w:p w14:paraId="7824DB71" w14:textId="3B7676B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honorarios pactados fueron pagados oportunamente. Para el efecto y, para lo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interesa al asunto, entre otros medios de prueba, solicitó la declaración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parte, esto es, que se escuche a Gabriel Alejandro Sanabria Cruz, en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calidad de representante legal de la sociedad o a quien haga sus veces, para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que,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“(…) declare sobre los hechos y contestación de la demanda,</w:t>
      </w:r>
      <w:r w:rsidR="00FC048D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específicamente en lo que se refiere a la vinculación de los médicos</w:t>
      </w:r>
      <w:r w:rsidR="00FC048D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especialistas a la sociedad INVERSIONES SEQUOIA COLOMBIA SAS, las</w:t>
      </w:r>
      <w:r w:rsidR="00FC048D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instrucciones que se emiten por parte del área de medicina científica, la</w:t>
      </w:r>
      <w:r w:rsidR="00FC048D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programación de los servicios a prestar por los contratistas y el pago de sus</w:t>
      </w:r>
      <w:r w:rsidR="00FC048D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honorarios”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.</w:t>
      </w:r>
    </w:p>
    <w:p w14:paraId="28974665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32C1C4F" w14:textId="35310ABB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Mediante proveído objeto de impugnación, la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a quo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, constituida en primera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audiencia de trámite, luego de agotadas las etapas correspondientes, negó el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decreto de dicho medio, al considerarlo improcedente, dado que, éste no está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contemplado como prueba para la misma parte, y en razón a que se decretó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pedido por la parte actora, es obligación de la pasiva en esa oportunidad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ofrecer respuestas claras y concretas frente a lo que se le interrogue.</w:t>
      </w:r>
    </w:p>
    <w:p w14:paraId="77CC9CED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E46D545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Expresamente, resolvió (archivo 21 digital):</w:t>
      </w:r>
    </w:p>
    <w:p w14:paraId="31AFD0E5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</w:p>
    <w:p w14:paraId="5E709859" w14:textId="7FAD2D4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  <w:r>
        <w:rPr>
          <w:rFonts w:ascii="BookmanOldStyle,Italic" w:hAnsi="BookmanOldStyle,Italic" w:cs="BookmanOldStyle,Italic"/>
          <w:i/>
          <w:iCs/>
          <w:kern w:val="0"/>
          <w:lang w:val="es-CO"/>
        </w:rPr>
        <w:t>PARTE DEMANDADA INVERSIONES SEQUOIA COLOMBIA SAS.</w:t>
      </w:r>
    </w:p>
    <w:p w14:paraId="781F16C0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</w:p>
    <w:p w14:paraId="07AEF6A2" w14:textId="0225C64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  <w:r>
        <w:rPr>
          <w:rFonts w:ascii="BookmanOldStyle,Italic" w:hAnsi="BookmanOldStyle,Italic" w:cs="BookmanOldStyle,Italic"/>
          <w:i/>
          <w:iCs/>
          <w:kern w:val="0"/>
          <w:lang w:val="es-CO"/>
        </w:rPr>
        <w:t>5. El despacho negó el decreto de la declaración de parte del representante legal</w:t>
      </w:r>
      <w:r w:rsidR="00FC048D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de la demandada.</w:t>
      </w:r>
    </w:p>
    <w:p w14:paraId="5B72EBAD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</w:p>
    <w:p w14:paraId="5E384691" w14:textId="7E351E4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lang w:val="es-CO"/>
        </w:rPr>
      </w:pPr>
      <w:r>
        <w:rPr>
          <w:rFonts w:ascii="BookmanOldStyle,Italic" w:hAnsi="BookmanOldStyle,Italic" w:cs="BookmanOldStyle,Italic"/>
          <w:i/>
          <w:iCs/>
          <w:kern w:val="0"/>
          <w:lang w:val="es-CO"/>
        </w:rPr>
        <w:t>ESTA DECISION QUEDA NOTIFICADA EN ESTRADOS.</w:t>
      </w:r>
      <w:r w:rsidR="00FC048D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</w:p>
    <w:p w14:paraId="2FF81ED7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(Subrayado propio).</w:t>
      </w:r>
    </w:p>
    <w:p w14:paraId="37DB4EC0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CC3E2BD" w14:textId="62C843BB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4. RECURSO DE APELACIÓN</w:t>
      </w:r>
    </w:p>
    <w:p w14:paraId="1C211959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D34732C" w14:textId="766F8EA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Inconforme con la anterior determinación, el apoderado de la parte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demandada interpuso el recurso de reposición y en subsidio el de apelación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insistiendo en que se debe decretar dicha declaración a su representado, pues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son las partes quienes conocen los hechos y son estos los llamados a aclarar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cualquier motivo de duda dentro del proceso, máxime que el CGP así lo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permite.</w:t>
      </w:r>
    </w:p>
    <w:p w14:paraId="6629E162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FF10B4D" w14:textId="3BBD966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La juzgadora de primera instancia no repuso la decisión, insistiendo en los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argumentos iniciales que le sirvieron para negar el decreto del medio de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prueba, y en su lugar, concedió el recurso de alzada en el efecto devolutivo.</w:t>
      </w:r>
      <w:r w:rsidR="00FC048D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7F61F8A7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D4B4E5B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5. ALEGATOS EN SEGUNDA INSTANCIA</w:t>
      </w:r>
    </w:p>
    <w:p w14:paraId="79BB873A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D09DA8A" w14:textId="6C8D09B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Corrido el traslado de rigor, la parte actora radicó escrito de alegaciones.</w:t>
      </w:r>
    </w:p>
    <w:p w14:paraId="5E11C609" w14:textId="200731F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kern w:val="0"/>
          <w:sz w:val="20"/>
          <w:szCs w:val="20"/>
          <w:lang w:val="es-CO"/>
        </w:rPr>
      </w:pPr>
    </w:p>
    <w:p w14:paraId="6AE7224E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II. C O N S I D E R A C I O N E S</w:t>
      </w:r>
    </w:p>
    <w:p w14:paraId="75B5A9DE" w14:textId="77777777" w:rsidR="00FC048D" w:rsidRDefault="00FC048D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00A141C" w14:textId="3C9F5FA4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Las partes dentro de un proceso pueden hacer uso de cualquiera de los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medios probatorios legalmente permitidos para probar los hechos en que se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fundan las pretensiones o las excepciones, según se ha previsto en el artículo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51 del estatuto procesal del trabajo y de la seguridad social. A su vez, el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artículo 165 del CGP, expresa: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“Sirven como pruebas, la declaración de parte, el</w:t>
      </w:r>
      <w:r w:rsidR="00113638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juramento, el testimonio de terceros, el dictamen pericial, la inspección judicial, los</w:t>
      </w:r>
      <w:r w:rsidR="00113638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documentos, los indicios y cualesquiera otros medios que sean útiles para la</w:t>
      </w:r>
      <w:r w:rsidR="00113638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formación del convencimiento del juez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”.</w:t>
      </w:r>
    </w:p>
    <w:p w14:paraId="7867BAC8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B4E9E7F" w14:textId="69C4902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Ahora, le corresponde al juez laboral, como director del proceso, buscar que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éste se trámite de la forma más rápida posible, sin que ello conlleve el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desconocimiento del derecho de defensa de las partes (art. 48 del CPT y SS).</w:t>
      </w:r>
    </w:p>
    <w:p w14:paraId="76F0C25E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6526E93" w14:textId="7CDFCDD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Dentro de esas facultades precisamente le corresponde rechazar aquellas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pruebas, actuaciones y diligencias que resulten improcedentes,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inconducentes o superfluas en relación con el tema del debate probatorio,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mediante una decisión motivada donde explique el por qué se abstiene de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decretar determinado medio de prueba (art. 53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).</w:t>
      </w:r>
    </w:p>
    <w:p w14:paraId="0CFDC13B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C72577C" w14:textId="5FE10AE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Ahora, es cierto que en el CPC, concretamente, en el artículo 175 se hacía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referencia exclusiva a la declaración de parte dentro de las posibilidades de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ejercicio de los medios de prueba; sin embargo, con el CGP, en varios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artículos mirados en su conjunto, tal como lo adujo la parte impugnante, el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legislador procesal permitió que esa manifestación sea clasificada en simple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declaración (inciso final del artículo 191 del CGP) y en confesión (inciso 1°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), esto es, que es igualmente válida la exposición que hagan las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partes, al referirse indistintamente al objeto del litigio, como aquella en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donde se obtienen consecuencias jurídicas adversas a quien lo manifiesta y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favorecen a la parte contraria, ésta última a la cual se puede llegar por el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interrogatorio de la contraparte o del mismo juzgador (artículos 198 y 202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), cumpliéndose de esta manera cada manifestación en autónoma y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eficaz, (inciso 1° del artículo 165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); en cualquier caso, debe valorarse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e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 conjunto con el resto de medios de convicción legal y oportunamente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practicados en el proceso y dársele el mérito que les corresponda.</w:t>
      </w:r>
    </w:p>
    <w:p w14:paraId="5EB3B16B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27765A1" w14:textId="5713EFD1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lo expresó la Sala de Casación Laboral de la CSJ, en sentencia SL4093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2022:</w:t>
      </w:r>
    </w:p>
    <w:p w14:paraId="4502C0B3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0B761673" w14:textId="52EE737C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lastRenderedPageBreak/>
        <w:t>La parte recurrente cuestiona la sentencia, pues en su sentir el Tribunal dio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pleno valor a la declaración de parte de la actora para tener por probado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 convivencia se mantuvo hasta la fecha de fallecimiento de aquél, pese 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esta no es una prueba suficiente o idónea, salvo cuando contenga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confesión (…)</w:t>
      </w:r>
    </w:p>
    <w:p w14:paraId="14CAFA1D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C3DDEAE" w14:textId="24B78950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 acuerdo con lo anterior le corresponde a la sala definir si la declaración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parte que rindió la demandante en el proceso es válida para establecer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convivencia con el causante hasta la fecha de su fallecimiento (…)</w:t>
      </w:r>
    </w:p>
    <w:p w14:paraId="28D4FCAB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F54B916" w14:textId="08DD7A9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Pues bien, frente al primer aspecto hay que anotar que, si bien es cierto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antes de la expedición del Código General del Proceso no se otorgaba valor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probatorio alguno a la declaración parte, salvo cuando esta conllevara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confesión, a partir de la entrada en vigencia del artículo 165 de dicho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estatuto instrumental, se introdujo como medio de prueba la declaración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 de manera independiente a la confesión, lo cual se ve reafirmado en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inciso final del precepto 191 ibidem, que previó la posibilidad de valorarla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acuerdo con las reglas generales de apreciación de las pruebas.</w:t>
      </w:r>
    </w:p>
    <w:p w14:paraId="176B69F5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B8C76F4" w14:textId="7A4ACFE9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Lo anterior no va en contravía del principio según el cual a nadie la está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permitido fabricar su propia prueba en su favor, pues téngase presente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 disposición adjetiva no otorga valor de plena prueba a la sola afirmación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la parte, sino a la posibilidad de que esta sea valorada bajo los principios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científicos que informan la crítica de la prueba, como lo dispone el canon 61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del CPTSS y, de ser preciso, mediante la confrontación con los otros medios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convicción que se hubieran recaudado en el juicio, siempre y cuando no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se requiera determinada solemnidad ad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substantiam</w:t>
      </w:r>
      <w:proofErr w:type="spellEnd"/>
      <w:r>
        <w:rPr>
          <w:rFonts w:ascii="BookmanOldStyle" w:hAnsi="BookmanOldStyle" w:cs="BookmanOldStyle"/>
          <w:kern w:val="0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actus</w:t>
      </w:r>
      <w:proofErr w:type="spellEnd"/>
      <w:r>
        <w:rPr>
          <w:rFonts w:ascii="BookmanOldStyle" w:hAnsi="BookmanOldStyle" w:cs="BookmanOldStyle"/>
          <w:kern w:val="0"/>
          <w:lang w:val="es-CO"/>
        </w:rPr>
        <w:t>.</w:t>
      </w:r>
    </w:p>
    <w:p w14:paraId="4A5F2E4E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3364304" w14:textId="09B06DFC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Al respecto la homóloga Civil en la sentencia CSJ SC5185-2020, aun cuando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hizo referencia concreta al procedimiento civil, sus consideraciones no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resultan del todo ajenas al proceso del trabajo ajustando lo que sea preciso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 este, al respecto dijo:</w:t>
      </w:r>
    </w:p>
    <w:p w14:paraId="2764FADD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A48C901" w14:textId="77777777" w:rsidR="00113638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[…] la declaración de parte concernida a quien ostenta esa condición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como demandante o demandado, y excepcionalmente en otros casos,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como el de los opositores, como medio probatorio reviste variados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efectos o diferentes utilidades: 1. Obtener la verdad o caminar hacia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 certeza judicial de los hechos acaecidos y objeto de juzgamiento por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 del juez, sean de la demanda o de las excepciones; 2. Fijar los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hechos y pretensiones por cuanto el juez requerirá «(…) a las partes y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 sus apoderados para determinar los hechos en los que están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acuerdo y que fueren susceptibles de confesión (…)» (Art. 372 del C.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G. de P.); 3. «(…) [F]ijar el objeto del litigio, precisando los hechos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considera demostrados y los que requieran ser probados» (art. 372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ejúsdem</w:t>
      </w:r>
      <w:proofErr w:type="spellEnd"/>
      <w:r>
        <w:rPr>
          <w:rFonts w:ascii="BookmanOldStyle" w:hAnsi="BookmanOldStyle" w:cs="BookmanOldStyle"/>
          <w:kern w:val="0"/>
          <w:lang w:val="es-CO"/>
        </w:rPr>
        <w:t xml:space="preserve">). </w:t>
      </w:r>
    </w:p>
    <w:p w14:paraId="2CEC378A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E7B7CF8" w14:textId="7C93C9E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4. Configurar confesión como se explicitó anteriormente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cuando recae sobre hechos que perjudican al propio declarante y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favorecen a la parte contraria, siempre y cuando llenen sus requisitos,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por ejemplo, con relación a hechos donde la ley no exija otro medio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prueba. De tal modo que la importancia de la declaración de parte, no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 halla exclusivamente en la confesión.</w:t>
      </w:r>
    </w:p>
    <w:p w14:paraId="7E514073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687D172" w14:textId="43D4332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 lo que expuesto es válido concluir que, a partir de la entrada en vigencia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del Código General del Proceso, adoptado mediante la Ley 1564 de 2012, las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declaraciones que rindan las partes en el curso del proceso son un medio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prueba válido y deben ser evaluadas por parte de los jueces de instancia aun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cuando no contengan confesión, y en materia laboral, además, debe atender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las reglas previstas en el artículo 61 del CPTSS que garantiza la libre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formación del convencimiento.</w:t>
      </w:r>
    </w:p>
    <w:p w14:paraId="7742FEDD" w14:textId="49B9FD3F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Igualmente, la Sala de Casación Civil de la CSJ, en providencia STC13366-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2021, hizo claridad sobre estos dos medios de prueba y la forma en que se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llega a ellos. Explicó allí:</w:t>
      </w:r>
    </w:p>
    <w:p w14:paraId="34F7904C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A7D03FC" w14:textId="51E02E0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1.1- Las declaraciones de las partes en el proceso: su importancia 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el proceso civil, la declaración de parte y la confesión, como medios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prueba.</w:t>
      </w:r>
    </w:p>
    <w:p w14:paraId="577C4884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761757F9" w14:textId="0363706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Las versiones de las partes son esenciales para los procesos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contenciosos, pues a partir de ellas el sentenciador construye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decisión que finiquita la controversia que lo suscitó. En ocasiones, las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rinden indirectamente, como en la demanda y en la contestación,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cuando actúan por apoderado judicial, y en otras, directamente, en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evento de que sean convocados por el juzgador.</w:t>
      </w:r>
    </w:p>
    <w:p w14:paraId="2EE6A253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3AE74BD" w14:textId="7B04B39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Las segundas tienen particular relevancia, ya que por medio de ellas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el fallador puede conocer de primera mano los hechos que generaron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el conflicto. Nadie más que las partes, como protagonistas del debate,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pueden dar cuenta de las circunstancias de tiempo, modo y lugar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lo suscitaron.</w:t>
      </w:r>
    </w:p>
    <w:p w14:paraId="2A2FA139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C8AF6DA" w14:textId="200B9490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Con razón dijo Cappelletti</w:t>
      </w:r>
      <w:r>
        <w:rPr>
          <w:rFonts w:ascii="BookmanOldStyle" w:hAnsi="BookmanOldStyle" w:cs="BookmanOldStyle"/>
          <w:kern w:val="0"/>
          <w:sz w:val="14"/>
          <w:szCs w:val="14"/>
          <w:lang w:val="es-CO"/>
        </w:rPr>
        <w:t xml:space="preserve">1 </w:t>
      </w:r>
      <w:r>
        <w:rPr>
          <w:rFonts w:ascii="BookmanOldStyle" w:hAnsi="BookmanOldStyle" w:cs="BookmanOldStyle"/>
          <w:kern w:val="0"/>
          <w:lang w:val="es-CO"/>
        </w:rPr>
        <w:t>que «la parte es interrogada justamente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para que informe al juez del exacto desenvolvimiento de los hechos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controvertidos. O sea, se la toma aquí en consideración como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verdadera fuente de prueba, y precisamente como prueba histórica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(directa)».</w:t>
      </w:r>
    </w:p>
    <w:p w14:paraId="06385296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E6AE4A1" w14:textId="5F219984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 ahí la relevancia de la declaración de parte y la confesión como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medios de prueba. La primera, en términos generales, consiste en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relato que la propia parte realiza sobre los hechos materia de litigio,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le favorezca o no, y la segunda, es también una versión de aquella,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pero cualificada, pues debe recaer sobre hechos que la perjudiquen y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cumplir con los requisitos contemplados en el artículo 191 del Código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General del Proceso. De suerte que puede afirmarse que toda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confesión es una declaración de parte, pero no toda declaración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 constituye una confesión. Aunque ambas han ser apreciadas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conforme a las reglas de la sana crítica y en armonía con los demás</w:t>
      </w:r>
    </w:p>
    <w:p w14:paraId="37635A20" w14:textId="5EA4D2E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medios de convicción, la confesión, por los efectos que genera, está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sometida a pautas especiales que han de observarse para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adquiera mérito probatorio.</w:t>
      </w:r>
    </w:p>
    <w:p w14:paraId="5AC35D27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31A74D5" w14:textId="520A0179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Sobre esas diferencias, el artículo 165 del Código General del Proceso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prevé que «son medios de prueba la declaración de parte, la confesión,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el juramento (…), los informes y cualesquiera otros medios que sean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útiles para la formación del convencimiento del juez».</w:t>
      </w:r>
    </w:p>
    <w:p w14:paraId="1A015EE3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9582FD6" w14:textId="3DE570AF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su parte, el canon 191 del mismo estatuto, luego de mencionar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la confesión requiere, entre otros aspectos, que i) “el confesante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tenga capacidad para hacerla y poder dispositivo sobre el derecho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resulte de lo confesado”, y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ii</w:t>
      </w:r>
      <w:proofErr w:type="spellEnd"/>
      <w:r>
        <w:rPr>
          <w:rFonts w:ascii="BookmanOldStyle" w:hAnsi="BookmanOldStyle" w:cs="BookmanOldStyle"/>
          <w:kern w:val="0"/>
          <w:lang w:val="es-CO"/>
        </w:rPr>
        <w:t>) que “verse sobre hechos que produzcan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consecuencias jurídicas adversas al confesante o que favorezcan a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 contraria”, establece que “la simple declaración de parte se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valorará por el juez de acuerdo con las reglas generales de apreciación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las pruebas”.</w:t>
      </w:r>
    </w:p>
    <w:p w14:paraId="54FC7037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44028B2" w14:textId="66D2360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 renglón seguido el artículo 196 dispone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“[l]a confesión deberá aceptarse con las modificaciones,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aclaraciones y explicaciones concernientes al hecho confesado,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excepto cuando exista prueba que las desvirtúe.</w:t>
      </w:r>
    </w:p>
    <w:p w14:paraId="2C9FA3B8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704FB427" w14:textId="764A49B4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Cuando la declaración de parte comprenda hechos distintos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no guarden íntima conexión con el confesado, aquellos se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apreciarán separadamente.</w:t>
      </w:r>
    </w:p>
    <w:p w14:paraId="14EBD502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E463123" w14:textId="5C4EE69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lastRenderedPageBreak/>
        <w:t>Significa, entonces, que las partes pueden rendir su versión sobre los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hechos materia de la controversia, algunas veces se tratará de una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simple declaración y, en otras ocasiones, de una confesión, lo que, 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todo caso, definirá el juez al momento de valorar el relato del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interesado, asignándole el mérito correspondiente.</w:t>
      </w:r>
    </w:p>
    <w:p w14:paraId="214BD281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471E292" w14:textId="03ACA336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1.2.- El interrogatorio de parte: el camino para recaudar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declaración de parte y la confesión.</w:t>
      </w:r>
    </w:p>
    <w:p w14:paraId="4D94B042" w14:textId="4449E28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El interrogatorio de parte es la vía para obtener las declaraciones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los contendientes, comoquiera que a través de ese acto puede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provocarse la declaración de parte o su confesión.</w:t>
      </w:r>
    </w:p>
    <w:p w14:paraId="2C908604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C3AACB1" w14:textId="618453D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En tal sentido, el artículo 198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ibídem</w:t>
      </w:r>
      <w:proofErr w:type="spellEnd"/>
      <w:r>
        <w:rPr>
          <w:rFonts w:ascii="BookmanOldStyle" w:hAnsi="BookmanOldStyle" w:cs="BookmanOldStyle"/>
          <w:kern w:val="0"/>
          <w:lang w:val="es-CO"/>
        </w:rPr>
        <w:t xml:space="preserve"> señala:</w:t>
      </w:r>
    </w:p>
    <w:p w14:paraId="189F29FB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8E835A4" w14:textId="479D183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El juez podrá, de oficio o a solicitud de parte, ordenar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citación de las partes a fin de interrogarlas sobre los hechos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relacionados con el proceso.</w:t>
      </w:r>
    </w:p>
    <w:p w14:paraId="5F5EAECA" w14:textId="6EC59CA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kern w:val="0"/>
          <w:sz w:val="20"/>
          <w:szCs w:val="20"/>
          <w:lang w:val="es-CO"/>
        </w:rPr>
      </w:pPr>
    </w:p>
    <w:p w14:paraId="7E258F56" w14:textId="26BE6B26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Las personas naturales capaces deberán absolver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personalmente el interrogatorio.</w:t>
      </w:r>
    </w:p>
    <w:p w14:paraId="4DEB0256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8882931" w14:textId="1284A77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Cuando una persona jurídica tenga varios representantes 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mandatarios generales cualquiera de ellos deberá concurrir 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absolver el interrogatorio, sin que pueda invocar limitaciones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tiempo, cuantía o materia o manifestar que no le constan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los hechos, que no esté facultado para obrar separadamente 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no está dentro de sus competencias, funciones 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atribuciones. Para estos efectos es responsabilidad del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representante informarse suficientemente.</w:t>
      </w:r>
    </w:p>
    <w:p w14:paraId="173F2397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AA1099A" w14:textId="061964D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(…).</w:t>
      </w:r>
    </w:p>
    <w:p w14:paraId="32CD2B27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74E22FC1" w14:textId="5437DDB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Debido a que la finalidad del interrogatorio es provocar la declaración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las partes, y la relevancia que esta tiene en el proceso, la ley impone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al convocado el deber de rendirlo cuando es citado a la audiencia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respectiva, y establece consecuencias por su inasistencia. Por ese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camino, el inciso tercero del artículo 203 </w:t>
      </w:r>
      <w:proofErr w:type="spellStart"/>
      <w:r>
        <w:rPr>
          <w:rFonts w:ascii="BookmanOldStyle" w:hAnsi="BookmanOldStyle" w:cs="BookmanOldStyle"/>
          <w:kern w:val="0"/>
          <w:lang w:val="es-CO"/>
        </w:rPr>
        <w:t>ejusdem</w:t>
      </w:r>
      <w:proofErr w:type="spellEnd"/>
      <w:r>
        <w:rPr>
          <w:rFonts w:ascii="BookmanOldStyle" w:hAnsi="BookmanOldStyle" w:cs="BookmanOldStyle"/>
          <w:kern w:val="0"/>
          <w:lang w:val="es-CO"/>
        </w:rPr>
        <w:t xml:space="preserve"> dispone que “[e]l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interrogado deberá concurrir personalmente a la audiencia,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debidamente informado sobre los hechos materia del proceso”. Y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artículo 205 prevé:</w:t>
      </w:r>
    </w:p>
    <w:p w14:paraId="50A163CF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68D1E3E" w14:textId="2242FD04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La inasistencia del citado a la audiencia, la renuencia 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responder y las respuestas evasivas, harán presumir ciertos los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hechos susceptibles de prueba de confesión sobre los cuales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versen las preguntas asertivas admisibles contenidas en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interrogatorio escrito.</w:t>
      </w:r>
    </w:p>
    <w:p w14:paraId="24BB3233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6DA627C" w14:textId="5FAB1B8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La misma presunción se deducirá, respecto de los hechos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susceptibles de prueba de confesión contenidos en la demanda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y en las excepciones de mérito o en sus contestaciones, cuando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no habiendo interrogatorio escrito el citado no comparezca, 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cuando el interrogado se niegue a responder sobre hechos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deba conocer como parte o como representante legal de una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las partes.</w:t>
      </w:r>
    </w:p>
    <w:p w14:paraId="4FE303EC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B63DFB9" w14:textId="2E420E6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Si las preguntas no fueren asertivas o el hecho no admitiere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prueba de confesión, la inasistencia, la respuesta evasiva o la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negativa a responder se apreciarán como indicio grave 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contra de la parte citada.</w:t>
      </w:r>
    </w:p>
    <w:p w14:paraId="3658CBA4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2EF531E" w14:textId="00FC9629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Así pues, las partes tienen el deber comparecer ante el juez cuando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son citados a rendir interrogatorio. De no hacerlo, quedan sometidos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 las consecuencias previstas en el estatuto procesal civil.</w:t>
      </w:r>
    </w:p>
    <w:p w14:paraId="69387EFE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2546BCE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(subrayado con el original).</w:t>
      </w:r>
    </w:p>
    <w:p w14:paraId="6195C438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37E689E" w14:textId="0602A01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 anterior, quedó corroborado en la providencia STC9197-2022, al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describir la necesidad de que se practique este medio de prueba y analizarlo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contexto, a efectos de su utilidad, lo cual se determina luego del proceso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valoración, y no antes; de ahí, que la alta Corporación hubiera explicado</w:t>
      </w:r>
      <w:r w:rsidR="00113638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que:</w:t>
      </w:r>
    </w:p>
    <w:p w14:paraId="097796A4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713432DC" w14:textId="2BCA55DF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Lo anterior, porque el régimen probatorio en el proceso civil colombiano está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fundado en el postulado de la apreciación razonada de la prueba o sana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crítica, en el cual es el juez quien pondera la evidencia y, después de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sopesarla acorde con las reglas de la experiencia, la lógica y la sana crítica,</w:t>
      </w:r>
    </w:p>
    <w:p w14:paraId="36537088" w14:textId="35FDF808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extrae las conclusiones que de ese laborío emerjan, contrario a lo que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acontece en el sistema de la valoración legal o de prueba tasada donde es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legislador quien, por anticipado, establece la forma como el operador judicial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debe apreciar cada medio, de modo tal que este solo debe hacer una</w:t>
      </w:r>
    </w:p>
    <w:p w14:paraId="3A10EBFF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valoración cuantitativa a efectos de confirmar o desvirtuar su mérito.</w:t>
      </w:r>
    </w:p>
    <w:p w14:paraId="6E3B8B35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01A14C37" w14:textId="31EBEB3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Luego, en desarrollo de esa misión reconstructiva y de formación del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convencimiento en el que nuestro sistema procesal actual se basa, el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funcionario puede apreciar sin ataduras, y acorde con unas pautas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genéricas que le sirven de faro y, por tanto, de criterio orientador, las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manifestaciones hechas por cada extremo a fin de cotejarlas con las pruebas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recaudadas y así adquirir la convicción necesaria para construir el silogismo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judicial.</w:t>
      </w:r>
    </w:p>
    <w:p w14:paraId="43079F76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3F587C4" w14:textId="7D58642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</w:t>
      </w:r>
    </w:p>
    <w:p w14:paraId="5E97BE64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04F6C6D" w14:textId="39FB691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Aunque es difícil negar que la parte tiene interés en las resultas del juicio y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que, por ende, su relato siempre estará enfocado a ofrecer la mejor imagen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sí misma, siendo esa natural vanidad la que ha hecho desconfiar de su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dicho, ese recelo parece excesivo, ya que la intención en mostrar la mejor</w:t>
      </w:r>
    </w:p>
    <w:p w14:paraId="507E5F4F" w14:textId="3EE1F0A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imagen de sí misma no es motivo para que se le tache de embustera ni para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se le crea ciegamente cuando diga algo que le perjudica, dado que su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versión puede tener como fin el descubrimiento y, por ende, al ser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reveladora, debe ser apreciada en su verdadero contexto, solo </w:t>
      </w:r>
      <w:proofErr w:type="gramStart"/>
      <w:r>
        <w:rPr>
          <w:rFonts w:ascii="BookmanOldStyle" w:hAnsi="BookmanOldStyle" w:cs="BookmanOldStyle"/>
          <w:kern w:val="0"/>
          <w:lang w:val="es-CO"/>
        </w:rPr>
        <w:t>que</w:t>
      </w:r>
      <w:proofErr w:type="gramEnd"/>
      <w:r>
        <w:rPr>
          <w:rFonts w:ascii="BookmanOldStyle" w:hAnsi="BookmanOldStyle" w:cs="BookmanOldStyle"/>
          <w:kern w:val="0"/>
          <w:lang w:val="es-CO"/>
        </w:rPr>
        <w:t xml:space="preserve"> con cierto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esmero y cautela, que pasan a ser máximas de la experiencia y suponen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auscultar otros parámetros en aras de valorar objetivamente su credibilidad.</w:t>
      </w:r>
    </w:p>
    <w:p w14:paraId="27C2483D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B1B31BE" w14:textId="7E6FF2CB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</w:t>
      </w:r>
    </w:p>
    <w:p w14:paraId="11D5BDAE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A749761" w14:textId="0CC6552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 ese modo, si el relato resulta coherente, contextualizado</w:t>
      </w:r>
      <w:r>
        <w:rPr>
          <w:rFonts w:ascii="BookmanOldStyle" w:hAnsi="BookmanOldStyle" w:cs="BookmanOldStyle"/>
          <w:kern w:val="0"/>
          <w:sz w:val="14"/>
          <w:szCs w:val="14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y existen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corroboraciones periféricas</w:t>
      </w:r>
      <w:r>
        <w:rPr>
          <w:rFonts w:ascii="BookmanOldStyle" w:hAnsi="BookmanOldStyle" w:cs="BookmanOldStyle"/>
          <w:kern w:val="0"/>
          <w:sz w:val="14"/>
          <w:szCs w:val="14"/>
          <w:lang w:val="es-CO"/>
        </w:rPr>
        <w:t>3</w:t>
      </w:r>
      <w:r>
        <w:rPr>
          <w:rFonts w:ascii="BookmanOldStyle" w:hAnsi="BookmanOldStyle" w:cs="BookmanOldStyle"/>
          <w:kern w:val="0"/>
          <w:lang w:val="es-CO"/>
        </w:rPr>
        <w:t>, como por ejemplo documentos u otros medios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juicio que lo sustenten, es digno de credibilidad y, por tanto, debe ser</w:t>
      </w:r>
      <w:r w:rsidR="0011363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apreciado en comunión con ellos a fin de esclarecer los hechos que importan</w:t>
      </w:r>
    </w:p>
    <w:p w14:paraId="25E03EE7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para la definición de la litis.</w:t>
      </w:r>
    </w:p>
    <w:p w14:paraId="21DE253D" w14:textId="77777777" w:rsidR="00113638" w:rsidRDefault="00113638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05E05AC4" w14:textId="77777777" w:rsidR="007B2E19" w:rsidRDefault="007B2E19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3"/>
          <w:szCs w:val="13"/>
          <w:lang w:val="es-CO"/>
        </w:rPr>
      </w:pPr>
    </w:p>
    <w:p w14:paraId="1E85EF72" w14:textId="77777777" w:rsidR="007B2E19" w:rsidRDefault="007B2E19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3"/>
          <w:szCs w:val="13"/>
          <w:lang w:val="es-CO"/>
        </w:rPr>
      </w:pPr>
    </w:p>
    <w:p w14:paraId="26A1048A" w14:textId="77777777" w:rsidR="00E41FB3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Queda claro, entonces, que la versión de la parte sí tiene relevancia en el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proceso civil no solo en lo que la perjudique, sino también en cuanto le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favorezca o en tanto le resulte neutra a sus intereses. </w:t>
      </w:r>
    </w:p>
    <w:p w14:paraId="1F9F5E95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82284A8" w14:textId="02EDE84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Es tan relevante,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pertinente y necesaria la declaración de la parte en el proceso jurisdiccional,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que el Código General del Proceso, expedido en coherencia con los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postulados y principios que sirven de faro al Estado Constitucional y Social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Derecho, democrático, participativo y pluralista implementado en la Carta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Política de 1991, la positivizó, y lo hizo cuando autorizó a cada litigante </w:t>
      </w:r>
      <w:r>
        <w:rPr>
          <w:rFonts w:ascii="BookmanOldStyle" w:hAnsi="BookmanOldStyle" w:cs="BookmanOldStyle"/>
          <w:kern w:val="0"/>
          <w:lang w:val="es-CO"/>
        </w:rPr>
        <w:lastRenderedPageBreak/>
        <w:t>para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brindar al proceso su versión de los hechos y previno al juez para que la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valore en comunión con las demás pruebas.</w:t>
      </w:r>
    </w:p>
    <w:p w14:paraId="566B6FD5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F4803C9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</w:t>
      </w:r>
    </w:p>
    <w:p w14:paraId="1AAD7BFC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6725E8F" w14:textId="75E1041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consiguiente, en el caso objeto de control constitucional el fallador debió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apreciar libremente la exposición factual de los demandados y valorarla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acorde con las pautas trazadas en el estatuto procesal, a fin de cotejar su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contenido con los demás elementos de prueba obrantes en el infolio y</w:t>
      </w:r>
    </w:p>
    <w:p w14:paraId="062B739B" w14:textId="4C61B00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extraer, de ese escrutinio, el mayor convencimiento posible y útil para zanjar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 pendencia. Como no lo hizo, incurrió en un defecto fáctico que habrá que</w:t>
      </w:r>
      <w:r w:rsidR="00E41FB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remediar.</w:t>
      </w:r>
    </w:p>
    <w:p w14:paraId="5D7DCC09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20A5468" w14:textId="2642A1A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las cosas, como lo refirió la alta Corporación de lo laboral, remitiéndose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criterio de su homóloga civil, la importancia de la declaración de parte no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halla exclusivamente en la confesión, puede llegarse a ella, pero, también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puede servir a un mayor esclarecimiento de los hechos, o sencillamente,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luego de su evaluación, puede que no haya alcanzado mayor propósito que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 que ya se encuentra en el expediente.</w:t>
      </w:r>
    </w:p>
    <w:p w14:paraId="597C6854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CB47C19" w14:textId="0689CE5E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consiguiente, cualquiera de las partes puede solicitar que se le escuche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viva voz en la respectiva audiencia, pero, al igual que cualquier medio de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prueba, está sometido al principio de contradicción; de tal suerte que, su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contraparte puede interrogarlo tanto sobre lo que afirma como sobre lo que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calla, y si de esa actuación logra la confesión, el juzgador podrá hacer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separación entre la simple declaración y las consecuencias adversas, 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efectos de decidir el litigio con fundamento en el artículo 61 del CPT y de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SS, es decir, con el que mayor certeza le genera sobre los hechos que sirven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fundamento a las pretensiones de la demanda o de las excepciones.</w:t>
      </w:r>
    </w:p>
    <w:p w14:paraId="7CFEE5D0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A1499EF" w14:textId="073F9494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 más, esta declaración también está sometida a las reglas de elaboración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la prueba, de manera que tampoco se trata de que la parte que ha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solicitado que se le escuche, utilice ese instrumento para alejarse del tema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litigio, o que se dedique a repetir lo expuesto en la demanda o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contestación, según corresponda, dejando de aportar algo útil y relevante en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definición del conflicto; de ahí, que el juzgador esté habilitado para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controlar la exposición que la parte haga, para que se adecue a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conducencia, pertinencia y utilidad de la prueba (artículo 168 del CGP), y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se convierta en una narración sin fin o con el único propósito de dilatar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actuación.</w:t>
      </w:r>
    </w:p>
    <w:p w14:paraId="339E92F1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3501BB8" w14:textId="7E8EF0F5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lo tanto, se abandona la idea de que, con la declaración de parte, quien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 solicita pre constituya su propia prueba, pues no se trata de que el juez,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manera simple y aislada, adopte la declaración como elemento de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convicción suficiente para decidir, sino que, al estar sometido a los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principios que rigen su práctica (publicidad, contradicción y libre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apreciación), luego de un cotejo periférico con el resto de elementos de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convicción, pueda extraer el mayor convencimiento posible y desechar lo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poco o nada que le aporta.</w:t>
      </w:r>
    </w:p>
    <w:p w14:paraId="5422DDB4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3941968" w14:textId="142F0C33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Dicho lo anterior, la Sala deberá revocar la providencia impugnada, porque,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pese a que la juzgadora de primera instancia decretó el interrogatorio 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instancia de la parte actora contra el extremo pasivo, eso no implica que se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pueda desconocer el derecho de esta última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de acudir al estrado judicial,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exponer su versión sobre los hechos de manera activa y dinámica, en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donde, tanto la operadora judicial como la contraparte podrán interrogarlo</w:t>
      </w:r>
    </w:p>
    <w:p w14:paraId="7940BAAB" w14:textId="28F34DE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ampliamente, bien para lograr la confesión que no logró o reforzar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alcanzada por aquella, ora para el esclarecimiento de los hechos que la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funcionaria considere conveniente.</w:t>
      </w:r>
    </w:p>
    <w:p w14:paraId="0C5D3B36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3463326" w14:textId="7C8B7039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se impondrán costas en la alzada.</w:t>
      </w:r>
    </w:p>
    <w:p w14:paraId="617FBD3B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312A394" w14:textId="5F881500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virtud de lo expuesto, el Tribunal Superior del Distrito Judicial de Bogotá,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D.C., Sala Segunda de Decisión de la Sala Laboral,</w:t>
      </w:r>
      <w:r w:rsidR="00E41F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7F13517C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D1A5562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 E S U E L V E</w:t>
      </w:r>
    </w:p>
    <w:p w14:paraId="1CD9232F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LucidaBright,Italic" w:hAnsi="LucidaBright,Italic" w:cs="LucidaBright,Italic"/>
          <w:i/>
          <w:iCs/>
          <w:kern w:val="0"/>
          <w:sz w:val="20"/>
          <w:szCs w:val="20"/>
          <w:lang w:val="es-CO"/>
        </w:rPr>
      </w:pPr>
    </w:p>
    <w:p w14:paraId="564A6AAA" w14:textId="11F2FF6E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kern w:val="0"/>
          <w:sz w:val="20"/>
          <w:szCs w:val="20"/>
          <w:lang w:val="es-CO"/>
        </w:rPr>
      </w:pPr>
    </w:p>
    <w:p w14:paraId="496F2435" w14:textId="1C5FEC5C" w:rsidR="007D01D7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proofErr w:type="gramStart"/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P</w:t>
      </w:r>
      <w:r w:rsidR="007D01D7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RIMERO.-</w:t>
      </w:r>
      <w:proofErr w:type="gramEnd"/>
      <w:r w:rsidR="007D01D7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 REVOCAR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>el auto apelado de fecha 21 de junio de 2023, proferido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>por el Juzgado Cuarenta y Dos Laboral del Circuito de Bogotá, que negó el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>decreto de la prueba de declaración de parte solicitado por la demandada,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para que, en su lugar, la </w:t>
      </w:r>
      <w:r w:rsidR="007D01D7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a quo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>proceda a su decreto y práctica, de conformidad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 w:rsidR="007D01D7">
        <w:rPr>
          <w:rFonts w:ascii="BookmanOldStyle" w:hAnsi="BookmanOldStyle" w:cs="BookmanOldStyle"/>
          <w:kern w:val="0"/>
          <w:sz w:val="24"/>
          <w:szCs w:val="24"/>
          <w:lang w:val="es-CO"/>
        </w:rPr>
        <w:t>con lo razonado en la parte motiva.</w:t>
      </w:r>
    </w:p>
    <w:p w14:paraId="0EBA019E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7CCE7A2" w14:textId="26FB38AD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proofErr w:type="gramStart"/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SEGUNDO.-</w:t>
      </w:r>
      <w:proofErr w:type="gramEnd"/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Sin costas en esta instancia.</w:t>
      </w:r>
    </w:p>
    <w:p w14:paraId="0136177D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ADF1EA6" w14:textId="10DCC9CA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Notifíquese legalmente.</w:t>
      </w:r>
    </w:p>
    <w:p w14:paraId="2AD9C138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</w:p>
    <w:p w14:paraId="7CA79640" w14:textId="132FC65E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  <w:t>LUZ MARINA IBAÑEZ HERNANDEZ</w:t>
      </w:r>
    </w:p>
    <w:p w14:paraId="443C0E2F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Magistrada</w:t>
      </w:r>
    </w:p>
    <w:p w14:paraId="7CA507A6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</w:p>
    <w:p w14:paraId="4EF90182" w14:textId="7ED641BE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  <w:t>MARCELIANO CHÁVEZ ÁVILA</w:t>
      </w:r>
    </w:p>
    <w:p w14:paraId="41BBA94D" w14:textId="77777777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Magistrado</w:t>
      </w:r>
    </w:p>
    <w:p w14:paraId="03A6AE90" w14:textId="77777777" w:rsidR="00E41FB3" w:rsidRDefault="00E41FB3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</w:p>
    <w:p w14:paraId="575AB6FA" w14:textId="62236A02" w:rsidR="007D01D7" w:rsidRDefault="007D01D7" w:rsidP="00FC04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0"/>
          <w:szCs w:val="20"/>
          <w:lang w:val="es-CO"/>
        </w:rPr>
        <w:t>CLAUDIA ANGÉLICA MARTÍNEZ CASTILLO</w:t>
      </w:r>
    </w:p>
    <w:p w14:paraId="17B52835" w14:textId="4E2A8403" w:rsidR="00B9243D" w:rsidRDefault="007D01D7" w:rsidP="00FC048D">
      <w:pPr>
        <w:jc w:val="both"/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Br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D7"/>
    <w:rsid w:val="00113638"/>
    <w:rsid w:val="0020790A"/>
    <w:rsid w:val="00737460"/>
    <w:rsid w:val="007B2E19"/>
    <w:rsid w:val="007D01D7"/>
    <w:rsid w:val="00990C7C"/>
    <w:rsid w:val="009D616A"/>
    <w:rsid w:val="00B5662D"/>
    <w:rsid w:val="00B9243D"/>
    <w:rsid w:val="00DA03DC"/>
    <w:rsid w:val="00E41FB3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AF65"/>
  <w15:chartTrackingRefBased/>
  <w15:docId w15:val="{7942D608-E4F3-4C03-8F97-1AF6D09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3732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8</cp:revision>
  <dcterms:created xsi:type="dcterms:W3CDTF">2023-11-02T21:07:00Z</dcterms:created>
  <dcterms:modified xsi:type="dcterms:W3CDTF">2023-11-02T21:31:00Z</dcterms:modified>
</cp:coreProperties>
</file>