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9EF2D" w14:textId="77777777" w:rsidR="00ED4EBA" w:rsidRDefault="00ED4EBA" w:rsidP="005047FB">
      <w:pPr>
        <w:autoSpaceDE w:val="0"/>
        <w:autoSpaceDN w:val="0"/>
        <w:adjustRightInd w:val="0"/>
        <w:spacing w:after="0" w:line="240" w:lineRule="auto"/>
        <w:jc w:val="right"/>
        <w:rPr>
          <w:rFonts w:ascii="BookmanOldStyle" w:hAnsi="BookmanOldStyle" w:cs="BookmanOldStyle"/>
          <w:color w:val="000000"/>
          <w:kern w:val="0"/>
          <w:sz w:val="16"/>
          <w:szCs w:val="16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16"/>
          <w:szCs w:val="16"/>
          <w:lang w:val="es-CO"/>
        </w:rPr>
        <w:t>MARÍA CAMILA BERNAL SALGADO contra COLPENSIONES y otros.</w:t>
      </w:r>
    </w:p>
    <w:p w14:paraId="1B895DED" w14:textId="77777777" w:rsidR="00ED4EBA" w:rsidRDefault="00ED4EBA" w:rsidP="005047FB">
      <w:pPr>
        <w:autoSpaceDE w:val="0"/>
        <w:autoSpaceDN w:val="0"/>
        <w:adjustRightInd w:val="0"/>
        <w:spacing w:after="0" w:line="240" w:lineRule="auto"/>
        <w:jc w:val="right"/>
        <w:rPr>
          <w:rFonts w:ascii="BookmanOldStyle" w:hAnsi="BookmanOldStyle" w:cs="BookmanOldStyle"/>
          <w:color w:val="000000"/>
          <w:kern w:val="0"/>
          <w:sz w:val="16"/>
          <w:szCs w:val="16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16"/>
          <w:szCs w:val="16"/>
          <w:lang w:val="es-CO"/>
        </w:rPr>
        <w:t>Radicación No. 46-2023-00116-01.</w:t>
      </w:r>
    </w:p>
    <w:p w14:paraId="7FE518FF" w14:textId="2A1B4AE7" w:rsidR="00ED4EBA" w:rsidRDefault="00ED4EBA" w:rsidP="00ED4EB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kern w:val="0"/>
          <w:sz w:val="24"/>
          <w:szCs w:val="24"/>
          <w:lang w:val="es-CO"/>
        </w:rPr>
      </w:pPr>
    </w:p>
    <w:p w14:paraId="28BC7841" w14:textId="77777777" w:rsidR="005B13CB" w:rsidRDefault="005B13CB" w:rsidP="00ED4EB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kern w:val="0"/>
          <w:sz w:val="24"/>
          <w:szCs w:val="24"/>
          <w:lang w:val="es-CO"/>
        </w:rPr>
      </w:pPr>
    </w:p>
    <w:p w14:paraId="726F67EB" w14:textId="1748E2F8" w:rsidR="005B13CB" w:rsidRDefault="005B13CB" w:rsidP="005B13CB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kern w:val="0"/>
          <w:sz w:val="24"/>
          <w:szCs w:val="24"/>
          <w:lang w:val="es-CO"/>
        </w:rPr>
      </w:pPr>
      <w:r w:rsidRPr="005B13CB">
        <w:rPr>
          <w:rFonts w:ascii="Times-Bold" w:hAnsi="Times-Bold" w:cs="Times-Bold"/>
          <w:b/>
          <w:bCs/>
          <w:noProof/>
          <w:color w:val="000000"/>
          <w:kern w:val="0"/>
          <w:sz w:val="24"/>
          <w:szCs w:val="24"/>
          <w:lang w:val="es-CO"/>
        </w:rPr>
        <w:drawing>
          <wp:inline distT="0" distB="0" distL="0" distR="0" wp14:anchorId="4C2A5867" wp14:editId="5C327895">
            <wp:extent cx="2428875" cy="2847975"/>
            <wp:effectExtent l="0" t="0" r="9525" b="9525"/>
            <wp:docPr id="10196242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88F22" w14:textId="77777777" w:rsidR="005047FB" w:rsidRDefault="005047FB" w:rsidP="00076A89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kern w:val="0"/>
          <w:sz w:val="24"/>
          <w:szCs w:val="24"/>
          <w:lang w:val="es-CO"/>
        </w:rPr>
      </w:pPr>
    </w:p>
    <w:p w14:paraId="12FCEEEB" w14:textId="77777777" w:rsidR="00ED4EBA" w:rsidRDefault="00ED4EBA" w:rsidP="00076A89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>HUGO ALEXANDER RÍOS GARAY</w:t>
      </w:r>
    </w:p>
    <w:p w14:paraId="0C665FA7" w14:textId="77777777" w:rsidR="00ED4EBA" w:rsidRDefault="00ED4EBA" w:rsidP="00076A89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>Magistrado Ponente</w:t>
      </w:r>
    </w:p>
    <w:p w14:paraId="4E703893" w14:textId="77777777" w:rsidR="00ED4EBA" w:rsidRDefault="00ED4EBA" w:rsidP="00076A89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 xml:space="preserve">Radicado </w:t>
      </w:r>
      <w:proofErr w:type="spellStart"/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>N°</w:t>
      </w:r>
      <w:proofErr w:type="spellEnd"/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 xml:space="preserve"> 46-2023-00116-01</w:t>
      </w:r>
    </w:p>
    <w:p w14:paraId="1D0418FC" w14:textId="77777777" w:rsidR="00076A89" w:rsidRDefault="00076A89" w:rsidP="00076A89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42372E01" w14:textId="5644808A" w:rsidR="00ED4EBA" w:rsidRDefault="00ED4EBA" w:rsidP="00076A89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Bogotá D.C., treinta y uno (31) de octubre de dos mil veintitrés (2023).</w:t>
      </w:r>
    </w:p>
    <w:p w14:paraId="2AF049FF" w14:textId="77777777" w:rsidR="005047FB" w:rsidRDefault="005047FB" w:rsidP="00ED4EBA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21448167" w14:textId="77777777" w:rsidR="005047FB" w:rsidRDefault="005047FB" w:rsidP="00ED4EBA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3018898F" w14:textId="77777777" w:rsidR="00076A89" w:rsidRDefault="00076A89" w:rsidP="00ED4EBA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507DBEF2" w14:textId="6DB798FC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 conformidad con lo dispuesto en el artículo 13 de la Ley 2213 de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2022, procede la Sala Quinta de Decisión a resolver el recurso de apelación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presentado y sustentado por la apoderada de la demandada </w:t>
      </w: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>COLFONDOS</w:t>
      </w:r>
      <w:r w:rsidR="00DD7B74"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 xml:space="preserve">S.A. PENSIONES Y CESANTÍAS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contra el auto proferido por el Juzgado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Cuarenta y Seis (46) Laboral del Circuito de Bogotá D.C., el pasado del 04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 agosto de 2023, por el cual se tuvo por no contestada la demanda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respecto de esa accionada (archivo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“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>12AutoResuelveContestLamamcambiado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”).</w:t>
      </w:r>
    </w:p>
    <w:p w14:paraId="1CD1132C" w14:textId="77777777" w:rsidR="00DD7B74" w:rsidRDefault="00DD7B74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</w:p>
    <w:p w14:paraId="03132003" w14:textId="3774F468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>I. ANTECEDENTES</w:t>
      </w:r>
    </w:p>
    <w:p w14:paraId="7A73DC5E" w14:textId="77777777" w:rsidR="00DD7B74" w:rsidRDefault="00DD7B74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SymbolMT" w:hAnsi="SymbolMT" w:cs="SymbolMT"/>
          <w:color w:val="000000"/>
          <w:kern w:val="0"/>
          <w:sz w:val="24"/>
          <w:szCs w:val="24"/>
          <w:lang w:val="es-CO"/>
        </w:rPr>
      </w:pPr>
    </w:p>
    <w:p w14:paraId="0FBFBB41" w14:textId="1BD94D36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SymbolMT" w:hAnsi="SymbolMT" w:cs="SymbolMT"/>
          <w:color w:val="000000"/>
          <w:kern w:val="0"/>
          <w:sz w:val="24"/>
          <w:szCs w:val="24"/>
          <w:lang w:val="es-CO"/>
        </w:rPr>
        <w:t xml:space="preserve">• </w:t>
      </w: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>SOBRE EL AUTO RECURRIDO.</w:t>
      </w:r>
    </w:p>
    <w:p w14:paraId="49854071" w14:textId="77777777" w:rsidR="00DD7B74" w:rsidRDefault="00DD7B74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</w:p>
    <w:p w14:paraId="7EFF8E1C" w14:textId="04718F60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 xml:space="preserve">MARÍA CAMILA BERNAL SALGADO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demandó a la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>ADMINISTRADORA COLOMBIANA DE PENSIONES – COLPENSIONES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,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 xml:space="preserve">SKANDIA PENSIONES Y CESANTÍAS S.A.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y </w:t>
      </w: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>COLFONDOS S.A.</w:t>
      </w:r>
    </w:p>
    <w:p w14:paraId="4963B64C" w14:textId="6AD0C54F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 xml:space="preserve">PENSIONES Y CESANTÍAS,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con el fin de obtener la ineficacia el traslado al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RAIS, devolver el saldo de su CAI, reactivar su afiliación en el RPM,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c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ondenas ultra y extra </w:t>
      </w:r>
      <w:proofErr w:type="spellStart"/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>petita</w:t>
      </w:r>
      <w:proofErr w:type="spellEnd"/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, costas y agencias en derecho. (archivo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“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>02Demanda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”).</w:t>
      </w:r>
    </w:p>
    <w:p w14:paraId="1942EBEE" w14:textId="196008AD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lastRenderedPageBreak/>
        <w:t>Por auto del 19 de mayo de 2023, se admitió la demanda,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disponiéndose la notificación personal a las demandadas conforme lo prevé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el artículo 291 CGP y autorizando a la demandante a efectuar el envío del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contenido de dicho proveído como mensaje de datos, de conformidad con las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modificaciones introducidas por el artículo 8 de le Ley 2213 de 2012 y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previniéndose a las entidades demandadas para que alleguen la totalidad de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las pruebas que se encuentren en su poder y para que procedan a remitir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su contestación al correo institucional del Juzgado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FF"/>
          <w:kern w:val="0"/>
          <w:sz w:val="24"/>
          <w:szCs w:val="24"/>
          <w:lang w:val="es-CO"/>
        </w:rPr>
        <w:t xml:space="preserve">j46ctolbta@cendoj.ramajudicial.gov.co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(archivo “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>06AutoAdmite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”).</w:t>
      </w:r>
    </w:p>
    <w:p w14:paraId="7D71F25B" w14:textId="77777777" w:rsidR="00DD7B74" w:rsidRDefault="00DD7B74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51C360DF" w14:textId="560F47E9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Acto seguido, la apoderada de la demandante allegó correo electrónico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 fecha 05 de junio de 2023, adjuntando entre otras, mensaje de datos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remitido el 29 de mayo de 2023 al buzón</w:t>
      </w:r>
    </w:p>
    <w:p w14:paraId="5919EC56" w14:textId="1B57EF35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FF"/>
          <w:kern w:val="0"/>
          <w:sz w:val="24"/>
          <w:szCs w:val="24"/>
          <w:lang w:val="es-CO"/>
        </w:rPr>
        <w:t>ProcesosJudiciales@colfondos.com.co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, respuesta automática y constancia de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radicación de solicitud, relacionado con el trámite de notificación efectuado a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la demandada </w:t>
      </w: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 xml:space="preserve">COLFONDOS S.A.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(Pág. 3 a 7 archivo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>“09ConstanciaNotificacion”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).</w:t>
      </w:r>
    </w:p>
    <w:p w14:paraId="391614BB" w14:textId="77777777" w:rsidR="00DD7B74" w:rsidRDefault="00DD7B74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3B6585DD" w14:textId="50F44673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A través de Auto del 04 de agosto de 2023, en lo pertinente, el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>a quo</w:t>
      </w:r>
      <w:r w:rsidR="00DD7B74"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tuvo por no contestada la demanda por parte de </w:t>
      </w: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>COLFONDOS S.A.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, por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haber dejado vencer en silencio el término de traslado (archivo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“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>12AutoResuelveContestLamamcambiado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”); decisión confirmada por el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>a</w:t>
      </w:r>
      <w:r w:rsidR="00DD7B74"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 xml:space="preserve">quo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en proveído del 25 de agosto de 2023, por lo que se concedió la apelación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(archivo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>“15AutoResuelveRecursos”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).</w:t>
      </w:r>
    </w:p>
    <w:p w14:paraId="0C5E84F2" w14:textId="77777777" w:rsidR="00DD7B74" w:rsidRDefault="00DD7B74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40CD51BE" w14:textId="77777777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SymbolMT" w:hAnsi="SymbolMT" w:cs="SymbolMT"/>
          <w:color w:val="000000"/>
          <w:kern w:val="0"/>
          <w:sz w:val="24"/>
          <w:szCs w:val="24"/>
          <w:lang w:val="es-CO"/>
        </w:rPr>
        <w:t xml:space="preserve">• </w:t>
      </w: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>RECURSO DE APELACIÓN.</w:t>
      </w:r>
    </w:p>
    <w:p w14:paraId="3C30365E" w14:textId="77777777" w:rsidR="00DD7B74" w:rsidRDefault="00DD7B74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0B83F6AB" w14:textId="0A70A1BD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La apoderada de </w:t>
      </w: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 xml:space="preserve">COLFONDOS S.A.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solicitó revocar el auto proferido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el 04 de agosto de 2023, y en su lugar tener por contestada la demanda y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admitir los llamamientos en garantía solicitados. Como fundamento de la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alzada, la profesional del derecho esencialmente indicó, que la entidad fue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notificada en debida forma el 29 de mayo de 2023, mediante el aplicativo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dispuesto para tal fin, la cual se realizó bajo los lineamientos de la ley 2213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 2022, por lo que el termino para contestar la demanda de 10 días hábiles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lo fue entre el 01 al 15 de junio de 2023, habiendo contestado la demanda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al correo electrónico del Juzgado el 13 de junio de 2023, esto es, dentro del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término procesal pertinente (archivo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>“13RecursRepos”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).</w:t>
      </w:r>
    </w:p>
    <w:p w14:paraId="0A450F14" w14:textId="77777777" w:rsidR="00DD7B74" w:rsidRDefault="00DD7B74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609AB2DF" w14:textId="77777777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>II. ALEGACIONES DE SEGUNDA INSTANCIA.</w:t>
      </w:r>
    </w:p>
    <w:p w14:paraId="00640968" w14:textId="77777777" w:rsidR="00DD7B74" w:rsidRDefault="00DD7B74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38AE176E" w14:textId="098B32D3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Venció en silencio el término de traslado del artículo 13 de la Ley 2213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 2022.</w:t>
      </w:r>
    </w:p>
    <w:p w14:paraId="1D09E906" w14:textId="77777777" w:rsidR="00DD7B74" w:rsidRDefault="00DD7B74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</w:p>
    <w:p w14:paraId="09C5AA49" w14:textId="3C297212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>III. SANEAMIENTO DEL PROCESO</w:t>
      </w:r>
    </w:p>
    <w:p w14:paraId="6C6518FD" w14:textId="77777777" w:rsidR="00DD7B74" w:rsidRDefault="00DD7B74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2F31961D" w14:textId="6A69F237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Verificados los presupuestos procesales y la ausencia de causales de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nulidad para declarar, la Sala conforme lo dispone el artículo 65 CPTSS,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procede a estudiar los aspectos planteados en el recurso de apelación.</w:t>
      </w:r>
    </w:p>
    <w:p w14:paraId="2F8C997E" w14:textId="77777777" w:rsidR="00DD7B74" w:rsidRDefault="00DD7B74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</w:p>
    <w:p w14:paraId="1C58AFB4" w14:textId="7D7C95D2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>IV. PROBLEMA JURÍDICO</w:t>
      </w:r>
    </w:p>
    <w:p w14:paraId="738FF6AC" w14:textId="77777777" w:rsidR="00DD7B74" w:rsidRDefault="00DD7B74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740B5AC0" w14:textId="3E219FF2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lastRenderedPageBreak/>
        <w:t>Determinar la validez del auto que tuvo por no contestada la demanda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con respecto a la demandada </w:t>
      </w: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>COLFONDOS S.A.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, conforme lo alegado en el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recurso de apelación y los requisitos previstos en la Ley y Jurisprudencia para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ello.</w:t>
      </w:r>
    </w:p>
    <w:p w14:paraId="0049529C" w14:textId="77777777" w:rsidR="00DD7B74" w:rsidRDefault="00DD7B74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</w:p>
    <w:p w14:paraId="72A563DE" w14:textId="2B01D4B1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>V. CONSIDERACIONES</w:t>
      </w:r>
    </w:p>
    <w:p w14:paraId="5CE1F6B9" w14:textId="77777777" w:rsidR="00DD7B74" w:rsidRDefault="00DD7B74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</w:p>
    <w:p w14:paraId="54A6E4B3" w14:textId="18A67241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>- De la notificación personal a través de mensajes de datos y el</w:t>
      </w:r>
      <w:r w:rsidR="00DD7B74"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>uso de las TIC en vigencia de la Ley 2213 de 2022</w:t>
      </w:r>
    </w:p>
    <w:p w14:paraId="4D2BDEF7" w14:textId="77777777" w:rsidR="00DD7B74" w:rsidRDefault="00DD7B74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73EBE57F" w14:textId="46B5968A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Para garantizar el servicio público de administración de justicia durante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la pandemia por Covid-19 se expidió el Decreto Legislativo 806 de 2020, que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procuró el uso de las tecnologías de la información y las comunicaciones – TIC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en las actuaciones judiciales. Dicha norma estuvo vigente por 02 años entre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el 04 de junio de 2020 y el 04 de junio de 2022, posteriormente se expidió la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Ley 2213 de 2022, por la cual se estableció la vigencia permanente del Decreto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Legislativo 806 de 2020 y adoptó medidas para implementar las TIC en las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actuaciones judiciales, agilizar los procesos judiciales y flexibilizar la atención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 los usuarios del servicio de justicia, entre otras disposiciones.</w:t>
      </w:r>
    </w:p>
    <w:p w14:paraId="6D7BE17B" w14:textId="77777777" w:rsidR="00DD7B74" w:rsidRDefault="00DD7B74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442315FA" w14:textId="7384A867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En lo que atañe a la notificación personal de la demandada, el artículo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8 de la Ley 2213 de 2022 consagra la posibilidad de realizar la notificación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personal enviando la providencia respectiva como mensaje de datos a la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dirección electrónica o sitio que suministre el interesado, sin necesidad del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envío de previa citación o aviso físico o virtual, debiendo el interesado afirmar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bajo juramento, el cual se entiende prestado con la petición, que la dirección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electrónica o sitio suministrado corresponde al usado por la persona a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notificar, informando la forma como lo obtuvo y aportando las evidencias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correspondientes. Dicha notificación personal se entiende surtida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trascurridos los 02 días hábiles siguientes a que el iniciador </w:t>
      </w:r>
      <w:proofErr w:type="spellStart"/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recepcione</w:t>
      </w:r>
      <w:proofErr w:type="spellEnd"/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acuse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 recibido o constante, por cualquier otro medio, el acceso del destinatario al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mensaje, por lo cual los términos empezaran a correr a partir del día siguiente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 aquel en que se perfecciona la notificación, en los términos señalados en la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sentencia C-420 de 2020, para lo cual se podrán implementar o utilizar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sistemas de confirmación del recibo de los correos electrónicos o mensajes de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datos.</w:t>
      </w:r>
    </w:p>
    <w:p w14:paraId="273CEADB" w14:textId="77777777" w:rsidR="00DD7B74" w:rsidRDefault="00DD7B74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388799A5" w14:textId="27EA2514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-Italic" w:hAnsi="BookmanOldStyle-Italic" w:cs="BookmanOldStyle-Italic"/>
          <w:i/>
          <w:iCs/>
          <w:color w:val="141414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Ahora, el artículo 2° de la mencionada Ley, regula el uso de las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tecnologías de la información y las comunicaciones, en el sentido que,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>“</w:t>
      </w:r>
      <w:r>
        <w:rPr>
          <w:rFonts w:ascii="BookmanOldStyle-Italic" w:hAnsi="BookmanOldStyle-Italic" w:cs="BookmanOldStyle-Italic"/>
          <w:i/>
          <w:iCs/>
          <w:color w:val="141414"/>
          <w:kern w:val="0"/>
          <w:sz w:val="24"/>
          <w:szCs w:val="24"/>
          <w:lang w:val="es-CO"/>
        </w:rPr>
        <w:t>se</w:t>
      </w:r>
      <w:r w:rsidR="00DD7B74">
        <w:rPr>
          <w:rFonts w:ascii="BookmanOldStyle-Italic" w:hAnsi="BookmanOldStyle-Italic" w:cs="BookmanOldStyle-Italic"/>
          <w:i/>
          <w:iCs/>
          <w:color w:val="141414"/>
          <w:kern w:val="0"/>
          <w:sz w:val="24"/>
          <w:szCs w:val="24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141414"/>
          <w:kern w:val="0"/>
          <w:sz w:val="24"/>
          <w:szCs w:val="24"/>
          <w:lang w:val="es-CO"/>
        </w:rPr>
        <w:t>utilizarán los medios tecnológicos, para todas las actuaciones, audiencias y</w:t>
      </w:r>
      <w:r w:rsidR="00DD7B74">
        <w:rPr>
          <w:rFonts w:ascii="BookmanOldStyle-Italic" w:hAnsi="BookmanOldStyle-Italic" w:cs="BookmanOldStyle-Italic"/>
          <w:i/>
          <w:iCs/>
          <w:color w:val="141414"/>
          <w:kern w:val="0"/>
          <w:sz w:val="24"/>
          <w:szCs w:val="24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141414"/>
          <w:kern w:val="0"/>
          <w:sz w:val="24"/>
          <w:szCs w:val="24"/>
          <w:lang w:val="es-CO"/>
        </w:rPr>
        <w:t>diligencias y se permitirá a los sujetos procesales actuar en los procesos o</w:t>
      </w:r>
      <w:r w:rsidR="00DD7B74">
        <w:rPr>
          <w:rFonts w:ascii="BookmanOldStyle-Italic" w:hAnsi="BookmanOldStyle-Italic" w:cs="BookmanOldStyle-Italic"/>
          <w:i/>
          <w:iCs/>
          <w:color w:val="141414"/>
          <w:kern w:val="0"/>
          <w:sz w:val="24"/>
          <w:szCs w:val="24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141414"/>
          <w:kern w:val="0"/>
          <w:sz w:val="24"/>
          <w:szCs w:val="24"/>
          <w:lang w:val="es-CO"/>
        </w:rPr>
        <w:t>trámites a través de los medios digitales disponibles, evitando exigir y cumplir</w:t>
      </w:r>
    </w:p>
    <w:p w14:paraId="2D3B1E6E" w14:textId="1847E9F5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-Italic" w:hAnsi="BookmanOldStyle-Italic" w:cs="BookmanOldStyle-Italic"/>
          <w:i/>
          <w:iCs/>
          <w:color w:val="141414"/>
          <w:kern w:val="0"/>
          <w:sz w:val="24"/>
          <w:szCs w:val="24"/>
          <w:lang w:val="es-CO"/>
        </w:rPr>
      </w:pPr>
      <w:r>
        <w:rPr>
          <w:rFonts w:ascii="BookmanOldStyle-Italic" w:hAnsi="BookmanOldStyle-Italic" w:cs="BookmanOldStyle-Italic"/>
          <w:i/>
          <w:iCs/>
          <w:color w:val="141414"/>
          <w:kern w:val="0"/>
          <w:sz w:val="24"/>
          <w:szCs w:val="24"/>
          <w:lang w:val="es-CO"/>
        </w:rPr>
        <w:t>formalidades presenciales o similares, que no sean estrictamente</w:t>
      </w:r>
      <w:r w:rsidR="00DD7B74">
        <w:rPr>
          <w:rFonts w:ascii="BookmanOldStyle-Italic" w:hAnsi="BookmanOldStyle-Italic" w:cs="BookmanOldStyle-Italic"/>
          <w:i/>
          <w:iCs/>
          <w:color w:val="141414"/>
          <w:kern w:val="0"/>
          <w:sz w:val="24"/>
          <w:szCs w:val="24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141414"/>
          <w:kern w:val="0"/>
          <w:sz w:val="24"/>
          <w:szCs w:val="24"/>
          <w:lang w:val="es-CO"/>
        </w:rPr>
        <w:t>necesarias”.</w:t>
      </w:r>
    </w:p>
    <w:p w14:paraId="191D3127" w14:textId="19E729EF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color w:val="000000"/>
          <w:kern w:val="0"/>
          <w:sz w:val="24"/>
          <w:szCs w:val="24"/>
          <w:lang w:val="es-CO"/>
        </w:rPr>
      </w:pPr>
    </w:p>
    <w:p w14:paraId="70DFA037" w14:textId="0C47276B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3C3C3C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141414"/>
          <w:kern w:val="0"/>
          <w:sz w:val="24"/>
          <w:szCs w:val="24"/>
          <w:lang w:val="es-CO"/>
        </w:rPr>
        <w:t>Sin embargo, el inciso 3° del mismo canon, incorpora como regulación</w:t>
      </w:r>
      <w:r w:rsidR="00DD7B74">
        <w:rPr>
          <w:rFonts w:ascii="BookmanOldStyle" w:hAnsi="BookmanOldStyle" w:cs="BookmanOldStyle"/>
          <w:color w:val="141414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141414"/>
          <w:kern w:val="0"/>
          <w:sz w:val="24"/>
          <w:szCs w:val="24"/>
          <w:lang w:val="es-CO"/>
        </w:rPr>
        <w:t xml:space="preserve">de este presupuesto que, </w:t>
      </w:r>
      <w:r>
        <w:rPr>
          <w:rFonts w:ascii="BookmanOldStyle-Italic" w:hAnsi="BookmanOldStyle-Italic" w:cs="BookmanOldStyle-Italic"/>
          <w:i/>
          <w:iCs/>
          <w:color w:val="141414"/>
          <w:kern w:val="0"/>
          <w:sz w:val="24"/>
          <w:szCs w:val="24"/>
          <w:lang w:val="es-CO"/>
        </w:rPr>
        <w:t>“las autoridades judiciales darán a conocer en su</w:t>
      </w:r>
      <w:r w:rsidR="00DD7B74">
        <w:rPr>
          <w:rFonts w:ascii="BookmanOldStyle-Italic" w:hAnsi="BookmanOldStyle-Italic" w:cs="BookmanOldStyle-Italic"/>
          <w:i/>
          <w:iCs/>
          <w:color w:val="141414"/>
          <w:kern w:val="0"/>
          <w:sz w:val="24"/>
          <w:szCs w:val="24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141414"/>
          <w:kern w:val="0"/>
          <w:sz w:val="24"/>
          <w:szCs w:val="24"/>
          <w:lang w:val="es-CO"/>
        </w:rPr>
        <w:t>página web los canales oficiales de comunicación e información mediante los</w:t>
      </w:r>
      <w:r w:rsidR="00DD7B74">
        <w:rPr>
          <w:rFonts w:ascii="BookmanOldStyle-Italic" w:hAnsi="BookmanOldStyle-Italic" w:cs="BookmanOldStyle-Italic"/>
          <w:i/>
          <w:iCs/>
          <w:color w:val="141414"/>
          <w:kern w:val="0"/>
          <w:sz w:val="24"/>
          <w:szCs w:val="24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141414"/>
          <w:kern w:val="0"/>
          <w:sz w:val="24"/>
          <w:szCs w:val="24"/>
          <w:lang w:val="es-CO"/>
        </w:rPr>
        <w:t>cuales prestarán su servicio, así como los mecanismos tecnológicos que</w:t>
      </w:r>
      <w:r w:rsidR="00DD7B74">
        <w:rPr>
          <w:rFonts w:ascii="BookmanOldStyle-Italic" w:hAnsi="BookmanOldStyle-Italic" w:cs="BookmanOldStyle-Italic"/>
          <w:i/>
          <w:iCs/>
          <w:color w:val="141414"/>
          <w:kern w:val="0"/>
          <w:sz w:val="24"/>
          <w:szCs w:val="24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141414"/>
          <w:kern w:val="0"/>
          <w:sz w:val="24"/>
          <w:szCs w:val="24"/>
          <w:lang w:val="es-CO"/>
        </w:rPr>
        <w:t>emplearán”</w:t>
      </w:r>
      <w:r>
        <w:rPr>
          <w:rFonts w:ascii="BookmanOldStyle" w:hAnsi="BookmanOldStyle" w:cs="BookmanOldStyle"/>
          <w:color w:val="3C3C3C"/>
          <w:kern w:val="0"/>
          <w:sz w:val="24"/>
          <w:szCs w:val="24"/>
          <w:lang w:val="es-CO"/>
        </w:rPr>
        <w:t>.</w:t>
      </w:r>
    </w:p>
    <w:p w14:paraId="7BF02073" w14:textId="77777777" w:rsidR="00DD7B74" w:rsidRDefault="00DD7B74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141414"/>
          <w:kern w:val="0"/>
          <w:sz w:val="24"/>
          <w:szCs w:val="24"/>
          <w:lang w:val="es-CO"/>
        </w:rPr>
      </w:pPr>
    </w:p>
    <w:p w14:paraId="5AFFDE42" w14:textId="2818A5A1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-Italic" w:hAnsi="BookmanOldStyle-Italic" w:cs="BookmanOldStyle-Italic"/>
          <w:i/>
          <w:iCs/>
          <w:color w:val="131313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141414"/>
          <w:kern w:val="0"/>
          <w:sz w:val="24"/>
          <w:szCs w:val="24"/>
          <w:lang w:val="es-CO"/>
        </w:rPr>
        <w:lastRenderedPageBreak/>
        <w:t>A su turno, el artículo 7° de la misma Ley, reglamenta lo relacionado</w:t>
      </w:r>
      <w:r w:rsidR="00DD7B74">
        <w:rPr>
          <w:rFonts w:ascii="BookmanOldStyle" w:hAnsi="BookmanOldStyle" w:cs="BookmanOldStyle"/>
          <w:color w:val="141414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141414"/>
          <w:kern w:val="0"/>
          <w:sz w:val="24"/>
          <w:szCs w:val="24"/>
          <w:lang w:val="es-CO"/>
        </w:rPr>
        <w:t xml:space="preserve">con la práctica de las audiencias y emplea como premisa principal que, </w:t>
      </w:r>
      <w:r>
        <w:rPr>
          <w:rFonts w:ascii="BookmanOldStyle-Italic" w:hAnsi="BookmanOldStyle-Italic" w:cs="BookmanOldStyle-Italic"/>
          <w:i/>
          <w:iCs/>
          <w:color w:val="141414"/>
          <w:kern w:val="0"/>
          <w:sz w:val="24"/>
          <w:szCs w:val="24"/>
          <w:lang w:val="es-CO"/>
        </w:rPr>
        <w:t>“las</w:t>
      </w:r>
      <w:r w:rsidR="00DD7B74">
        <w:rPr>
          <w:rFonts w:ascii="BookmanOldStyle-Italic" w:hAnsi="BookmanOldStyle-Italic" w:cs="BookmanOldStyle-Italic"/>
          <w:i/>
          <w:iCs/>
          <w:color w:val="141414"/>
          <w:kern w:val="0"/>
          <w:sz w:val="24"/>
          <w:szCs w:val="24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141414"/>
          <w:kern w:val="0"/>
          <w:sz w:val="24"/>
          <w:szCs w:val="24"/>
          <w:lang w:val="es-CO"/>
        </w:rPr>
        <w:t>audiencias deberán realizarse utilizand</w:t>
      </w:r>
      <w:r>
        <w:rPr>
          <w:rFonts w:ascii="BookmanOldStyle-Italic" w:hAnsi="BookmanOldStyle-Italic" w:cs="BookmanOldStyle-Italic"/>
          <w:i/>
          <w:iCs/>
          <w:color w:val="505050"/>
          <w:kern w:val="0"/>
          <w:sz w:val="24"/>
          <w:szCs w:val="24"/>
          <w:lang w:val="es-CO"/>
        </w:rPr>
        <w:t xml:space="preserve">o </w:t>
      </w:r>
      <w:r>
        <w:rPr>
          <w:rFonts w:ascii="BookmanOldStyle-Italic" w:hAnsi="BookmanOldStyle-Italic" w:cs="BookmanOldStyle-Italic"/>
          <w:i/>
          <w:iCs/>
          <w:color w:val="141414"/>
          <w:kern w:val="0"/>
          <w:sz w:val="24"/>
          <w:szCs w:val="24"/>
          <w:lang w:val="es-CO"/>
        </w:rPr>
        <w:t>los medios tecnológicos a</w:t>
      </w:r>
      <w:r w:rsidR="00DD7B74">
        <w:rPr>
          <w:rFonts w:ascii="BookmanOldStyle-Italic" w:hAnsi="BookmanOldStyle-Italic" w:cs="BookmanOldStyle-Italic"/>
          <w:i/>
          <w:iCs/>
          <w:color w:val="141414"/>
          <w:kern w:val="0"/>
          <w:sz w:val="24"/>
          <w:szCs w:val="24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141414"/>
          <w:kern w:val="0"/>
          <w:sz w:val="24"/>
          <w:szCs w:val="24"/>
          <w:lang w:val="es-CO"/>
        </w:rPr>
        <w:t xml:space="preserve">disposición de las autoridades judiciales o por cualquier otro medio </w:t>
      </w:r>
      <w:r>
        <w:rPr>
          <w:rFonts w:ascii="BookmanOldStyle-Italic" w:hAnsi="BookmanOldStyle-Italic" w:cs="BookmanOldStyle-Italic"/>
          <w:i/>
          <w:iCs/>
          <w:color w:val="131313"/>
          <w:kern w:val="0"/>
          <w:sz w:val="24"/>
          <w:szCs w:val="24"/>
          <w:lang w:val="es-CO"/>
        </w:rPr>
        <w:t>puesto a</w:t>
      </w:r>
      <w:r w:rsidR="00DD7B74">
        <w:rPr>
          <w:rFonts w:ascii="BookmanOldStyle-Italic" w:hAnsi="BookmanOldStyle-Italic" w:cs="BookmanOldStyle-Italic"/>
          <w:i/>
          <w:iCs/>
          <w:color w:val="131313"/>
          <w:kern w:val="0"/>
          <w:sz w:val="24"/>
          <w:szCs w:val="24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131313"/>
          <w:kern w:val="0"/>
          <w:sz w:val="24"/>
          <w:szCs w:val="24"/>
          <w:lang w:val="es-CO"/>
        </w:rPr>
        <w:t>disposición por una o por ambas partes y en ellas deberá facilitarse y</w:t>
      </w:r>
    </w:p>
    <w:p w14:paraId="24FE6E02" w14:textId="77777777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-Italic" w:hAnsi="BookmanOldStyle-Italic" w:cs="BookmanOldStyle-Italic"/>
          <w:i/>
          <w:iCs/>
          <w:color w:val="141414"/>
          <w:kern w:val="0"/>
          <w:sz w:val="24"/>
          <w:szCs w:val="24"/>
          <w:lang w:val="es-CO"/>
        </w:rPr>
      </w:pPr>
      <w:r>
        <w:rPr>
          <w:rFonts w:ascii="BookmanOldStyle-Italic" w:hAnsi="BookmanOldStyle-Italic" w:cs="BookmanOldStyle-Italic"/>
          <w:i/>
          <w:iCs/>
          <w:color w:val="131313"/>
          <w:kern w:val="0"/>
          <w:sz w:val="24"/>
          <w:szCs w:val="24"/>
          <w:lang w:val="es-CO"/>
        </w:rPr>
        <w:t>permitirse la presencia de todos los sujetos procesales […]</w:t>
      </w:r>
      <w:r>
        <w:rPr>
          <w:rFonts w:ascii="BookmanOldStyle-Italic" w:hAnsi="BookmanOldStyle-Italic" w:cs="BookmanOldStyle-Italic"/>
          <w:i/>
          <w:iCs/>
          <w:color w:val="141414"/>
          <w:kern w:val="0"/>
          <w:sz w:val="24"/>
          <w:szCs w:val="24"/>
          <w:lang w:val="es-CO"/>
        </w:rPr>
        <w:t>”.</w:t>
      </w:r>
    </w:p>
    <w:p w14:paraId="386AD9C1" w14:textId="77777777" w:rsidR="00DD7B74" w:rsidRDefault="00DD7B74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141414"/>
          <w:kern w:val="0"/>
          <w:sz w:val="24"/>
          <w:szCs w:val="24"/>
          <w:lang w:val="es-CO"/>
        </w:rPr>
      </w:pPr>
    </w:p>
    <w:p w14:paraId="4D8D64C5" w14:textId="6AD611B6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-Italic" w:hAnsi="BookmanOldStyle-Italic" w:cs="BookmanOldStyle-Italic"/>
          <w:i/>
          <w:iCs/>
          <w:color w:val="131313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141414"/>
          <w:kern w:val="0"/>
          <w:sz w:val="24"/>
          <w:szCs w:val="24"/>
          <w:lang w:val="es-CO"/>
        </w:rPr>
        <w:t xml:space="preserve">Y el inciso 2° de ese artículo, puntualiza que, </w:t>
      </w:r>
      <w:r>
        <w:rPr>
          <w:rFonts w:ascii="BookmanOldStyle-Italic" w:hAnsi="BookmanOldStyle-Italic" w:cs="BookmanOldStyle-Italic"/>
          <w:i/>
          <w:iCs/>
          <w:color w:val="141414"/>
          <w:kern w:val="0"/>
          <w:sz w:val="24"/>
          <w:szCs w:val="24"/>
          <w:lang w:val="es-CO"/>
        </w:rPr>
        <w:t>“</w:t>
      </w:r>
      <w:r>
        <w:rPr>
          <w:rFonts w:ascii="BookmanOldStyle-Italic" w:hAnsi="BookmanOldStyle-Italic" w:cs="BookmanOldStyle-Italic"/>
          <w:i/>
          <w:iCs/>
          <w:color w:val="131313"/>
          <w:kern w:val="0"/>
          <w:sz w:val="24"/>
          <w:szCs w:val="24"/>
          <w:lang w:val="es-CO"/>
        </w:rPr>
        <w:t>no obstante, con</w:t>
      </w:r>
      <w:r w:rsidR="00DD7B74">
        <w:rPr>
          <w:rFonts w:ascii="BookmanOldStyle-Italic" w:hAnsi="BookmanOldStyle-Italic" w:cs="BookmanOldStyle-Italic"/>
          <w:i/>
          <w:iCs/>
          <w:color w:val="131313"/>
          <w:kern w:val="0"/>
          <w:sz w:val="24"/>
          <w:szCs w:val="24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131313"/>
          <w:kern w:val="0"/>
          <w:sz w:val="24"/>
          <w:szCs w:val="24"/>
          <w:lang w:val="es-CO"/>
        </w:rPr>
        <w:t>autorización del titular del despacho, cualquier empleado podrá comunicarse</w:t>
      </w:r>
      <w:r w:rsidR="00DD7B74">
        <w:rPr>
          <w:rFonts w:ascii="BookmanOldStyle-Italic" w:hAnsi="BookmanOldStyle-Italic" w:cs="BookmanOldStyle-Italic"/>
          <w:i/>
          <w:iCs/>
          <w:color w:val="131313"/>
          <w:kern w:val="0"/>
          <w:sz w:val="24"/>
          <w:szCs w:val="24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131313"/>
          <w:kern w:val="0"/>
          <w:sz w:val="24"/>
          <w:szCs w:val="24"/>
          <w:lang w:val="es-CO"/>
        </w:rPr>
        <w:t>con los sujetos procesales, antes de la realización de las audiencias, con el</w:t>
      </w:r>
      <w:r w:rsidR="00DD7B74">
        <w:rPr>
          <w:rFonts w:ascii="BookmanOldStyle-Italic" w:hAnsi="BookmanOldStyle-Italic" w:cs="BookmanOldStyle-Italic"/>
          <w:i/>
          <w:iCs/>
          <w:color w:val="131313"/>
          <w:kern w:val="0"/>
          <w:sz w:val="24"/>
          <w:szCs w:val="24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131313"/>
          <w:kern w:val="0"/>
          <w:sz w:val="24"/>
          <w:szCs w:val="24"/>
          <w:lang w:val="es-CO"/>
        </w:rPr>
        <w:t>fin de informarles sobre la herramienta tecnológica que se utilizará en ellas o</w:t>
      </w:r>
      <w:r w:rsidR="00DD7B74">
        <w:rPr>
          <w:rFonts w:ascii="BookmanOldStyle-Italic" w:hAnsi="BookmanOldStyle-Italic" w:cs="BookmanOldStyle-Italic"/>
          <w:i/>
          <w:iCs/>
          <w:color w:val="131313"/>
          <w:kern w:val="0"/>
          <w:sz w:val="24"/>
          <w:szCs w:val="24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131313"/>
          <w:kern w:val="0"/>
          <w:sz w:val="24"/>
          <w:szCs w:val="24"/>
          <w:lang w:val="es-CO"/>
        </w:rPr>
        <w:t>para concertar una distinta”.</w:t>
      </w:r>
    </w:p>
    <w:p w14:paraId="0B1B8C71" w14:textId="77777777" w:rsidR="00DD7B74" w:rsidRDefault="00DD7B74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131313"/>
          <w:kern w:val="0"/>
          <w:sz w:val="24"/>
          <w:szCs w:val="24"/>
          <w:lang w:val="es-CO"/>
        </w:rPr>
      </w:pPr>
    </w:p>
    <w:p w14:paraId="4A42F75F" w14:textId="49F1199A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131313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131313"/>
          <w:kern w:val="0"/>
          <w:sz w:val="24"/>
          <w:szCs w:val="24"/>
          <w:lang w:val="es-CO"/>
        </w:rPr>
        <w:t>A partir del contenido de las normas en cita, es posible concluir que,</w:t>
      </w:r>
      <w:r w:rsidR="00DD7B74">
        <w:rPr>
          <w:rFonts w:ascii="BookmanOldStyle" w:hAnsi="BookmanOldStyle" w:cs="BookmanOldStyle"/>
          <w:color w:val="131313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131313"/>
          <w:kern w:val="0"/>
          <w:sz w:val="24"/>
          <w:szCs w:val="24"/>
          <w:lang w:val="es-CO"/>
        </w:rPr>
        <w:t>en efecto, para el funcionamiento de la actividad esencial de administración</w:t>
      </w:r>
      <w:r w:rsidR="00DD7B74">
        <w:rPr>
          <w:rFonts w:ascii="BookmanOldStyle" w:hAnsi="BookmanOldStyle" w:cs="BookmanOldStyle"/>
          <w:color w:val="131313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131313"/>
          <w:kern w:val="0"/>
          <w:sz w:val="24"/>
          <w:szCs w:val="24"/>
          <w:lang w:val="es-CO"/>
        </w:rPr>
        <w:t>de justicia, es viable el uso de los medios tecnológicos.</w:t>
      </w:r>
    </w:p>
    <w:p w14:paraId="002AB614" w14:textId="77777777" w:rsidR="00DD7B74" w:rsidRDefault="00DD7B74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131313"/>
          <w:kern w:val="0"/>
          <w:sz w:val="24"/>
          <w:szCs w:val="24"/>
          <w:lang w:val="es-CO"/>
        </w:rPr>
      </w:pPr>
    </w:p>
    <w:p w14:paraId="1624B77E" w14:textId="6877D03D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131313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131313"/>
          <w:kern w:val="0"/>
          <w:sz w:val="24"/>
          <w:szCs w:val="24"/>
          <w:lang w:val="es-CO"/>
        </w:rPr>
        <w:t xml:space="preserve">No obstante, esa accesibilidad está regulada, en el sentido que: </w:t>
      </w:r>
      <w:r>
        <w:rPr>
          <w:rFonts w:ascii="BookmanOldStyle-BoldItalic" w:hAnsi="BookmanOldStyle-BoldItalic" w:cs="BookmanOldStyle-BoldItalic"/>
          <w:b/>
          <w:bCs/>
          <w:i/>
          <w:iCs/>
          <w:color w:val="131313"/>
          <w:kern w:val="0"/>
          <w:sz w:val="24"/>
          <w:szCs w:val="24"/>
          <w:lang w:val="es-CO"/>
        </w:rPr>
        <w:t xml:space="preserve">i) </w:t>
      </w:r>
      <w:r>
        <w:rPr>
          <w:rFonts w:ascii="BookmanOldStyle" w:hAnsi="BookmanOldStyle" w:cs="BookmanOldStyle"/>
          <w:color w:val="131313"/>
          <w:kern w:val="0"/>
          <w:sz w:val="24"/>
          <w:szCs w:val="24"/>
          <w:lang w:val="es-CO"/>
        </w:rPr>
        <w:t>son</w:t>
      </w:r>
      <w:r w:rsidR="00DD7B74">
        <w:rPr>
          <w:rFonts w:ascii="BookmanOldStyle" w:hAnsi="BookmanOldStyle" w:cs="BookmanOldStyle"/>
          <w:color w:val="131313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131313"/>
          <w:kern w:val="0"/>
          <w:sz w:val="24"/>
          <w:szCs w:val="24"/>
          <w:lang w:val="es-CO"/>
        </w:rPr>
        <w:t>las autoridades judiciales las que, en la página web de la Rama Judicial,</w:t>
      </w:r>
      <w:r w:rsidR="00DD7B74">
        <w:rPr>
          <w:rFonts w:ascii="BookmanOldStyle" w:hAnsi="BookmanOldStyle" w:cs="BookmanOldStyle"/>
          <w:color w:val="131313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131313"/>
          <w:kern w:val="0"/>
          <w:sz w:val="24"/>
          <w:szCs w:val="24"/>
          <w:lang w:val="es-CO"/>
        </w:rPr>
        <w:t>deben dar a conocer los canales oficiales de comunicación, así como los</w:t>
      </w:r>
      <w:r w:rsidR="00DD7B74">
        <w:rPr>
          <w:rFonts w:ascii="BookmanOldStyle" w:hAnsi="BookmanOldStyle" w:cs="BookmanOldStyle"/>
          <w:color w:val="131313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131313"/>
          <w:kern w:val="0"/>
          <w:sz w:val="24"/>
          <w:szCs w:val="24"/>
          <w:lang w:val="es-CO"/>
        </w:rPr>
        <w:t xml:space="preserve">mecanismos tecnológicos que utilizarán y, </w:t>
      </w:r>
      <w:proofErr w:type="spellStart"/>
      <w:r>
        <w:rPr>
          <w:rFonts w:ascii="BookmanOldStyle-BoldItalic" w:hAnsi="BookmanOldStyle-BoldItalic" w:cs="BookmanOldStyle-BoldItalic"/>
          <w:b/>
          <w:bCs/>
          <w:i/>
          <w:iCs/>
          <w:color w:val="131313"/>
          <w:kern w:val="0"/>
          <w:sz w:val="24"/>
          <w:szCs w:val="24"/>
          <w:lang w:val="es-CO"/>
        </w:rPr>
        <w:t>ii</w:t>
      </w:r>
      <w:proofErr w:type="spellEnd"/>
      <w:r>
        <w:rPr>
          <w:rFonts w:ascii="BookmanOldStyle-BoldItalic" w:hAnsi="BookmanOldStyle-BoldItalic" w:cs="BookmanOldStyle-BoldItalic"/>
          <w:b/>
          <w:bCs/>
          <w:i/>
          <w:iCs/>
          <w:color w:val="131313"/>
          <w:kern w:val="0"/>
          <w:sz w:val="24"/>
          <w:szCs w:val="24"/>
          <w:lang w:val="es-CO"/>
        </w:rPr>
        <w:t xml:space="preserve">) </w:t>
      </w:r>
      <w:r>
        <w:rPr>
          <w:rFonts w:ascii="BookmanOldStyle" w:hAnsi="BookmanOldStyle" w:cs="BookmanOldStyle"/>
          <w:color w:val="131313"/>
          <w:kern w:val="0"/>
          <w:sz w:val="24"/>
          <w:szCs w:val="24"/>
          <w:lang w:val="es-CO"/>
        </w:rPr>
        <w:t>en el caso de la celebración de</w:t>
      </w:r>
      <w:r w:rsidR="00DD7B74">
        <w:rPr>
          <w:rFonts w:ascii="BookmanOldStyle" w:hAnsi="BookmanOldStyle" w:cs="BookmanOldStyle"/>
          <w:color w:val="131313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131313"/>
          <w:kern w:val="0"/>
          <w:sz w:val="24"/>
          <w:szCs w:val="24"/>
          <w:lang w:val="es-CO"/>
        </w:rPr>
        <w:t>audiencias, es posible, que previa autorización del juez, un empleado del</w:t>
      </w:r>
      <w:r w:rsidR="00DD7B74">
        <w:rPr>
          <w:rFonts w:ascii="BookmanOldStyle" w:hAnsi="BookmanOldStyle" w:cs="BookmanOldStyle"/>
          <w:color w:val="131313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131313"/>
          <w:kern w:val="0"/>
          <w:sz w:val="24"/>
          <w:szCs w:val="24"/>
          <w:lang w:val="es-CO"/>
        </w:rPr>
        <w:t>despacho, antes de la realización de la audiencia, pueda comunicarse con</w:t>
      </w:r>
    </w:p>
    <w:p w14:paraId="2D2632B7" w14:textId="63C1A0BE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131313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131313"/>
          <w:kern w:val="0"/>
          <w:sz w:val="24"/>
          <w:szCs w:val="24"/>
          <w:lang w:val="es-CO"/>
        </w:rPr>
        <w:t>los sujetos procesales para informarles sobre la herramienta tecnológica a</w:t>
      </w:r>
      <w:r w:rsidR="00DD7B74">
        <w:rPr>
          <w:rFonts w:ascii="BookmanOldStyle" w:hAnsi="BookmanOldStyle" w:cs="BookmanOldStyle"/>
          <w:color w:val="131313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131313"/>
          <w:kern w:val="0"/>
          <w:sz w:val="24"/>
          <w:szCs w:val="24"/>
          <w:lang w:val="es-CO"/>
        </w:rPr>
        <w:t>través de la cual, se llevará a cabo la misma.</w:t>
      </w:r>
    </w:p>
    <w:p w14:paraId="45464EA2" w14:textId="77777777" w:rsidR="00DD7B74" w:rsidRDefault="00DD7B74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131313"/>
          <w:kern w:val="0"/>
          <w:sz w:val="24"/>
          <w:szCs w:val="24"/>
          <w:lang w:val="es-CO"/>
        </w:rPr>
      </w:pPr>
    </w:p>
    <w:p w14:paraId="01268BC5" w14:textId="77777777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>CASO EN CONCRETO.</w:t>
      </w:r>
    </w:p>
    <w:p w14:paraId="0E700351" w14:textId="77777777" w:rsidR="00DD7B74" w:rsidRDefault="00DD7B74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5BABE58B" w14:textId="5EEF5E15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Descendiendo al caso bajo estudio, inicialmente debe aclararse que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no existe discrepancia alguna frente a la notificación personal del auto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admisorio de la demanda respecto a la encartada </w:t>
      </w: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 xml:space="preserve">COLFONDOS S.A.,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la cual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se surtió el 29 de mayo de 2023 en los términos previstos en el artículo 8 de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la ley 2213 de 2022 (Pág. 3 a 7 archivo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>“09ConstanciaNotificacion”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); así lo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aceptó la apelante en su recurso al señalar que “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>Colfondos S.A. fue notificado</w:t>
      </w:r>
      <w:r w:rsidR="00DD7B74"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>en debida forma el 29 de mayo de 2023 mediante el aplicativo de la entidad</w:t>
      </w:r>
      <w:r w:rsidR="00DD7B74"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>dispuesto para tal fin. Se observa que la notificación se realizó bajo los</w:t>
      </w:r>
      <w:r w:rsidR="00DD7B74"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>lineamientos del 2213 de 2022, vigente para dicha calenda.”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; luego entonces,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advirtiéndose que la única inconformidad recae en la correcta radicación del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libelo de contestación de demanda, que afirma la pasiva, haber radicado al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correo electrónico del Juzgado el día 13 de junio de 2023, esto es, dentro del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término de ley.</w:t>
      </w:r>
    </w:p>
    <w:p w14:paraId="38CB0877" w14:textId="77777777" w:rsidR="00DD7B74" w:rsidRDefault="00DD7B74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7FD6BE4B" w14:textId="46A9CA8E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Pues bien, la revisión del expediente, en especial del escrito allegado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por la apoderada demandada el 10 de agosto de 2023, denota que el día 13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 junio de 2023 se remitió mensaje de datos, entre otros, al correo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electrónico </w:t>
      </w:r>
      <w:r>
        <w:rPr>
          <w:rFonts w:ascii="BookmanOldStyle" w:hAnsi="BookmanOldStyle" w:cs="BookmanOldStyle"/>
          <w:color w:val="0000FF"/>
          <w:kern w:val="0"/>
          <w:sz w:val="24"/>
          <w:szCs w:val="24"/>
          <w:lang w:val="es-CO"/>
        </w:rPr>
        <w:t>j46ctolbtabta@cendoj.ramajudicial.gov.co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, mediante el cual se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aportó contestación de demanda suscrita por la apoderada judicial de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 xml:space="preserve">COLFONDOS S.A.,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junto con sus anexos y solicitud de llamamiento en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garantía contra SEGUROS DE VIDA COLPATRIA S.A. y AXA COLPATRIA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SEGUROS DE VIDA S.A. (archivo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>“14ReenvioDocumtContes”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).</w:t>
      </w:r>
    </w:p>
    <w:p w14:paraId="7781AF20" w14:textId="23B8C96F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lastRenderedPageBreak/>
        <w:t>No obstante, advierte la Sala que la demandada usó un correo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electrónico que no corresponde a la herramienta tecnológica habilitada por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el Juzgado 46 Laboral del Circuito de Bogotá, ya que el buzón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FF"/>
          <w:kern w:val="0"/>
          <w:sz w:val="24"/>
          <w:szCs w:val="24"/>
          <w:lang w:val="es-CO"/>
        </w:rPr>
        <w:t>j46ctolbtabta@cendoj.ramajudicial.gov.co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, no figura en el directorio de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cuentas de correo electrónico de la Rama Judicial, publicado en la página</w:t>
      </w:r>
    </w:p>
    <w:p w14:paraId="45285084" w14:textId="0F9EDB20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16"/>
          <w:szCs w:val="16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web </w:t>
      </w:r>
      <w:hyperlink r:id="rId5" w:history="1">
        <w:r w:rsidR="00DD7B74" w:rsidRPr="00C54823">
          <w:rPr>
            <w:rStyle w:val="Hipervnculo"/>
            <w:rFonts w:ascii="BookmanOldStyle" w:hAnsi="BookmanOldStyle" w:cs="BookmanOldStyle"/>
            <w:kern w:val="0"/>
            <w:sz w:val="24"/>
            <w:szCs w:val="24"/>
            <w:lang w:val="es-CO"/>
          </w:rPr>
          <w:t>https://www.ramajudicial.gov.co/directorio-cuentas-de-correo</w:t>
        </w:r>
      </w:hyperlink>
      <w:r w:rsidR="00DD7B74">
        <w:rPr>
          <w:rFonts w:ascii="BookmanOldStyle" w:hAnsi="BookmanOldStyle" w:cs="BookmanOldStyle"/>
          <w:color w:val="0000FF"/>
          <w:kern w:val="0"/>
          <w:sz w:val="24"/>
          <w:szCs w:val="24"/>
          <w:lang w:val="es-CO"/>
        </w:rPr>
        <w:t xml:space="preserve"> </w:t>
      </w:r>
    </w:p>
    <w:p w14:paraId="4D2B8424" w14:textId="296954E1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proofErr w:type="spellStart"/>
      <w:r>
        <w:rPr>
          <w:rFonts w:ascii="BookmanOldStyle" w:hAnsi="BookmanOldStyle" w:cs="BookmanOldStyle"/>
          <w:color w:val="0000FF"/>
          <w:kern w:val="0"/>
          <w:sz w:val="24"/>
          <w:szCs w:val="24"/>
          <w:lang w:val="es-CO"/>
        </w:rPr>
        <w:t>electronico</w:t>
      </w:r>
      <w:proofErr w:type="spellEnd"/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, siendo el correcto el correo institucional que corresponde a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FF"/>
          <w:kern w:val="0"/>
          <w:sz w:val="24"/>
          <w:szCs w:val="24"/>
          <w:lang w:val="es-CO"/>
        </w:rPr>
        <w:t>j46ctolbta@cendoj.ramajudicial.gov.co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.</w:t>
      </w:r>
    </w:p>
    <w:p w14:paraId="4E07498F" w14:textId="77777777" w:rsidR="00DD7B74" w:rsidRDefault="00DD7B74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5699AD9F" w14:textId="1A183E73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Tampoco justificó la recurrente la manera en la que obtuvo el correo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FF"/>
          <w:kern w:val="0"/>
          <w:sz w:val="24"/>
          <w:szCs w:val="24"/>
          <w:lang w:val="es-CO"/>
        </w:rPr>
        <w:t>j46ctolbtabta@cendoj.ramajudicial.gov.co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, ni explica cómo llegó a la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conclusión de que ese era el medio electrónico habilitado por el Juzgado de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conocimiento para radicar la respectiva contestación de demanda, máxime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cuando el auto admisorio incluyó la advertencia expresa a las demandadas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consistente en: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>“</w:t>
      </w:r>
      <w:r>
        <w:rPr>
          <w:rFonts w:ascii="BookmanOldStyle-BoldItalic" w:hAnsi="BookmanOldStyle-BoldItalic" w:cs="BookmanOldStyle-BoldItalic"/>
          <w:b/>
          <w:bCs/>
          <w:i/>
          <w:iCs/>
          <w:color w:val="000000"/>
          <w:kern w:val="0"/>
          <w:sz w:val="24"/>
          <w:szCs w:val="24"/>
          <w:lang w:val="es-CO"/>
        </w:rPr>
        <w:t xml:space="preserve">SÉPTIMO: PREVENIR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>a las entidades demandadas para</w:t>
      </w:r>
      <w:r w:rsidR="00DD7B74"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>que … procedan a remitir su contestación al correo institucional del Juzgado</w:t>
      </w:r>
      <w:r w:rsidR="00DD7B74"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-BoldItalic" w:hAnsi="BookmanOldStyle-BoldItalic" w:cs="BookmanOldStyle-BoldItalic"/>
          <w:b/>
          <w:bCs/>
          <w:i/>
          <w:iCs/>
          <w:color w:val="000000"/>
          <w:kern w:val="0"/>
          <w:sz w:val="24"/>
          <w:szCs w:val="24"/>
          <w:lang w:val="es-CO"/>
        </w:rPr>
        <w:t>j46ctolbta@cendoj.ramajudicial.gov.co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>, debiendo allegar la totalidad de</w:t>
      </w:r>
      <w:r w:rsidR="00DD7B74"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 xml:space="preserve">los anexos y las pruebas en los términos del inciso anterior.”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(archivo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>“06AutoAdmite”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).</w:t>
      </w:r>
    </w:p>
    <w:p w14:paraId="0AD5E148" w14:textId="77777777" w:rsidR="00DD7B74" w:rsidRDefault="00DD7B74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131313"/>
          <w:kern w:val="0"/>
          <w:sz w:val="24"/>
          <w:szCs w:val="24"/>
          <w:lang w:val="es-CO"/>
        </w:rPr>
      </w:pPr>
    </w:p>
    <w:p w14:paraId="58F22983" w14:textId="20CA456B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131313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131313"/>
          <w:kern w:val="0"/>
          <w:sz w:val="24"/>
          <w:szCs w:val="24"/>
          <w:lang w:val="es-CO"/>
        </w:rPr>
        <w:t>En ese orden de ideas, es claro que, el Juzgado 46 Laboral del Circuito</w:t>
      </w:r>
      <w:r w:rsidR="00DD7B74">
        <w:rPr>
          <w:rFonts w:ascii="BookmanOldStyle" w:hAnsi="BookmanOldStyle" w:cs="BookmanOldStyle"/>
          <w:color w:val="131313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131313"/>
          <w:kern w:val="0"/>
          <w:sz w:val="24"/>
          <w:szCs w:val="24"/>
          <w:lang w:val="es-CO"/>
        </w:rPr>
        <w:t>de Bogotá no ha proporcionado como herramienta tecnológica para la</w:t>
      </w:r>
      <w:r w:rsidR="00DD7B74">
        <w:rPr>
          <w:rFonts w:ascii="BookmanOldStyle" w:hAnsi="BookmanOldStyle" w:cs="BookmanOldStyle"/>
          <w:color w:val="131313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131313"/>
          <w:kern w:val="0"/>
          <w:sz w:val="24"/>
          <w:szCs w:val="24"/>
          <w:lang w:val="es-CO"/>
        </w:rPr>
        <w:t>radicación de memoriales el correo electrónico</w:t>
      </w:r>
      <w:r w:rsidR="00DD7B74">
        <w:rPr>
          <w:rFonts w:ascii="BookmanOldStyle" w:hAnsi="BookmanOldStyle" w:cs="BookmanOldStyle"/>
          <w:color w:val="131313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FF"/>
          <w:kern w:val="0"/>
          <w:sz w:val="24"/>
          <w:szCs w:val="24"/>
          <w:lang w:val="es-CO"/>
        </w:rPr>
        <w:t>j46ctolbtabta@cendoj.ramajudicial.gov.co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, p</w:t>
      </w:r>
      <w:r>
        <w:rPr>
          <w:rFonts w:ascii="BookmanOldStyle" w:hAnsi="BookmanOldStyle" w:cs="BookmanOldStyle"/>
          <w:color w:val="131313"/>
          <w:kern w:val="0"/>
          <w:sz w:val="24"/>
          <w:szCs w:val="24"/>
          <w:lang w:val="es-CO"/>
        </w:rPr>
        <w:t>or tanto, no puede entenderse</w:t>
      </w:r>
    </w:p>
    <w:p w14:paraId="7F287B65" w14:textId="4C459AF7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131313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131313"/>
          <w:kern w:val="0"/>
          <w:sz w:val="24"/>
          <w:szCs w:val="24"/>
          <w:lang w:val="es-CO"/>
        </w:rPr>
        <w:t>que, contestación de demanda presentada el 13 de junio de 2023, fue</w:t>
      </w:r>
      <w:r w:rsidR="00DD7B74">
        <w:rPr>
          <w:rFonts w:ascii="BookmanOldStyle" w:hAnsi="BookmanOldStyle" w:cs="BookmanOldStyle"/>
          <w:color w:val="131313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131313"/>
          <w:kern w:val="0"/>
          <w:sz w:val="24"/>
          <w:szCs w:val="24"/>
          <w:lang w:val="es-CO"/>
        </w:rPr>
        <w:t>recibida oficialmente y que, por ende, deba tenerse en cuenta.</w:t>
      </w:r>
    </w:p>
    <w:p w14:paraId="37DE83AC" w14:textId="77777777" w:rsidR="00DD7B74" w:rsidRDefault="00DD7B74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22ACB06F" w14:textId="2803EE8A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Así entonces, como la notificación personal a la demandada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 xml:space="preserve">COLFONDOS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se efectuó en legal, y en la forma dispuesta en el auto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admisorio a través de correo electrónico remitido a su dirección de</w:t>
      </w:r>
      <w:r w:rsidR="00DD7B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notificación judicial el día 29 de mayo de 2023, de la cual la misma AFP</w:t>
      </w:r>
    </w:p>
    <w:p w14:paraId="24F27909" w14:textId="2CF09010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admitió su recibido, tal como lo prevé el artículo 8 de la ley 2213 de 2022,</w:t>
      </w:r>
      <w:r w:rsidR="0078049D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el plazo de 02 días hábiles siguientes para entender surtida la notificación</w:t>
      </w:r>
      <w:r w:rsidR="0078049D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venció el 31 de mayo de 2023 y el término de 10 días para contestar finalizó</w:t>
      </w:r>
      <w:r w:rsidR="0078049D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el 15 de junio de 2023, sin que aquella AFP haya procedido a contestar la</w:t>
      </w:r>
      <w:r w:rsidR="0078049D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demanda en debida forma dentro del término.</w:t>
      </w:r>
    </w:p>
    <w:p w14:paraId="113F8B84" w14:textId="77777777" w:rsidR="00DD7B74" w:rsidRDefault="00DD7B74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051A2591" w14:textId="6E6E1C46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Por las anteriores consideraciones se confirmará el auto apelado.</w:t>
      </w:r>
    </w:p>
    <w:p w14:paraId="5A099ED5" w14:textId="77777777" w:rsidR="00DD7B74" w:rsidRDefault="00DD7B74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20F5B72A" w14:textId="228817E6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Sin costas en la apelación.</w:t>
      </w:r>
    </w:p>
    <w:p w14:paraId="059412D8" w14:textId="77777777" w:rsidR="0078049D" w:rsidRDefault="0078049D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42574DA5" w14:textId="77777777" w:rsidR="0078049D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En mérito de lo expuesto, el TRIBUNAL SUPERIOR DEL DISTRITO</w:t>
      </w:r>
      <w:r w:rsidR="0078049D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JUDICIAL DE BOGOTÁ D.C., SALA LABORAL, Administrando Justicia en</w:t>
      </w:r>
      <w:r w:rsidR="0078049D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nombre de la República de Colombia y por autoridad de la ley</w:t>
      </w:r>
      <w:r w:rsidR="0078049D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</w:p>
    <w:p w14:paraId="09A89F17" w14:textId="77777777" w:rsidR="0078049D" w:rsidRDefault="0078049D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5BFCC7A5" w14:textId="2A4A90FA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>VI. RESUELVE</w:t>
      </w:r>
    </w:p>
    <w:p w14:paraId="0927C6DD" w14:textId="77777777" w:rsidR="0078049D" w:rsidRDefault="0078049D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</w:p>
    <w:p w14:paraId="452B6A59" w14:textId="1AC88CF5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 xml:space="preserve">PRIMERO: CONFIRMAR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el auto del 04 de agosto de 2023, que tuvo</w:t>
      </w:r>
      <w:r w:rsidR="0078049D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por no contestada la demanda por </w:t>
      </w: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>COLFONDOS S.A. PENSIONES Y</w:t>
      </w:r>
      <w:r w:rsidR="0078049D"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>CESANTÍAS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, conforme la parte motiva de esta providencia.</w:t>
      </w:r>
    </w:p>
    <w:p w14:paraId="2D9BAEA7" w14:textId="77777777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lastRenderedPageBreak/>
        <w:t xml:space="preserve">SEGUNDO: SIN COSTAS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en segunda instancia.</w:t>
      </w:r>
    </w:p>
    <w:p w14:paraId="1211CCED" w14:textId="77777777" w:rsidR="0078049D" w:rsidRDefault="0078049D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5"/>
          <w:szCs w:val="25"/>
          <w:lang w:val="es-CO"/>
        </w:rPr>
      </w:pPr>
    </w:p>
    <w:p w14:paraId="4887F9BC" w14:textId="5604D2A4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5"/>
          <w:szCs w:val="25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5"/>
          <w:szCs w:val="25"/>
          <w:lang w:val="es-CO"/>
        </w:rPr>
        <w:t>NOTIFÍQUESE Y CÚMPLASE</w:t>
      </w:r>
      <w:r>
        <w:rPr>
          <w:rFonts w:ascii="BookmanOldStyle" w:hAnsi="BookmanOldStyle" w:cs="BookmanOldStyle"/>
          <w:color w:val="000000"/>
          <w:kern w:val="0"/>
          <w:sz w:val="25"/>
          <w:szCs w:val="25"/>
          <w:lang w:val="es-CO"/>
        </w:rPr>
        <w:t>.</w:t>
      </w:r>
    </w:p>
    <w:p w14:paraId="5F750DC4" w14:textId="77777777" w:rsidR="0078049D" w:rsidRDefault="0078049D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5"/>
          <w:szCs w:val="25"/>
          <w:lang w:val="es-CO"/>
        </w:rPr>
      </w:pPr>
    </w:p>
    <w:p w14:paraId="23847C90" w14:textId="77777777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5"/>
          <w:szCs w:val="25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5"/>
          <w:szCs w:val="25"/>
          <w:lang w:val="es-CO"/>
        </w:rPr>
        <w:t>HUGO ALEXANDER RÍOS GARAY</w:t>
      </w:r>
    </w:p>
    <w:p w14:paraId="2CAB5CEE" w14:textId="77777777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5"/>
          <w:szCs w:val="25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5"/>
          <w:szCs w:val="25"/>
          <w:lang w:val="es-CO"/>
        </w:rPr>
        <w:t>Magistrado.</w:t>
      </w:r>
    </w:p>
    <w:p w14:paraId="4DE2A719" w14:textId="77777777" w:rsidR="0078049D" w:rsidRDefault="0078049D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5"/>
          <w:szCs w:val="25"/>
          <w:lang w:val="es-CO"/>
        </w:rPr>
      </w:pPr>
    </w:p>
    <w:p w14:paraId="4518EE47" w14:textId="289DEEE6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5"/>
          <w:szCs w:val="25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5"/>
          <w:szCs w:val="25"/>
          <w:lang w:val="es-CO"/>
        </w:rPr>
        <w:t>ÁNGELA LUCÍA MURILLO VARÓN</w:t>
      </w:r>
    </w:p>
    <w:p w14:paraId="6879EF22" w14:textId="77777777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5"/>
          <w:szCs w:val="25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5"/>
          <w:szCs w:val="25"/>
          <w:lang w:val="es-CO"/>
        </w:rPr>
        <w:t>Magistrada.</w:t>
      </w:r>
    </w:p>
    <w:p w14:paraId="7EE7654C" w14:textId="77777777" w:rsidR="0078049D" w:rsidRDefault="0078049D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5"/>
          <w:szCs w:val="25"/>
          <w:lang w:val="es-CO"/>
        </w:rPr>
      </w:pPr>
    </w:p>
    <w:p w14:paraId="28D7E749" w14:textId="0B31571B" w:rsidR="00ED4EBA" w:rsidRDefault="00ED4EBA" w:rsidP="005047FB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5"/>
          <w:szCs w:val="25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5"/>
          <w:szCs w:val="25"/>
          <w:lang w:val="es-CO"/>
        </w:rPr>
        <w:t>CARMEN CECILIA CORTÉS SÁNCHEZ</w:t>
      </w:r>
    </w:p>
    <w:p w14:paraId="3E287B3F" w14:textId="7DD09FA0" w:rsidR="00B9243D" w:rsidRDefault="00ED4EBA" w:rsidP="005047FB">
      <w:pPr>
        <w:jc w:val="both"/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5"/>
          <w:szCs w:val="25"/>
          <w:lang w:val="es-CO"/>
        </w:rPr>
        <w:t>Magistrada.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OldStyl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OldStyle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BA"/>
    <w:rsid w:val="00076A89"/>
    <w:rsid w:val="005047FB"/>
    <w:rsid w:val="005B13CB"/>
    <w:rsid w:val="00737460"/>
    <w:rsid w:val="0078049D"/>
    <w:rsid w:val="00B9243D"/>
    <w:rsid w:val="00DA03DC"/>
    <w:rsid w:val="00DD7B74"/>
    <w:rsid w:val="00ED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52CA"/>
  <w15:chartTrackingRefBased/>
  <w15:docId w15:val="{7A3CC77A-543D-447C-A5FD-984672A8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7B7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D7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amajudicial.gov.co/directorio-cuentas-de-correo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1940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5</cp:revision>
  <dcterms:created xsi:type="dcterms:W3CDTF">2023-11-23T22:03:00Z</dcterms:created>
  <dcterms:modified xsi:type="dcterms:W3CDTF">2023-11-23T22:14:00Z</dcterms:modified>
</cp:coreProperties>
</file>