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A59D" w14:textId="77777777" w:rsidR="00B86D73" w:rsidRDefault="00FA252C" w:rsidP="00FA252C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R.I. 16429 </w:t>
      </w:r>
    </w:p>
    <w:p w14:paraId="3C08CAB5" w14:textId="77777777" w:rsidR="00B86D73" w:rsidRDefault="00B86D73" w:rsidP="00FA252C">
      <w:pPr>
        <w:pStyle w:val="Default"/>
        <w:rPr>
          <w:b/>
          <w:bCs/>
          <w:sz w:val="18"/>
          <w:szCs w:val="18"/>
        </w:rPr>
      </w:pPr>
    </w:p>
    <w:p w14:paraId="4939C4CC" w14:textId="77777777" w:rsidR="00512101" w:rsidRDefault="00512101" w:rsidP="00FB5A1A">
      <w:pPr>
        <w:pStyle w:val="Default"/>
        <w:jc w:val="center"/>
        <w:rPr>
          <w:b/>
          <w:bCs/>
          <w:sz w:val="26"/>
          <w:szCs w:val="26"/>
        </w:rPr>
      </w:pPr>
    </w:p>
    <w:p w14:paraId="3B4C030D" w14:textId="54728A8A" w:rsidR="00B86D73" w:rsidRDefault="00FA252C" w:rsidP="00FB5A1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República de Colombia</w:t>
      </w:r>
    </w:p>
    <w:p w14:paraId="0914FAFE" w14:textId="24C12578" w:rsidR="00B86D73" w:rsidRDefault="00FA252C" w:rsidP="00FB5A1A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Rama Judicial del Poder Público</w:t>
      </w:r>
    </w:p>
    <w:p w14:paraId="779BCC2B" w14:textId="20C7319B" w:rsidR="00FA252C" w:rsidRDefault="00FA252C" w:rsidP="00FB5A1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TRIBUNAL SUPERIOR DEL DISTRITO JUDICIAL DE BOGOTÁ SALA CIVIL</w:t>
      </w:r>
    </w:p>
    <w:p w14:paraId="55B63B66" w14:textId="77777777" w:rsidR="00FB5A1A" w:rsidRDefault="00FB5A1A" w:rsidP="00FB5A1A">
      <w:pPr>
        <w:pStyle w:val="Default"/>
        <w:jc w:val="center"/>
        <w:rPr>
          <w:color w:val="auto"/>
          <w:sz w:val="26"/>
          <w:szCs w:val="26"/>
        </w:rPr>
      </w:pPr>
    </w:p>
    <w:p w14:paraId="3A48DE40" w14:textId="28A4CF6C" w:rsidR="00FA252C" w:rsidRDefault="00FA252C" w:rsidP="00FB5A1A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Bogotá D.C., veintiséis</w:t>
      </w:r>
      <w:r w:rsidR="00B86D7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(26) de</w:t>
      </w:r>
      <w:r w:rsidR="00B86D7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abril</w:t>
      </w:r>
      <w:r w:rsidR="00B86D7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de dos mil veinticuatro</w:t>
      </w:r>
      <w:r w:rsidR="00B86D73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(2024)</w:t>
      </w:r>
    </w:p>
    <w:p w14:paraId="7CF705C6" w14:textId="77777777" w:rsidR="00FB5A1A" w:rsidRDefault="00FB5A1A" w:rsidP="00FB5A1A">
      <w:pPr>
        <w:pStyle w:val="Default"/>
        <w:jc w:val="center"/>
        <w:rPr>
          <w:rFonts w:cstheme="minorBidi"/>
          <w:b/>
          <w:bCs/>
          <w:color w:val="auto"/>
          <w:sz w:val="26"/>
          <w:szCs w:val="26"/>
        </w:rPr>
      </w:pPr>
    </w:p>
    <w:p w14:paraId="5FCF983C" w14:textId="4B1197BD" w:rsidR="00B86D73" w:rsidRDefault="00FA252C" w:rsidP="00FB5A1A">
      <w:pPr>
        <w:pStyle w:val="Default"/>
        <w:jc w:val="center"/>
        <w:rPr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 xml:space="preserve">Rad. </w:t>
      </w:r>
      <w:r>
        <w:rPr>
          <w:color w:val="auto"/>
          <w:sz w:val="26"/>
          <w:szCs w:val="26"/>
        </w:rPr>
        <w:t>11001-31-03-047-2021-00006-01</w:t>
      </w:r>
    </w:p>
    <w:p w14:paraId="40165E63" w14:textId="7AE93628" w:rsidR="00FA252C" w:rsidRDefault="00FA252C" w:rsidP="00FA252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</w:p>
    <w:p w14:paraId="047F6CF8" w14:textId="77777777" w:rsidR="00FB5A1A" w:rsidRDefault="00FB5A1A" w:rsidP="00FA252C">
      <w:pPr>
        <w:pStyle w:val="Default"/>
        <w:rPr>
          <w:color w:val="auto"/>
          <w:sz w:val="26"/>
          <w:szCs w:val="26"/>
        </w:rPr>
      </w:pPr>
    </w:p>
    <w:p w14:paraId="0FD8FE9B" w14:textId="77777777" w:rsidR="00FB5A1A" w:rsidRDefault="00FB5A1A" w:rsidP="00FA252C">
      <w:pPr>
        <w:pStyle w:val="Default"/>
        <w:rPr>
          <w:color w:val="auto"/>
          <w:sz w:val="26"/>
          <w:szCs w:val="26"/>
        </w:rPr>
      </w:pPr>
    </w:p>
    <w:p w14:paraId="39F3C4DF" w14:textId="33B22642" w:rsidR="00FA252C" w:rsidRDefault="00FA252C" w:rsidP="00FB5A1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Revisadas las actuaciones en el expediente digital aportado,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en</w:t>
      </w:r>
      <w:r w:rsidR="0051210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atención a que mediante auto de 24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de noviembre de 2023 esta sede </w:t>
      </w:r>
    </w:p>
    <w:p w14:paraId="37412705" w14:textId="0EEB4359" w:rsidR="00FA252C" w:rsidRDefault="00FA252C" w:rsidP="00FB5A1A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judicial admitió el recurso de alzada impetrado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por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la parte demandante contra sentencia proferida el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13 de febrero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de 2023 por el Juzgado Cuarenta y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Siete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Civil del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Circuito de esta ciudad,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pero no otorgó el termino al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recurrente para sustentar sus reparos de alzada, </w:t>
      </w:r>
    </w:p>
    <w:p w14:paraId="056C58FD" w14:textId="72836B25" w:rsidR="00FA252C" w:rsidRDefault="00FA252C" w:rsidP="00FA252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el Tribunal, </w:t>
      </w:r>
    </w:p>
    <w:p w14:paraId="74DA774F" w14:textId="77777777" w:rsidR="00FB5A1A" w:rsidRDefault="00FB5A1A" w:rsidP="00FA252C">
      <w:pPr>
        <w:pStyle w:val="Default"/>
        <w:rPr>
          <w:rFonts w:cstheme="minorBidi"/>
          <w:b/>
          <w:bCs/>
          <w:color w:val="auto"/>
          <w:sz w:val="26"/>
          <w:szCs w:val="26"/>
        </w:rPr>
      </w:pPr>
    </w:p>
    <w:p w14:paraId="289E8D25" w14:textId="36B26506" w:rsidR="00FA252C" w:rsidRDefault="00FA252C" w:rsidP="00FA252C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 xml:space="preserve">DISPONE: </w:t>
      </w:r>
    </w:p>
    <w:p w14:paraId="759DB9C3" w14:textId="77777777" w:rsidR="00FB5A1A" w:rsidRDefault="00FB5A1A" w:rsidP="00FA252C">
      <w:pPr>
        <w:pStyle w:val="Default"/>
        <w:rPr>
          <w:rFonts w:cstheme="minorBidi"/>
          <w:b/>
          <w:bCs/>
          <w:color w:val="auto"/>
          <w:sz w:val="26"/>
          <w:szCs w:val="26"/>
        </w:rPr>
      </w:pPr>
    </w:p>
    <w:p w14:paraId="5BD7D26F" w14:textId="6B8D0A60" w:rsidR="00FA252C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>PRIMERO:</w:t>
      </w:r>
      <w:r w:rsidR="00FB5A1A">
        <w:rPr>
          <w:rFonts w:cstheme="minorBidi"/>
          <w:b/>
          <w:b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De conformidad con el inciso 3° del artículo 12</w:t>
      </w:r>
      <w:r w:rsidR="00FB5A1A">
        <w:rPr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>ibidem</w:t>
      </w:r>
      <w:r>
        <w:rPr>
          <w:color w:val="auto"/>
          <w:sz w:val="26"/>
          <w:szCs w:val="26"/>
        </w:rPr>
        <w:t>, se corre traslado por el término de cinco (5) días al</w:t>
      </w:r>
      <w:r w:rsidR="00FB5A1A">
        <w:rPr>
          <w:color w:val="auto"/>
          <w:sz w:val="26"/>
          <w:szCs w:val="26"/>
        </w:rPr>
        <w:t xml:space="preserve"> a</w:t>
      </w:r>
      <w:r>
        <w:rPr>
          <w:color w:val="auto"/>
          <w:sz w:val="26"/>
          <w:szCs w:val="26"/>
        </w:rPr>
        <w:t>pelante para que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sustente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los reparos que, de manera concreta formuló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contra la</w:t>
      </w:r>
      <w:r w:rsidR="00FB5A1A">
        <w:rPr>
          <w:color w:val="auto"/>
          <w:sz w:val="26"/>
          <w:szCs w:val="26"/>
        </w:rPr>
        <w:t xml:space="preserve"> s</w:t>
      </w:r>
      <w:r>
        <w:rPr>
          <w:color w:val="auto"/>
          <w:sz w:val="26"/>
          <w:szCs w:val="26"/>
        </w:rPr>
        <w:t>entencia del</w:t>
      </w:r>
      <w:r w:rsidR="00FB5A1A">
        <w:rPr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 xml:space="preserve">A </w:t>
      </w:r>
      <w:proofErr w:type="gramStart"/>
      <w:r>
        <w:rPr>
          <w:i/>
          <w:iCs/>
          <w:color w:val="auto"/>
          <w:sz w:val="26"/>
          <w:szCs w:val="26"/>
        </w:rPr>
        <w:t>quo</w:t>
      </w:r>
      <w:r w:rsidR="00FB5A1A">
        <w:rPr>
          <w:i/>
          <w:iCs/>
          <w:color w:val="auto"/>
          <w:sz w:val="26"/>
          <w:szCs w:val="26"/>
        </w:rPr>
        <w:t xml:space="preserve">,  </w:t>
      </w:r>
      <w:r>
        <w:rPr>
          <w:color w:val="auto"/>
          <w:sz w:val="26"/>
          <w:szCs w:val="26"/>
        </w:rPr>
        <w:t>so</w:t>
      </w:r>
      <w:proofErr w:type="gramEnd"/>
      <w:r>
        <w:rPr>
          <w:color w:val="auto"/>
          <w:sz w:val="26"/>
          <w:szCs w:val="26"/>
        </w:rPr>
        <w:t xml:space="preserve"> pena de declararse desierto el recurso. Una vez presentado el escrito,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córrase traslado al extremo contrario por el término antes indicado. </w:t>
      </w:r>
    </w:p>
    <w:p w14:paraId="0B8910D0" w14:textId="77777777" w:rsidR="00FB5A1A" w:rsidRDefault="00FB5A1A" w:rsidP="00512101">
      <w:pPr>
        <w:pStyle w:val="Default"/>
        <w:jc w:val="both"/>
        <w:rPr>
          <w:color w:val="auto"/>
          <w:sz w:val="26"/>
          <w:szCs w:val="26"/>
        </w:rPr>
      </w:pPr>
    </w:p>
    <w:p w14:paraId="30AF3F11" w14:textId="31E39B41" w:rsidR="00FA252C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>SEGUNDO:</w:t>
      </w:r>
      <w:r w:rsidR="00FB5A1A">
        <w:rPr>
          <w:rFonts w:cstheme="minorBidi"/>
          <w:b/>
          <w:b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Si bien es cierto la suscrita Magistrada en otros asuntos </w:t>
      </w:r>
    </w:p>
    <w:p w14:paraId="2FC1268A" w14:textId="216CF24D" w:rsidR="00FA252C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de idénticas circunstancias fácticas, venía sosteniendo la tesis de aceptar los reparos que se hicieran ante el juez de primer grado, para omitir la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carga de sustentar la alzada frente el juzgador </w:t>
      </w:r>
      <w:r>
        <w:rPr>
          <w:i/>
          <w:iCs/>
          <w:color w:val="auto"/>
          <w:sz w:val="26"/>
          <w:szCs w:val="26"/>
        </w:rPr>
        <w:t>ad</w:t>
      </w:r>
      <w:r w:rsidR="00FB5A1A">
        <w:rPr>
          <w:i/>
          <w:iCs/>
          <w:color w:val="auto"/>
          <w:sz w:val="26"/>
          <w:szCs w:val="26"/>
        </w:rPr>
        <w:t xml:space="preserve"> - </w:t>
      </w:r>
      <w:proofErr w:type="spellStart"/>
      <w:r w:rsidR="00FB5A1A">
        <w:rPr>
          <w:i/>
          <w:iCs/>
          <w:color w:val="auto"/>
          <w:sz w:val="26"/>
          <w:szCs w:val="26"/>
        </w:rPr>
        <w:t>q</w:t>
      </w:r>
      <w:r>
        <w:rPr>
          <w:i/>
          <w:iCs/>
          <w:color w:val="auto"/>
          <w:sz w:val="26"/>
          <w:szCs w:val="26"/>
        </w:rPr>
        <w:t>uem</w:t>
      </w:r>
      <w:proofErr w:type="spellEnd"/>
      <w:r>
        <w:rPr>
          <w:color w:val="auto"/>
          <w:sz w:val="26"/>
          <w:szCs w:val="26"/>
        </w:rPr>
        <w:t>, es evidente que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una de las modificaciones que al régimen de las impugnaciones en materia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civil implementó el Código General del Proceso y que, de paso, acabó con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discusiones en torno a la instancia en la cual el apelante debía defender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sus embates, fue justamente la contenida en su artículo 322, al disponer el cumplimiento de dos cargas bien diferenciadas. </w:t>
      </w:r>
    </w:p>
    <w:p w14:paraId="1874BEDA" w14:textId="77777777" w:rsidR="00FB5A1A" w:rsidRDefault="00FB5A1A" w:rsidP="00512101">
      <w:pPr>
        <w:pStyle w:val="Default"/>
        <w:jc w:val="both"/>
        <w:rPr>
          <w:color w:val="auto"/>
          <w:sz w:val="26"/>
          <w:szCs w:val="26"/>
        </w:rPr>
      </w:pPr>
    </w:p>
    <w:p w14:paraId="1A50E4C7" w14:textId="6D4BB83B" w:rsidR="00FA252C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La</w:t>
      </w:r>
      <w:r w:rsidR="00FB5A1A">
        <w:rPr>
          <w:color w:val="auto"/>
          <w:sz w:val="26"/>
          <w:szCs w:val="26"/>
        </w:rPr>
        <w:t xml:space="preserve"> </w:t>
      </w:r>
      <w:r>
        <w:rPr>
          <w:rFonts w:cstheme="minorBidi"/>
          <w:b/>
          <w:bCs/>
          <w:color w:val="auto"/>
          <w:sz w:val="26"/>
          <w:szCs w:val="26"/>
        </w:rPr>
        <w:t>primera</w:t>
      </w:r>
      <w:r>
        <w:rPr>
          <w:color w:val="auto"/>
          <w:sz w:val="26"/>
          <w:szCs w:val="26"/>
        </w:rPr>
        <w:t xml:space="preserve">, que al interponer el recurso el impugnante exprese ante </w:t>
      </w:r>
    </w:p>
    <w:p w14:paraId="55C070F8" w14:textId="4D56E2C3" w:rsidR="00FB5A1A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el juzgado de conocimiento “</w:t>
      </w:r>
      <w:r>
        <w:rPr>
          <w:i/>
          <w:iCs/>
          <w:color w:val="auto"/>
          <w:sz w:val="26"/>
          <w:szCs w:val="26"/>
        </w:rPr>
        <w:t xml:space="preserve">los reparos </w:t>
      </w:r>
      <w:proofErr w:type="gramStart"/>
      <w:r>
        <w:rPr>
          <w:i/>
          <w:iCs/>
          <w:color w:val="auto"/>
          <w:sz w:val="26"/>
          <w:szCs w:val="26"/>
        </w:rPr>
        <w:t>concretos</w:t>
      </w:r>
      <w:r w:rsidR="00FB5A1A">
        <w:rPr>
          <w:i/>
          <w:iCs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 sobre</w:t>
      </w:r>
      <w:proofErr w:type="gramEnd"/>
      <w:r>
        <w:rPr>
          <w:color w:val="auto"/>
          <w:sz w:val="26"/>
          <w:szCs w:val="26"/>
        </w:rPr>
        <w:t xml:space="preserve"> los cuales versará la sustentación, la cual podrá cumplirse inmediatamente si la decisión se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toma en audiencia o dentro de los tres (3) días siguientes a su realización,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ora a la notificación de la que se hubiera dictado por fuera de esta. La</w:t>
      </w:r>
      <w:r w:rsidR="00FB5A1A">
        <w:rPr>
          <w:color w:val="auto"/>
          <w:sz w:val="26"/>
          <w:szCs w:val="26"/>
        </w:rPr>
        <w:t xml:space="preserve"> </w:t>
      </w:r>
      <w:r>
        <w:rPr>
          <w:rFonts w:cstheme="minorBidi"/>
          <w:b/>
          <w:bCs/>
          <w:color w:val="auto"/>
          <w:sz w:val="26"/>
          <w:szCs w:val="26"/>
        </w:rPr>
        <w:t>segunda</w:t>
      </w:r>
      <w:r>
        <w:rPr>
          <w:color w:val="auto"/>
          <w:sz w:val="26"/>
          <w:szCs w:val="26"/>
        </w:rPr>
        <w:t>, que es la nos ocupa, la de acudir ante el juez de segundo grado a realizar la sustentación, so pena de acarrear la sanción del inciso tercero,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numeral tres, esto es, “</w:t>
      </w:r>
      <w:r>
        <w:rPr>
          <w:i/>
          <w:iCs/>
          <w:color w:val="auto"/>
          <w:sz w:val="23"/>
          <w:szCs w:val="23"/>
        </w:rPr>
        <w:t>El juez de segunda instancia declarará desierto el recurso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de apelación contra una sentencia que no hubiere sido </w:t>
      </w:r>
      <w:proofErr w:type="gramStart"/>
      <w:r>
        <w:rPr>
          <w:i/>
          <w:iCs/>
          <w:color w:val="auto"/>
          <w:sz w:val="23"/>
          <w:szCs w:val="23"/>
        </w:rPr>
        <w:t>sustentado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color w:val="auto"/>
          <w:sz w:val="26"/>
          <w:szCs w:val="26"/>
        </w:rPr>
        <w:t>”</w:t>
      </w:r>
      <w:proofErr w:type="gramEnd"/>
      <w:r>
        <w:rPr>
          <w:color w:val="auto"/>
          <w:sz w:val="26"/>
          <w:szCs w:val="26"/>
        </w:rPr>
        <w:t>.</w:t>
      </w:r>
    </w:p>
    <w:p w14:paraId="2B25872A" w14:textId="5A5DA644" w:rsidR="00FA252C" w:rsidRDefault="00FA252C" w:rsidP="00FA252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</w:p>
    <w:p w14:paraId="2E229FE5" w14:textId="33397771" w:rsidR="00FA252C" w:rsidRDefault="00FA252C" w:rsidP="0051210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6"/>
          <w:szCs w:val="26"/>
        </w:rPr>
        <w:t>Incluso, esa dualidad de actuaciones no fue objeto de modificación</w:t>
      </w:r>
      <w:r w:rsidR="0051210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con la Ley 2213 de 2022, pues ésta, en orden al recurso de apelación en materia civil y de familia, dispuso en su artículo 12 que “</w:t>
      </w:r>
      <w:r>
        <w:rPr>
          <w:i/>
          <w:iCs/>
          <w:color w:val="auto"/>
          <w:sz w:val="23"/>
          <w:szCs w:val="23"/>
        </w:rPr>
        <w:t>Ejecutoriado el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auto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que admite el recurso o el que niega la solicitud de pruebas, el apelante deberá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sustentar el recurso a más tardar dentro de los cinco (5) días siguientes. De la sustentación se correrá traslado a la parte contraria por el término de cinco (5)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días. Vencido el término de traslado se proferirá sentencia escrita que se notificará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 xml:space="preserve">por estado. </w:t>
      </w:r>
    </w:p>
    <w:p w14:paraId="1282A387" w14:textId="77777777" w:rsidR="00FB5A1A" w:rsidRDefault="00FB5A1A" w:rsidP="00512101">
      <w:pPr>
        <w:pStyle w:val="Default"/>
        <w:jc w:val="both"/>
        <w:rPr>
          <w:b/>
          <w:bCs/>
          <w:i/>
          <w:iCs/>
          <w:color w:val="auto"/>
          <w:sz w:val="23"/>
          <w:szCs w:val="23"/>
        </w:rPr>
      </w:pPr>
    </w:p>
    <w:p w14:paraId="797087C0" w14:textId="77777777" w:rsidR="00FB5A1A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b/>
          <w:bCs/>
          <w:i/>
          <w:iCs/>
          <w:color w:val="auto"/>
          <w:sz w:val="23"/>
          <w:szCs w:val="23"/>
        </w:rPr>
        <w:t>Si no se sustenta oportunamente el recurso, se declarará desierto</w:t>
      </w:r>
      <w:r>
        <w:rPr>
          <w:color w:val="auto"/>
          <w:sz w:val="26"/>
          <w:szCs w:val="26"/>
        </w:rPr>
        <w:t>”.</w:t>
      </w:r>
    </w:p>
    <w:p w14:paraId="02AB043C" w14:textId="4E0037FB" w:rsidR="00FA252C" w:rsidRDefault="00FA252C" w:rsidP="00FA252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</w:p>
    <w:p w14:paraId="0189D3D2" w14:textId="7EFCA334" w:rsidR="00FA252C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Sobra precisar, que el tópico venido de anunciar no ha sido pacifico</w:t>
      </w:r>
      <w:r w:rsidR="0051210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en la Corte Suprema de Justicia, pero la Sala Laboral, ya tiene</w:t>
      </w:r>
      <w:r w:rsidR="0051210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definido: </w:t>
      </w:r>
    </w:p>
    <w:p w14:paraId="4F8A75E0" w14:textId="77777777" w:rsidR="00FB5A1A" w:rsidRDefault="00FB5A1A" w:rsidP="00512101">
      <w:pPr>
        <w:pStyle w:val="Default"/>
        <w:jc w:val="both"/>
        <w:rPr>
          <w:color w:val="auto"/>
          <w:sz w:val="26"/>
          <w:szCs w:val="26"/>
        </w:rPr>
      </w:pPr>
    </w:p>
    <w:p w14:paraId="4524A57B" w14:textId="0D5D9911" w:rsidR="00FA252C" w:rsidRDefault="00FA252C" w:rsidP="00512101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6"/>
          <w:szCs w:val="26"/>
        </w:rPr>
        <w:t>“</w:t>
      </w:r>
      <w:r w:rsidR="00FB5A1A">
        <w:rPr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6"/>
          <w:szCs w:val="26"/>
        </w:rPr>
        <w:t>(...)</w:t>
      </w:r>
      <w:proofErr w:type="gramEnd"/>
      <w:r w:rsidR="00FB5A1A">
        <w:rPr>
          <w:i/>
          <w:iCs/>
          <w:color w:val="auto"/>
          <w:sz w:val="26"/>
          <w:szCs w:val="26"/>
        </w:rPr>
        <w:t xml:space="preserve"> </w:t>
      </w:r>
      <w:r>
        <w:rPr>
          <w:i/>
          <w:iCs/>
          <w:color w:val="auto"/>
          <w:sz w:val="23"/>
          <w:szCs w:val="23"/>
        </w:rPr>
        <w:t>al realizar un nuevo estudio del artículo 322 del Código General del</w:t>
      </w:r>
      <w:r w:rsidR="00512101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Proceso,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considera que en efecto la consecuencia de la no sustentación del recurso de apelación en segunda instancia, al margen de que los reparos</w:t>
      </w:r>
      <w:r w:rsidR="00FB5A1A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concretos se hubieren presentado en la audiencia y la</w:t>
      </w:r>
      <w:r w:rsidR="00FB5A1A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sustentación se</w:t>
      </w:r>
      <w:r w:rsidR="00FB5A1A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haya hecho por escrito ante el juez singular, es la declaratoria de desierto</w:t>
      </w:r>
      <w:r w:rsidR="00FB5A1A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de la alzada</w:t>
      </w:r>
      <w:r>
        <w:rPr>
          <w:i/>
          <w:iCs/>
          <w:color w:val="auto"/>
          <w:sz w:val="23"/>
          <w:szCs w:val="23"/>
        </w:rPr>
        <w:t xml:space="preserve">, pues así lo dejó consagrado el legislador cuando dijo en la referida norma: </w:t>
      </w:r>
    </w:p>
    <w:p w14:paraId="68039EDF" w14:textId="77777777" w:rsidR="00FB5A1A" w:rsidRDefault="00FB5A1A" w:rsidP="00512101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14:paraId="17AFB6C2" w14:textId="47521745" w:rsidR="00FA252C" w:rsidRDefault="00FA252C" w:rsidP="00512101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“Cuando se apele una sentencia, el apelante, al momento de interponer el recurso en la audiencia, si hubiere sido proferida en ella, o dentro de los tres (3) día</w:t>
      </w:r>
      <w:r w:rsidR="00FB5A1A">
        <w:rPr>
          <w:i/>
          <w:iCs/>
          <w:color w:val="auto"/>
          <w:sz w:val="23"/>
          <w:szCs w:val="23"/>
        </w:rPr>
        <w:t xml:space="preserve">s </w:t>
      </w:r>
      <w:r>
        <w:rPr>
          <w:i/>
          <w:iCs/>
          <w:color w:val="auto"/>
          <w:sz w:val="23"/>
          <w:szCs w:val="23"/>
        </w:rPr>
        <w:t>siguientes a su finalización o a la notificación de la que hubiere sido dictada por fuera de audiencia, deberá precisar, de manera breve, los reparos concretos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que le hace a la decisión, sobre los cuales versará la sustentación que hará ante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el superior</w:t>
      </w:r>
      <w:proofErr w:type="gramStart"/>
      <w:r>
        <w:rPr>
          <w:i/>
          <w:iCs/>
          <w:color w:val="auto"/>
          <w:sz w:val="23"/>
          <w:szCs w:val="23"/>
        </w:rPr>
        <w:t>”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.</w:t>
      </w:r>
      <w:proofErr w:type="gramEnd"/>
      <w:r>
        <w:rPr>
          <w:i/>
          <w:iCs/>
          <w:color w:val="auto"/>
          <w:sz w:val="23"/>
          <w:szCs w:val="23"/>
        </w:rPr>
        <w:t xml:space="preserve"> (subrayas para resaltar). </w:t>
      </w:r>
    </w:p>
    <w:p w14:paraId="65791764" w14:textId="77777777" w:rsidR="00FB5A1A" w:rsidRDefault="00FB5A1A" w:rsidP="00512101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14:paraId="4B02FF27" w14:textId="2E895470" w:rsidR="00FA252C" w:rsidRDefault="00FA252C" w:rsidP="00512101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(...) </w:t>
      </w:r>
    </w:p>
    <w:p w14:paraId="518EE9F5" w14:textId="77777777" w:rsidR="00FB5A1A" w:rsidRDefault="00FB5A1A" w:rsidP="00512101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14:paraId="4D034A5E" w14:textId="718334D6" w:rsidR="00FA252C" w:rsidRDefault="00FA252C" w:rsidP="00512101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Además, no puede pasar desapercibido que el artículo 12 de la Ley 2213 de </w:t>
      </w:r>
    </w:p>
    <w:p w14:paraId="62BF5F82" w14:textId="19B79B9D" w:rsidR="00FA252C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i/>
          <w:iCs/>
          <w:color w:val="auto"/>
          <w:sz w:val="23"/>
          <w:szCs w:val="23"/>
        </w:rPr>
        <w:t>2022</w:t>
      </w:r>
      <w:r w:rsidR="00FB5A1A">
        <w:rPr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ratificó que «si no se sustenta oportunamente el recurso, se declarará</w:t>
      </w:r>
      <w:r w:rsidR="00FB5A1A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>desierto</w:t>
      </w:r>
      <w:r>
        <w:rPr>
          <w:color w:val="auto"/>
          <w:sz w:val="26"/>
          <w:szCs w:val="26"/>
        </w:rPr>
        <w:t xml:space="preserve">”. (Negrillas fuera del texto) </w:t>
      </w:r>
    </w:p>
    <w:p w14:paraId="3DE17CB7" w14:textId="77777777" w:rsidR="00FB5A1A" w:rsidRDefault="00FB5A1A" w:rsidP="00512101">
      <w:pPr>
        <w:pStyle w:val="Default"/>
        <w:jc w:val="both"/>
        <w:rPr>
          <w:color w:val="auto"/>
          <w:sz w:val="26"/>
          <w:szCs w:val="26"/>
        </w:rPr>
      </w:pPr>
    </w:p>
    <w:p w14:paraId="06E518E1" w14:textId="5E4482B7" w:rsidR="00FB5A1A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Así que, si la ley en comento, norma de índole procesal de imperioso</w:t>
      </w:r>
      <w:r w:rsidR="0051210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cumplimiento, impone, en forma clara la sustentación de la alzada ante la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segunda instancia, en la oportunidad señalada debe cumplirse tal precepto</w:t>
      </w:r>
      <w:r w:rsidR="00FB5A1A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so pena de rechazo como se ha reiterado.</w:t>
      </w:r>
    </w:p>
    <w:p w14:paraId="0F728797" w14:textId="34BE62E7" w:rsidR="00FA252C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</w:p>
    <w:p w14:paraId="1F7C34D8" w14:textId="342A3BD8" w:rsidR="00FA252C" w:rsidRDefault="00FA252C" w:rsidP="00512101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Cumplido lo anterior ingrese las diligencias al Despacho para</w:t>
      </w:r>
      <w:r w:rsidR="0051210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continuar con el trámite correspondiente. </w:t>
      </w:r>
    </w:p>
    <w:p w14:paraId="2A6CC823" w14:textId="77777777" w:rsidR="00FB5A1A" w:rsidRDefault="00FB5A1A" w:rsidP="00FA252C">
      <w:pPr>
        <w:pStyle w:val="Default"/>
        <w:rPr>
          <w:color w:val="auto"/>
          <w:sz w:val="26"/>
          <w:szCs w:val="26"/>
        </w:rPr>
      </w:pPr>
    </w:p>
    <w:p w14:paraId="7B03FB56" w14:textId="62BDE7A6" w:rsidR="00FA252C" w:rsidRDefault="00FA252C" w:rsidP="00FA252C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Notifíquese, </w:t>
      </w:r>
    </w:p>
    <w:p w14:paraId="751CB2DD" w14:textId="77777777" w:rsidR="00FB5A1A" w:rsidRDefault="00FB5A1A" w:rsidP="00FA252C">
      <w:pPr>
        <w:pStyle w:val="Default"/>
        <w:rPr>
          <w:i/>
          <w:iCs/>
          <w:color w:val="auto"/>
          <w:sz w:val="26"/>
          <w:szCs w:val="26"/>
        </w:rPr>
      </w:pPr>
    </w:p>
    <w:p w14:paraId="62CE0D46" w14:textId="2A46B1B8" w:rsidR="00FA252C" w:rsidRDefault="00FA252C" w:rsidP="00FA252C">
      <w:pPr>
        <w:pStyle w:val="Default"/>
        <w:rPr>
          <w:color w:val="auto"/>
          <w:sz w:val="26"/>
          <w:szCs w:val="26"/>
        </w:rPr>
      </w:pPr>
      <w:r>
        <w:rPr>
          <w:i/>
          <w:iCs/>
          <w:color w:val="auto"/>
          <w:sz w:val="26"/>
          <w:szCs w:val="26"/>
        </w:rPr>
        <w:t xml:space="preserve">(firma electrónica) </w:t>
      </w:r>
    </w:p>
    <w:p w14:paraId="15E01A2A" w14:textId="1DF824DD" w:rsidR="00FA252C" w:rsidRDefault="00FA252C" w:rsidP="00FA252C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 xml:space="preserve">STELLA MARÍA AYAZO PERNETH </w:t>
      </w:r>
    </w:p>
    <w:p w14:paraId="515867AB" w14:textId="77777777" w:rsidR="00FA252C" w:rsidRDefault="00FA252C" w:rsidP="00FA252C">
      <w:pPr>
        <w:pStyle w:val="Default"/>
        <w:rPr>
          <w:rFonts w:cstheme="minorBidi"/>
          <w:color w:val="auto"/>
          <w:sz w:val="26"/>
          <w:szCs w:val="26"/>
        </w:rPr>
      </w:pPr>
      <w:r>
        <w:rPr>
          <w:rFonts w:cstheme="minorBidi"/>
          <w:b/>
          <w:bCs/>
          <w:color w:val="auto"/>
          <w:sz w:val="26"/>
          <w:szCs w:val="26"/>
        </w:rPr>
        <w:t xml:space="preserve">Magistrada </w:t>
      </w:r>
    </w:p>
    <w:p w14:paraId="478DDD9E" w14:textId="6906AC03" w:rsidR="00FA252C" w:rsidRDefault="00FA252C" w:rsidP="00FA252C">
      <w:pPr>
        <w:pStyle w:val="Default"/>
        <w:rPr>
          <w:color w:val="auto"/>
          <w:sz w:val="13"/>
          <w:szCs w:val="13"/>
        </w:rPr>
      </w:pPr>
      <w:r>
        <w:rPr>
          <w:color w:val="auto"/>
          <w:sz w:val="13"/>
          <w:szCs w:val="13"/>
        </w:rPr>
        <w:t xml:space="preserve"> </w:t>
      </w:r>
    </w:p>
    <w:p w14:paraId="23ECF170" w14:textId="77777777" w:rsidR="00FB5A1A" w:rsidRDefault="00FB5A1A" w:rsidP="00FA252C">
      <w:pPr>
        <w:pStyle w:val="Default"/>
        <w:rPr>
          <w:color w:val="auto"/>
          <w:sz w:val="20"/>
          <w:szCs w:val="20"/>
        </w:rPr>
      </w:pPr>
    </w:p>
    <w:p w14:paraId="4278C35F" w14:textId="77777777" w:rsidR="00FA252C" w:rsidRDefault="00FA252C" w:rsidP="00FA252C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Firmado Por: </w:t>
      </w:r>
    </w:p>
    <w:p w14:paraId="2DEBF7EB" w14:textId="77777777" w:rsidR="00FA252C" w:rsidRDefault="00FA252C" w:rsidP="00FA252C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Stella Maria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Ayazo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auto"/>
          <w:sz w:val="16"/>
          <w:szCs w:val="16"/>
        </w:rPr>
        <w:t>Perneth</w:t>
      </w:r>
      <w:proofErr w:type="spellEnd"/>
      <w:r>
        <w:rPr>
          <w:rFonts w:ascii="Arial" w:hAnsi="Arial" w:cs="Arial"/>
          <w:color w:val="auto"/>
          <w:sz w:val="16"/>
          <w:szCs w:val="16"/>
        </w:rPr>
        <w:t xml:space="preserve"> </w:t>
      </w:r>
    </w:p>
    <w:p w14:paraId="5092B522" w14:textId="77777777" w:rsidR="00FA252C" w:rsidRDefault="00FA252C" w:rsidP="00FA252C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Magistrada </w:t>
      </w:r>
    </w:p>
    <w:p w14:paraId="273BAD20" w14:textId="77777777" w:rsidR="00FA252C" w:rsidRDefault="00FA252C" w:rsidP="00FA252C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Sala 04 Civil Tribunal Superior De Bogotá, D.C. - Bogotá D.C., </w:t>
      </w:r>
    </w:p>
    <w:p w14:paraId="376D5AF3" w14:textId="77777777" w:rsidR="00FA252C" w:rsidRDefault="00FA252C" w:rsidP="00FA252C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7946EA33" w14:textId="77777777" w:rsidR="00FA252C" w:rsidRDefault="00FA252C" w:rsidP="00FA252C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</w:t>
      </w:r>
    </w:p>
    <w:p w14:paraId="3093A322" w14:textId="77777777" w:rsidR="00FA252C" w:rsidRDefault="00FA252C" w:rsidP="00FA252C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Código de verificación: </w:t>
      </w:r>
    </w:p>
    <w:p w14:paraId="2AE62BE4" w14:textId="77777777" w:rsidR="00FA252C" w:rsidRDefault="00FA252C" w:rsidP="00FA252C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68468f936f9e4ad4370182bac8f91d13b841722afe554ed823b78408ded7c79f </w:t>
      </w:r>
    </w:p>
    <w:p w14:paraId="5B2E89D1" w14:textId="77777777" w:rsidR="00FA252C" w:rsidRDefault="00FA252C" w:rsidP="00FA252C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26/04/2024 12:43:16 PM </w:t>
      </w:r>
    </w:p>
    <w:p w14:paraId="2369F56A" w14:textId="77777777" w:rsidR="00FA252C" w:rsidRDefault="00FA252C" w:rsidP="00FA252C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7B2FE74C" w14:textId="32F898DC" w:rsidR="00B9243D" w:rsidRDefault="00FA252C" w:rsidP="00FA252C">
      <w:pPr>
        <w:jc w:val="both"/>
      </w:pPr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2C"/>
    <w:rsid w:val="00512101"/>
    <w:rsid w:val="00737460"/>
    <w:rsid w:val="00B86D73"/>
    <w:rsid w:val="00B9243D"/>
    <w:rsid w:val="00DA03DC"/>
    <w:rsid w:val="00FA252C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A7FA"/>
  <w15:chartTrackingRefBased/>
  <w15:docId w15:val="{F886DF07-A6D6-4999-918A-55820B7C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252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4</cp:revision>
  <dcterms:created xsi:type="dcterms:W3CDTF">2024-04-29T22:37:00Z</dcterms:created>
  <dcterms:modified xsi:type="dcterms:W3CDTF">2024-04-29T22:47:00Z</dcterms:modified>
</cp:coreProperties>
</file>