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2E64F" w14:textId="3ECFC324" w:rsidR="00237528" w:rsidRPr="008668AE" w:rsidRDefault="00237528" w:rsidP="00237528">
      <w:pPr>
        <w:jc w:val="both"/>
      </w:pPr>
      <w:r w:rsidRPr="008668AE">
        <w:t xml:space="preserve">Estimados, el día </w:t>
      </w:r>
      <w:r w:rsidR="000B2213">
        <w:t>19 de marzo</w:t>
      </w:r>
      <w:r w:rsidR="00D127E8" w:rsidRPr="008668AE">
        <w:t xml:space="preserve"> de 2025</w:t>
      </w:r>
      <w:r w:rsidRPr="008668AE">
        <w:t xml:space="preserve">, se radicó contestación en nombre de la </w:t>
      </w:r>
      <w:r w:rsidR="00D127E8" w:rsidRPr="008668AE">
        <w:t>CONFIANZA</w:t>
      </w:r>
      <w:r w:rsidRPr="008668AE">
        <w:t xml:space="preserve">, en el proceso identificado con consecutivo </w:t>
      </w:r>
      <w:r w:rsidR="002C2FC1" w:rsidRPr="008668AE">
        <w:t>20</w:t>
      </w:r>
      <w:r w:rsidR="00D127E8" w:rsidRPr="008668AE">
        <w:t>2</w:t>
      </w:r>
      <w:r w:rsidR="000B2213">
        <w:t>3</w:t>
      </w:r>
      <w:r w:rsidR="00D127E8" w:rsidRPr="008668AE">
        <w:t>-</w:t>
      </w:r>
      <w:r w:rsidR="002C2FC1" w:rsidRPr="008668AE">
        <w:t>00</w:t>
      </w:r>
      <w:r w:rsidR="00D127E8" w:rsidRPr="008668AE">
        <w:t>04</w:t>
      </w:r>
      <w:r w:rsidR="000B2213">
        <w:t>3</w:t>
      </w:r>
      <w:r w:rsidRPr="008668AE">
        <w:t xml:space="preserve">. Se presenta informe del escrito y se adjunta pdf contentivo de la contestación, sus anexos, la constancia de traslado a las otras partes, y la constancia de radicación en la ventanilla virtual de SAMAI. </w:t>
      </w:r>
    </w:p>
    <w:p w14:paraId="66BD3C3A" w14:textId="6967A887" w:rsidR="00237528" w:rsidRPr="008668AE" w:rsidRDefault="00237528" w:rsidP="00237528">
      <w:pPr>
        <w:jc w:val="both"/>
        <w:rPr>
          <w:b/>
          <w:bCs/>
        </w:rPr>
      </w:pPr>
      <w:r w:rsidRPr="008668AE">
        <w:rPr>
          <w:b/>
          <w:bCs/>
        </w:rPr>
        <w:t xml:space="preserve">Resumen de los hechos. </w:t>
      </w:r>
    </w:p>
    <w:p w14:paraId="43FBD32E" w14:textId="3D177006" w:rsidR="00237528" w:rsidRPr="008668AE" w:rsidRDefault="00D127E8" w:rsidP="00237528">
      <w:pPr>
        <w:jc w:val="both"/>
      </w:pPr>
      <w:r w:rsidRPr="008668AE">
        <w:t xml:space="preserve">De conformidad con los hechos de la demanda, </w:t>
      </w:r>
      <w:r w:rsidR="000B2213">
        <w:t>el señor CAMILO ANDRÉS RENDÓN ÁLVAREZ</w:t>
      </w:r>
      <w:r w:rsidRPr="008668AE">
        <w:t>,</w:t>
      </w:r>
      <w:r w:rsidR="009E750C">
        <w:t xml:space="preserve"> </w:t>
      </w:r>
      <w:r w:rsidR="00D00398">
        <w:t>estuvo vinculado con la FUNDACIÓN PASCUAL BRAVO, durante su vinculación, prestó servicios para el DISTRITO ESPECIAL DE MEDELLÍN</w:t>
      </w:r>
      <w:r w:rsidRPr="008668AE">
        <w:t>. A juicio de la parte demandante, durante su vinculación, se configuró la figura del contrato realidad</w:t>
      </w:r>
      <w:r w:rsidR="00D00398">
        <w:t xml:space="preserve"> respecto al DISTRITO ESPECIAL DE MEDELLÍN </w:t>
      </w:r>
    </w:p>
    <w:p w14:paraId="039E0918" w14:textId="69336F40" w:rsidR="00237528" w:rsidRPr="008668AE" w:rsidRDefault="00237528" w:rsidP="00237528">
      <w:pPr>
        <w:tabs>
          <w:tab w:val="left" w:pos="6447"/>
        </w:tabs>
        <w:jc w:val="both"/>
        <w:rPr>
          <w:b/>
          <w:bCs/>
        </w:rPr>
      </w:pPr>
      <w:r w:rsidRPr="008668AE">
        <w:rPr>
          <w:b/>
          <w:bCs/>
        </w:rPr>
        <w:t>Valoración Objetiva de las pretensiones</w:t>
      </w:r>
      <w:r w:rsidRPr="008668AE">
        <w:rPr>
          <w:b/>
          <w:bCs/>
        </w:rPr>
        <w:tab/>
      </w:r>
    </w:p>
    <w:p w14:paraId="5CE3F63F" w14:textId="58F67165" w:rsidR="00237528" w:rsidRPr="008668AE" w:rsidRDefault="00237528" w:rsidP="00237528">
      <w:pPr>
        <w:spacing w:line="264" w:lineRule="exact"/>
        <w:ind w:left="59" w:right="-20"/>
        <w:jc w:val="both"/>
        <w:rPr>
          <w:rFonts w:eastAsia="Calibri"/>
        </w:rPr>
      </w:pPr>
      <w:r w:rsidRPr="008668AE">
        <w:rPr>
          <w:rFonts w:eastAsia="Calibri"/>
        </w:rPr>
        <w:t xml:space="preserve">Valor 100% </w:t>
      </w:r>
      <w:r w:rsidR="0096148A" w:rsidRPr="008668AE">
        <w:rPr>
          <w:rFonts w:ascii="Calibri" w:eastAsia="Calibri" w:hAnsi="Calibri" w:cs="Calibri"/>
          <w:b/>
          <w:bCs/>
        </w:rPr>
        <w:t xml:space="preserve">$ </w:t>
      </w:r>
      <w:r w:rsidR="0096148A">
        <w:rPr>
          <w:rFonts w:ascii="Calibri" w:eastAsia="Calibri" w:hAnsi="Calibri" w:cs="Calibri"/>
          <w:b/>
          <w:bCs/>
        </w:rPr>
        <w:t>9.304.922</w:t>
      </w:r>
    </w:p>
    <w:p w14:paraId="306AAC8C" w14:textId="388A1ABB" w:rsidR="00237528" w:rsidRPr="008668AE" w:rsidRDefault="00237528" w:rsidP="00237528">
      <w:pPr>
        <w:spacing w:line="264" w:lineRule="exact"/>
        <w:ind w:left="59" w:right="-20"/>
        <w:jc w:val="both"/>
        <w:rPr>
          <w:rFonts w:eastAsia="Calibri"/>
        </w:rPr>
      </w:pPr>
      <w:r w:rsidRPr="008668AE">
        <w:rPr>
          <w:rFonts w:eastAsia="Calibri"/>
        </w:rPr>
        <w:t xml:space="preserve">Deducible: </w:t>
      </w:r>
      <w:r w:rsidR="008C59D7" w:rsidRPr="008668AE">
        <w:rPr>
          <w:rFonts w:eastAsia="Calibri"/>
        </w:rPr>
        <w:t>No aplica</w:t>
      </w:r>
    </w:p>
    <w:p w14:paraId="076A52A6" w14:textId="586D279E" w:rsidR="00237528" w:rsidRPr="008668AE" w:rsidRDefault="00237528" w:rsidP="00237528">
      <w:pPr>
        <w:spacing w:line="264" w:lineRule="exact"/>
        <w:ind w:left="59" w:right="-20"/>
        <w:jc w:val="both"/>
        <w:rPr>
          <w:rFonts w:eastAsia="Calibri"/>
        </w:rPr>
      </w:pPr>
      <w:r w:rsidRPr="008668AE">
        <w:rPr>
          <w:rFonts w:eastAsia="Calibri"/>
        </w:rPr>
        <w:t xml:space="preserve">Coaseguro: </w:t>
      </w:r>
      <w:r w:rsidR="008C59D7" w:rsidRPr="008668AE">
        <w:rPr>
          <w:rFonts w:eastAsia="Calibri"/>
        </w:rPr>
        <w:t>No aplica</w:t>
      </w:r>
    </w:p>
    <w:p w14:paraId="0D95D194" w14:textId="0C85A729" w:rsidR="00237528" w:rsidRPr="008668AE" w:rsidRDefault="00237528" w:rsidP="00237528">
      <w:pPr>
        <w:spacing w:line="264" w:lineRule="exact"/>
        <w:ind w:left="59" w:right="-20"/>
        <w:jc w:val="both"/>
        <w:rPr>
          <w:rFonts w:eastAsia="Calibri"/>
          <w:b/>
          <w:bCs/>
          <w:u w:val="single"/>
        </w:rPr>
      </w:pPr>
      <w:proofErr w:type="gramStart"/>
      <w:r w:rsidRPr="008668AE">
        <w:rPr>
          <w:rFonts w:eastAsia="Calibri"/>
          <w:b/>
          <w:bCs/>
          <w:u w:val="single"/>
        </w:rPr>
        <w:t>Total</w:t>
      </w:r>
      <w:proofErr w:type="gramEnd"/>
      <w:r w:rsidRPr="008668AE">
        <w:rPr>
          <w:rFonts w:eastAsia="Calibri"/>
          <w:b/>
          <w:bCs/>
          <w:u w:val="single"/>
        </w:rPr>
        <w:t xml:space="preserve"> Exposición de </w:t>
      </w:r>
      <w:r w:rsidR="008668AE" w:rsidRPr="008668AE">
        <w:rPr>
          <w:rFonts w:eastAsia="Calibri"/>
          <w:b/>
          <w:bCs/>
          <w:u w:val="single"/>
        </w:rPr>
        <w:t>CONFIANZA</w:t>
      </w:r>
      <w:r w:rsidRPr="008668AE">
        <w:rPr>
          <w:rFonts w:eastAsia="Calibri"/>
          <w:b/>
          <w:bCs/>
          <w:u w:val="single"/>
        </w:rPr>
        <w:t xml:space="preserve"> </w:t>
      </w:r>
      <w:r w:rsidR="0096148A" w:rsidRPr="0096148A">
        <w:rPr>
          <w:rFonts w:ascii="Calibri" w:eastAsia="Calibri" w:hAnsi="Calibri" w:cs="Calibri"/>
          <w:b/>
          <w:bCs/>
          <w:u w:val="single"/>
        </w:rPr>
        <w:t>$ 9.304.922</w:t>
      </w:r>
    </w:p>
    <w:p w14:paraId="58CE156D" w14:textId="7EEAF5F6" w:rsidR="00237528" w:rsidRPr="008668AE" w:rsidRDefault="00237528" w:rsidP="00237528">
      <w:pPr>
        <w:spacing w:line="264" w:lineRule="exact"/>
        <w:ind w:left="59" w:right="-20"/>
        <w:jc w:val="both"/>
        <w:rPr>
          <w:rFonts w:eastAsia="Calibri"/>
        </w:rPr>
      </w:pPr>
      <w:r w:rsidRPr="008668AE">
        <w:rPr>
          <w:rFonts w:eastAsia="Calibri"/>
        </w:rPr>
        <w:t>Se llega a esta valoración de la siguiente forma</w:t>
      </w:r>
      <w:r w:rsidR="00322D7E" w:rsidRPr="008668AE">
        <w:rPr>
          <w:rFonts w:eastAsia="Calibri"/>
        </w:rPr>
        <w:t>:</w:t>
      </w:r>
    </w:p>
    <w:p w14:paraId="360BCBE2" w14:textId="099EC375" w:rsidR="00F73A81" w:rsidRPr="008668AE" w:rsidRDefault="00322D7E" w:rsidP="00322D7E">
      <w:pPr>
        <w:spacing w:line="264" w:lineRule="exact"/>
        <w:ind w:right="-20"/>
        <w:jc w:val="both"/>
        <w:rPr>
          <w:rFonts w:eastAsia="Calibri"/>
        </w:rPr>
      </w:pPr>
      <w:r w:rsidRPr="008668AE">
        <w:rPr>
          <w:rFonts w:eastAsia="Calibri"/>
        </w:rPr>
        <w:t>Al buscar las pretensiones la declaración de una relación laboral, se tomarán como días extremos el 1</w:t>
      </w:r>
      <w:r w:rsidR="00F73A81">
        <w:rPr>
          <w:rFonts w:eastAsia="Calibri"/>
        </w:rPr>
        <w:t>1</w:t>
      </w:r>
      <w:r w:rsidRPr="008668AE">
        <w:rPr>
          <w:rFonts w:eastAsia="Calibri"/>
        </w:rPr>
        <w:t xml:space="preserve"> de </w:t>
      </w:r>
      <w:r w:rsidR="00F73A81">
        <w:rPr>
          <w:rFonts w:eastAsia="Calibri"/>
        </w:rPr>
        <w:t>septiembre</w:t>
      </w:r>
      <w:r w:rsidRPr="008668AE">
        <w:rPr>
          <w:rFonts w:eastAsia="Calibri"/>
        </w:rPr>
        <w:t xml:space="preserve"> de 201</w:t>
      </w:r>
      <w:r w:rsidR="00F73A81">
        <w:rPr>
          <w:rFonts w:eastAsia="Calibri"/>
        </w:rPr>
        <w:t>7</w:t>
      </w:r>
      <w:r w:rsidRPr="008668AE">
        <w:rPr>
          <w:rFonts w:eastAsia="Calibri"/>
        </w:rPr>
        <w:t xml:space="preserve"> hasta el </w:t>
      </w:r>
      <w:r w:rsidR="002B7B16">
        <w:rPr>
          <w:rFonts w:eastAsia="Calibri"/>
        </w:rPr>
        <w:t>31</w:t>
      </w:r>
      <w:r w:rsidR="00F73A81">
        <w:rPr>
          <w:rFonts w:eastAsia="Calibri"/>
        </w:rPr>
        <w:t xml:space="preserve"> de enero</w:t>
      </w:r>
      <w:r w:rsidRPr="008668AE">
        <w:rPr>
          <w:rFonts w:eastAsia="Calibri"/>
        </w:rPr>
        <w:t xml:space="preserve"> de 20</w:t>
      </w:r>
      <w:r w:rsidR="002B7B16">
        <w:rPr>
          <w:rFonts w:eastAsia="Calibri"/>
        </w:rPr>
        <w:t>20</w:t>
      </w:r>
      <w:r w:rsidRPr="008668AE">
        <w:rPr>
          <w:rFonts w:eastAsia="Calibri"/>
        </w:rPr>
        <w:t xml:space="preserve"> y como asignación salarial la suma de $</w:t>
      </w:r>
      <w:r w:rsidR="00F73A81">
        <w:rPr>
          <w:rFonts w:eastAsia="Calibri"/>
        </w:rPr>
        <w:t>1</w:t>
      </w:r>
      <w:r w:rsidR="00CE1F97">
        <w:rPr>
          <w:rFonts w:eastAsia="Calibri"/>
        </w:rPr>
        <w:t>.</w:t>
      </w:r>
      <w:r w:rsidR="00F73A81">
        <w:rPr>
          <w:rFonts w:eastAsia="Calibri"/>
        </w:rPr>
        <w:t>845.780</w:t>
      </w:r>
      <w:r w:rsidRPr="008668AE">
        <w:rPr>
          <w:rFonts w:eastAsia="Calibri"/>
        </w:rPr>
        <w:t xml:space="preserve">, </w:t>
      </w:r>
      <w:r w:rsidR="00F73A81">
        <w:rPr>
          <w:rFonts w:eastAsia="Calibri"/>
        </w:rPr>
        <w:t>que fue la suma informada por la parte actora en el escrito de demanda</w:t>
      </w:r>
      <w:r w:rsidRPr="008668AE">
        <w:rPr>
          <w:rFonts w:eastAsia="Calibri"/>
        </w:rPr>
        <w:t>.</w:t>
      </w:r>
      <w:r w:rsidR="00ED2507" w:rsidRPr="008668AE">
        <w:rPr>
          <w:rFonts w:eastAsia="Calibri"/>
        </w:rPr>
        <w:t xml:space="preserve"> </w:t>
      </w:r>
    </w:p>
    <w:p w14:paraId="6610D852" w14:textId="6424B6D3" w:rsidR="00015FAE" w:rsidRPr="008668AE" w:rsidRDefault="00684142" w:rsidP="00015FAE">
      <w:pPr>
        <w:pStyle w:val="Prrafodelista"/>
        <w:numPr>
          <w:ilvl w:val="0"/>
          <w:numId w:val="2"/>
        </w:numPr>
        <w:spacing w:line="264" w:lineRule="exact"/>
        <w:ind w:right="-20"/>
        <w:jc w:val="both"/>
        <w:rPr>
          <w:rFonts w:ascii="Calibri" w:eastAsia="Calibri" w:hAnsi="Calibri" w:cs="Calibri"/>
          <w:sz w:val="22"/>
          <w:szCs w:val="22"/>
        </w:rPr>
      </w:pPr>
      <w:r w:rsidRPr="008668AE">
        <w:rPr>
          <w:rFonts w:ascii="Calibri" w:eastAsia="Calibri" w:hAnsi="Calibri" w:cs="Calibri"/>
          <w:b/>
          <w:bCs/>
          <w:sz w:val="22"/>
          <w:szCs w:val="22"/>
        </w:rPr>
        <w:t xml:space="preserve">Auxilio de Cesantía: </w:t>
      </w:r>
      <w:r w:rsidRPr="008668AE">
        <w:rPr>
          <w:rFonts w:ascii="Calibri" w:eastAsia="Calibri" w:hAnsi="Calibri" w:cs="Calibri"/>
          <w:sz w:val="22"/>
          <w:szCs w:val="22"/>
        </w:rPr>
        <w:t>Del 1</w:t>
      </w:r>
      <w:r w:rsidR="00F73A81">
        <w:rPr>
          <w:rFonts w:ascii="Calibri" w:eastAsia="Calibri" w:hAnsi="Calibri" w:cs="Calibri"/>
          <w:sz w:val="22"/>
          <w:szCs w:val="22"/>
        </w:rPr>
        <w:t>1</w:t>
      </w:r>
      <w:r w:rsidRPr="008668AE">
        <w:rPr>
          <w:rFonts w:ascii="Calibri" w:eastAsia="Calibri" w:hAnsi="Calibri" w:cs="Calibri"/>
          <w:sz w:val="22"/>
          <w:szCs w:val="22"/>
        </w:rPr>
        <w:t xml:space="preserve"> de </w:t>
      </w:r>
      <w:r w:rsidR="00F73A81">
        <w:rPr>
          <w:rFonts w:ascii="Calibri" w:eastAsia="Calibri" w:hAnsi="Calibri" w:cs="Calibri"/>
          <w:sz w:val="22"/>
          <w:szCs w:val="22"/>
        </w:rPr>
        <w:t>septiembre</w:t>
      </w:r>
      <w:r w:rsidRPr="008668AE">
        <w:rPr>
          <w:rFonts w:ascii="Calibri" w:eastAsia="Calibri" w:hAnsi="Calibri" w:cs="Calibri"/>
          <w:sz w:val="22"/>
          <w:szCs w:val="22"/>
        </w:rPr>
        <w:t xml:space="preserve"> de 201</w:t>
      </w:r>
      <w:r w:rsidR="00F73A81">
        <w:rPr>
          <w:rFonts w:ascii="Calibri" w:eastAsia="Calibri" w:hAnsi="Calibri" w:cs="Calibri"/>
          <w:sz w:val="22"/>
          <w:szCs w:val="22"/>
        </w:rPr>
        <w:t>7</w:t>
      </w:r>
      <w:r w:rsidRPr="008668AE">
        <w:rPr>
          <w:rFonts w:ascii="Calibri" w:eastAsia="Calibri" w:hAnsi="Calibri" w:cs="Calibri"/>
          <w:sz w:val="22"/>
          <w:szCs w:val="22"/>
        </w:rPr>
        <w:t xml:space="preserve"> al </w:t>
      </w:r>
      <w:r w:rsidR="00CE1F97">
        <w:rPr>
          <w:rFonts w:ascii="Calibri" w:eastAsia="Calibri" w:hAnsi="Calibri" w:cs="Calibri"/>
          <w:sz w:val="22"/>
          <w:szCs w:val="22"/>
        </w:rPr>
        <w:t>31 de enero de 2020</w:t>
      </w:r>
    </w:p>
    <w:p w14:paraId="0FCBAE29" w14:textId="77777777" w:rsidR="00322D7E" w:rsidRPr="008668AE" w:rsidRDefault="00322D7E" w:rsidP="00322D7E">
      <w:pPr>
        <w:pStyle w:val="Prrafodelista"/>
        <w:spacing w:line="264" w:lineRule="exact"/>
        <w:ind w:right="-20"/>
        <w:jc w:val="both"/>
        <w:rPr>
          <w:rFonts w:ascii="Calibri" w:eastAsia="Calibri" w:hAnsi="Calibri" w:cs="Calibri"/>
          <w:b/>
          <w:bCs/>
          <w:sz w:val="22"/>
          <w:szCs w:val="22"/>
        </w:rPr>
      </w:pPr>
    </w:p>
    <w:p w14:paraId="55092852" w14:textId="05EE0180" w:rsidR="00F73A81" w:rsidRDefault="00015FAE" w:rsidP="00F73A81">
      <w:pPr>
        <w:pStyle w:val="Prrafodelista"/>
        <w:numPr>
          <w:ilvl w:val="0"/>
          <w:numId w:val="3"/>
        </w:numPr>
        <w:spacing w:line="264" w:lineRule="exact"/>
        <w:ind w:right="-20"/>
        <w:jc w:val="both"/>
        <w:rPr>
          <w:rFonts w:ascii="Calibri" w:eastAsia="Calibri" w:hAnsi="Calibri" w:cs="Calibri"/>
          <w:sz w:val="22"/>
          <w:szCs w:val="22"/>
        </w:rPr>
      </w:pPr>
      <w:r w:rsidRPr="008668AE">
        <w:rPr>
          <w:rFonts w:ascii="Calibri" w:eastAsia="Calibri" w:hAnsi="Calibri" w:cs="Calibri"/>
          <w:sz w:val="22"/>
          <w:szCs w:val="22"/>
        </w:rPr>
        <w:t>201</w:t>
      </w:r>
      <w:r w:rsidR="00CE1F97">
        <w:rPr>
          <w:rFonts w:ascii="Calibri" w:eastAsia="Calibri" w:hAnsi="Calibri" w:cs="Calibri"/>
          <w:sz w:val="22"/>
          <w:szCs w:val="22"/>
        </w:rPr>
        <w:t xml:space="preserve">7: </w:t>
      </w:r>
      <w:r w:rsidR="00CE1F97" w:rsidRPr="00CE1F97">
        <w:rPr>
          <w:rFonts w:ascii="Calibri" w:eastAsia="Calibri" w:hAnsi="Calibri" w:cs="Calibri"/>
          <w:sz w:val="22"/>
          <w:szCs w:val="22"/>
        </w:rPr>
        <w:t>$ 569.116</w:t>
      </w:r>
    </w:p>
    <w:p w14:paraId="4C5641AE" w14:textId="19D3699D" w:rsidR="00CE1F97" w:rsidRDefault="00CE1F97" w:rsidP="00F73A81">
      <w:pPr>
        <w:pStyle w:val="Prrafodelista"/>
        <w:numPr>
          <w:ilvl w:val="0"/>
          <w:numId w:val="3"/>
        </w:numPr>
        <w:spacing w:line="264" w:lineRule="exact"/>
        <w:ind w:right="-20"/>
        <w:jc w:val="both"/>
        <w:rPr>
          <w:rFonts w:ascii="Calibri" w:eastAsia="Calibri" w:hAnsi="Calibri" w:cs="Calibri"/>
          <w:sz w:val="22"/>
          <w:szCs w:val="22"/>
        </w:rPr>
      </w:pPr>
      <w:r>
        <w:rPr>
          <w:rFonts w:ascii="Calibri" w:eastAsia="Calibri" w:hAnsi="Calibri" w:cs="Calibri"/>
          <w:sz w:val="22"/>
          <w:szCs w:val="22"/>
        </w:rPr>
        <w:t xml:space="preserve">2018: </w:t>
      </w:r>
      <w:r w:rsidRPr="00CE1F97">
        <w:rPr>
          <w:rFonts w:ascii="Calibri" w:eastAsia="Calibri" w:hAnsi="Calibri" w:cs="Calibri"/>
          <w:sz w:val="22"/>
          <w:szCs w:val="22"/>
        </w:rPr>
        <w:t>$ 1.845.780</w:t>
      </w:r>
    </w:p>
    <w:p w14:paraId="64372A22" w14:textId="177C3C00" w:rsidR="00CE1F97" w:rsidRDefault="00CE1F97" w:rsidP="00F73A81">
      <w:pPr>
        <w:pStyle w:val="Prrafodelista"/>
        <w:numPr>
          <w:ilvl w:val="0"/>
          <w:numId w:val="3"/>
        </w:numPr>
        <w:spacing w:line="264" w:lineRule="exact"/>
        <w:ind w:right="-20"/>
        <w:jc w:val="both"/>
        <w:rPr>
          <w:rFonts w:ascii="Calibri" w:eastAsia="Calibri" w:hAnsi="Calibri" w:cs="Calibri"/>
          <w:sz w:val="22"/>
          <w:szCs w:val="22"/>
        </w:rPr>
      </w:pPr>
      <w:r>
        <w:rPr>
          <w:rFonts w:ascii="Calibri" w:eastAsia="Calibri" w:hAnsi="Calibri" w:cs="Calibri"/>
          <w:sz w:val="22"/>
          <w:szCs w:val="22"/>
        </w:rPr>
        <w:t xml:space="preserve">2019: </w:t>
      </w:r>
      <w:r w:rsidRPr="00CE1F97">
        <w:rPr>
          <w:rFonts w:ascii="Calibri" w:eastAsia="Calibri" w:hAnsi="Calibri" w:cs="Calibri"/>
          <w:sz w:val="22"/>
          <w:szCs w:val="22"/>
        </w:rPr>
        <w:t>$ 1.845.780</w:t>
      </w:r>
    </w:p>
    <w:p w14:paraId="5BC01723" w14:textId="2C58880D" w:rsidR="00E60502" w:rsidRDefault="00CE1F97" w:rsidP="00CE1F97">
      <w:pPr>
        <w:pStyle w:val="Prrafodelista"/>
        <w:numPr>
          <w:ilvl w:val="0"/>
          <w:numId w:val="3"/>
        </w:numPr>
        <w:spacing w:line="264" w:lineRule="exact"/>
        <w:ind w:right="-20"/>
        <w:jc w:val="both"/>
        <w:rPr>
          <w:rFonts w:ascii="Calibri" w:eastAsia="Calibri" w:hAnsi="Calibri" w:cs="Calibri"/>
          <w:sz w:val="22"/>
          <w:szCs w:val="22"/>
        </w:rPr>
      </w:pPr>
      <w:r>
        <w:rPr>
          <w:rFonts w:ascii="Calibri" w:eastAsia="Calibri" w:hAnsi="Calibri" w:cs="Calibri"/>
          <w:sz w:val="22"/>
          <w:szCs w:val="22"/>
        </w:rPr>
        <w:t xml:space="preserve">2020: </w:t>
      </w:r>
      <w:r w:rsidRPr="00CE1F97">
        <w:rPr>
          <w:rFonts w:ascii="Calibri" w:eastAsia="Calibri" w:hAnsi="Calibri" w:cs="Calibri"/>
          <w:sz w:val="22"/>
          <w:szCs w:val="22"/>
        </w:rPr>
        <w:t>$ 158.942</w:t>
      </w:r>
    </w:p>
    <w:p w14:paraId="2EBEF3FD" w14:textId="5E2CA078" w:rsidR="00CE1F97" w:rsidRPr="00CE1F97" w:rsidRDefault="00CE1F97" w:rsidP="00CE1F97">
      <w:pPr>
        <w:pStyle w:val="Prrafodelista"/>
        <w:numPr>
          <w:ilvl w:val="0"/>
          <w:numId w:val="3"/>
        </w:numPr>
        <w:spacing w:line="264" w:lineRule="exact"/>
        <w:ind w:right="-20"/>
        <w:jc w:val="both"/>
        <w:rPr>
          <w:rFonts w:ascii="Calibri" w:eastAsia="Calibri" w:hAnsi="Calibri" w:cs="Calibri"/>
          <w:sz w:val="22"/>
          <w:szCs w:val="22"/>
        </w:rPr>
      </w:pPr>
      <w:r>
        <w:rPr>
          <w:rFonts w:ascii="Calibri" w:eastAsia="Calibri" w:hAnsi="Calibri" w:cs="Calibri"/>
          <w:b/>
          <w:bCs/>
          <w:sz w:val="22"/>
          <w:szCs w:val="22"/>
        </w:rPr>
        <w:t xml:space="preserve">Total: </w:t>
      </w:r>
      <w:r w:rsidR="005D68B0" w:rsidRPr="005D68B0">
        <w:rPr>
          <w:rFonts w:ascii="Calibri" w:eastAsia="Calibri" w:hAnsi="Calibri" w:cs="Calibri"/>
          <w:b/>
          <w:bCs/>
          <w:sz w:val="22"/>
          <w:szCs w:val="22"/>
        </w:rPr>
        <w:t>$ 4.419.618</w:t>
      </w:r>
    </w:p>
    <w:p w14:paraId="789F46A4" w14:textId="1E3C1BF0" w:rsidR="00E60502" w:rsidRPr="008668AE" w:rsidRDefault="00E60502" w:rsidP="00E60502">
      <w:pPr>
        <w:pStyle w:val="Prrafodelista"/>
        <w:spacing w:line="264" w:lineRule="exact"/>
        <w:ind w:left="1080" w:right="-20"/>
        <w:jc w:val="both"/>
        <w:rPr>
          <w:rFonts w:ascii="Calibri" w:eastAsia="Calibri" w:hAnsi="Calibri" w:cs="Calibri"/>
          <w:sz w:val="22"/>
          <w:szCs w:val="22"/>
        </w:rPr>
      </w:pPr>
    </w:p>
    <w:p w14:paraId="4111FB36" w14:textId="75E85F94" w:rsidR="00E60502" w:rsidRPr="008668AE" w:rsidRDefault="00E60502" w:rsidP="00E60502">
      <w:pPr>
        <w:pStyle w:val="Prrafodelista"/>
        <w:numPr>
          <w:ilvl w:val="0"/>
          <w:numId w:val="2"/>
        </w:numPr>
        <w:spacing w:line="264" w:lineRule="exact"/>
        <w:ind w:right="-20"/>
        <w:jc w:val="both"/>
        <w:rPr>
          <w:rFonts w:ascii="Calibri" w:eastAsia="Calibri" w:hAnsi="Calibri" w:cs="Calibri"/>
          <w:sz w:val="22"/>
          <w:szCs w:val="22"/>
        </w:rPr>
      </w:pPr>
      <w:r w:rsidRPr="008668AE">
        <w:rPr>
          <w:rFonts w:ascii="Calibri" w:eastAsia="Calibri" w:hAnsi="Calibri" w:cs="Calibri"/>
          <w:b/>
          <w:bCs/>
          <w:sz w:val="22"/>
          <w:szCs w:val="22"/>
        </w:rPr>
        <w:t xml:space="preserve">Intereses de cesantías: </w:t>
      </w:r>
      <w:r w:rsidR="00CE1F97" w:rsidRPr="008668AE">
        <w:rPr>
          <w:rFonts w:ascii="Calibri" w:eastAsia="Calibri" w:hAnsi="Calibri" w:cs="Calibri"/>
          <w:sz w:val="22"/>
          <w:szCs w:val="22"/>
        </w:rPr>
        <w:t>Del 1</w:t>
      </w:r>
      <w:r w:rsidR="00CE1F97">
        <w:rPr>
          <w:rFonts w:ascii="Calibri" w:eastAsia="Calibri" w:hAnsi="Calibri" w:cs="Calibri"/>
          <w:sz w:val="22"/>
          <w:szCs w:val="22"/>
        </w:rPr>
        <w:t>1</w:t>
      </w:r>
      <w:r w:rsidR="00CE1F97" w:rsidRPr="008668AE">
        <w:rPr>
          <w:rFonts w:ascii="Calibri" w:eastAsia="Calibri" w:hAnsi="Calibri" w:cs="Calibri"/>
          <w:sz w:val="22"/>
          <w:szCs w:val="22"/>
        </w:rPr>
        <w:t xml:space="preserve"> de </w:t>
      </w:r>
      <w:r w:rsidR="00CE1F97">
        <w:rPr>
          <w:rFonts w:ascii="Calibri" w:eastAsia="Calibri" w:hAnsi="Calibri" w:cs="Calibri"/>
          <w:sz w:val="22"/>
          <w:szCs w:val="22"/>
        </w:rPr>
        <w:t>septiembre</w:t>
      </w:r>
      <w:r w:rsidR="00CE1F97" w:rsidRPr="008668AE">
        <w:rPr>
          <w:rFonts w:ascii="Calibri" w:eastAsia="Calibri" w:hAnsi="Calibri" w:cs="Calibri"/>
          <w:sz w:val="22"/>
          <w:szCs w:val="22"/>
        </w:rPr>
        <w:t xml:space="preserve"> de 201</w:t>
      </w:r>
      <w:r w:rsidR="00CE1F97">
        <w:rPr>
          <w:rFonts w:ascii="Calibri" w:eastAsia="Calibri" w:hAnsi="Calibri" w:cs="Calibri"/>
          <w:sz w:val="22"/>
          <w:szCs w:val="22"/>
        </w:rPr>
        <w:t>7</w:t>
      </w:r>
      <w:r w:rsidR="00CE1F97" w:rsidRPr="008668AE">
        <w:rPr>
          <w:rFonts w:ascii="Calibri" w:eastAsia="Calibri" w:hAnsi="Calibri" w:cs="Calibri"/>
          <w:sz w:val="22"/>
          <w:szCs w:val="22"/>
        </w:rPr>
        <w:t xml:space="preserve"> al </w:t>
      </w:r>
      <w:r w:rsidR="00CE1F97">
        <w:rPr>
          <w:rFonts w:ascii="Calibri" w:eastAsia="Calibri" w:hAnsi="Calibri" w:cs="Calibri"/>
          <w:sz w:val="22"/>
          <w:szCs w:val="22"/>
        </w:rPr>
        <w:t>31 de enero de 2020</w:t>
      </w:r>
    </w:p>
    <w:p w14:paraId="69DF10B8" w14:textId="77777777" w:rsidR="00E60502" w:rsidRPr="008668AE" w:rsidRDefault="00E60502" w:rsidP="00E60502">
      <w:pPr>
        <w:pStyle w:val="Prrafodelista"/>
        <w:spacing w:line="264" w:lineRule="exact"/>
        <w:ind w:right="-20"/>
        <w:jc w:val="both"/>
        <w:rPr>
          <w:rFonts w:ascii="Calibri" w:eastAsia="Calibri" w:hAnsi="Calibri" w:cs="Calibri"/>
          <w:b/>
          <w:bCs/>
          <w:sz w:val="22"/>
          <w:szCs w:val="22"/>
        </w:rPr>
      </w:pPr>
    </w:p>
    <w:p w14:paraId="10333876" w14:textId="707ED453" w:rsidR="00E60502" w:rsidRPr="005D68B0" w:rsidRDefault="005D68B0" w:rsidP="005D68B0">
      <w:pPr>
        <w:pStyle w:val="Prrafodelista"/>
        <w:numPr>
          <w:ilvl w:val="0"/>
          <w:numId w:val="3"/>
        </w:numPr>
        <w:spacing w:line="264" w:lineRule="exact"/>
        <w:ind w:right="-20"/>
        <w:jc w:val="both"/>
        <w:rPr>
          <w:rFonts w:ascii="Calibri" w:eastAsia="Calibri" w:hAnsi="Calibri" w:cs="Calibri"/>
          <w:b/>
          <w:bCs/>
          <w:sz w:val="22"/>
          <w:szCs w:val="22"/>
        </w:rPr>
      </w:pPr>
      <w:r>
        <w:rPr>
          <w:rFonts w:ascii="Calibri" w:eastAsia="Calibri" w:hAnsi="Calibri" w:cs="Calibri"/>
          <w:sz w:val="22"/>
          <w:szCs w:val="22"/>
        </w:rPr>
        <w:t>2017:</w:t>
      </w:r>
      <w:r w:rsidRPr="005D68B0">
        <w:rPr>
          <w:rFonts w:ascii="Calibri" w:eastAsia="Calibri" w:hAnsi="Calibri" w:cs="Calibri"/>
          <w:sz w:val="22"/>
          <w:szCs w:val="22"/>
        </w:rPr>
        <w:t xml:space="preserve"> $ 21.057</w:t>
      </w:r>
    </w:p>
    <w:p w14:paraId="69F4A61C" w14:textId="37F908DF" w:rsidR="005D68B0" w:rsidRPr="005D68B0" w:rsidRDefault="005D68B0" w:rsidP="005D68B0">
      <w:pPr>
        <w:pStyle w:val="Prrafodelista"/>
        <w:numPr>
          <w:ilvl w:val="0"/>
          <w:numId w:val="3"/>
        </w:numPr>
        <w:spacing w:line="264" w:lineRule="exact"/>
        <w:ind w:right="-20"/>
        <w:jc w:val="both"/>
        <w:rPr>
          <w:rFonts w:ascii="Calibri" w:eastAsia="Calibri" w:hAnsi="Calibri" w:cs="Calibri"/>
          <w:b/>
          <w:bCs/>
          <w:sz w:val="22"/>
          <w:szCs w:val="22"/>
        </w:rPr>
      </w:pPr>
      <w:r>
        <w:rPr>
          <w:rFonts w:ascii="Calibri" w:eastAsia="Calibri" w:hAnsi="Calibri" w:cs="Calibri"/>
          <w:sz w:val="22"/>
          <w:szCs w:val="22"/>
        </w:rPr>
        <w:t xml:space="preserve">2018: </w:t>
      </w:r>
      <w:r w:rsidRPr="005D68B0">
        <w:rPr>
          <w:rFonts w:ascii="Calibri" w:eastAsia="Calibri" w:hAnsi="Calibri" w:cs="Calibri"/>
          <w:sz w:val="22"/>
          <w:szCs w:val="22"/>
        </w:rPr>
        <w:t>$ 221.494</w:t>
      </w:r>
    </w:p>
    <w:p w14:paraId="100ADD2C" w14:textId="0EFB7F36" w:rsidR="005D68B0" w:rsidRPr="005D68B0" w:rsidRDefault="005D68B0" w:rsidP="005D68B0">
      <w:pPr>
        <w:pStyle w:val="Prrafodelista"/>
        <w:numPr>
          <w:ilvl w:val="0"/>
          <w:numId w:val="3"/>
        </w:numPr>
        <w:spacing w:line="264" w:lineRule="exact"/>
        <w:ind w:right="-20"/>
        <w:jc w:val="both"/>
        <w:rPr>
          <w:rFonts w:ascii="Calibri" w:eastAsia="Calibri" w:hAnsi="Calibri" w:cs="Calibri"/>
          <w:b/>
          <w:bCs/>
          <w:sz w:val="22"/>
          <w:szCs w:val="22"/>
        </w:rPr>
      </w:pPr>
      <w:r>
        <w:rPr>
          <w:rFonts w:ascii="Calibri" w:eastAsia="Calibri" w:hAnsi="Calibri" w:cs="Calibri"/>
          <w:sz w:val="22"/>
          <w:szCs w:val="22"/>
        </w:rPr>
        <w:t xml:space="preserve">2019: </w:t>
      </w:r>
      <w:r w:rsidRPr="005D68B0">
        <w:rPr>
          <w:rFonts w:ascii="Calibri" w:eastAsia="Calibri" w:hAnsi="Calibri" w:cs="Calibri"/>
          <w:sz w:val="22"/>
          <w:szCs w:val="22"/>
        </w:rPr>
        <w:t>$ 221.494</w:t>
      </w:r>
    </w:p>
    <w:p w14:paraId="5E8F01B8" w14:textId="0B7220C3" w:rsidR="005D68B0" w:rsidRPr="005D68B0" w:rsidRDefault="005D68B0" w:rsidP="005D68B0">
      <w:pPr>
        <w:pStyle w:val="Prrafodelista"/>
        <w:numPr>
          <w:ilvl w:val="0"/>
          <w:numId w:val="3"/>
        </w:numPr>
        <w:spacing w:line="264" w:lineRule="exact"/>
        <w:ind w:right="-20"/>
        <w:jc w:val="both"/>
        <w:rPr>
          <w:rFonts w:ascii="Calibri" w:eastAsia="Calibri" w:hAnsi="Calibri" w:cs="Calibri"/>
          <w:b/>
          <w:bCs/>
          <w:sz w:val="22"/>
          <w:szCs w:val="22"/>
        </w:rPr>
      </w:pPr>
      <w:r>
        <w:rPr>
          <w:rFonts w:ascii="Calibri" w:eastAsia="Calibri" w:hAnsi="Calibri" w:cs="Calibri"/>
          <w:sz w:val="22"/>
          <w:szCs w:val="22"/>
        </w:rPr>
        <w:t xml:space="preserve">2020: </w:t>
      </w:r>
      <w:r w:rsidRPr="005D68B0">
        <w:rPr>
          <w:rFonts w:ascii="Calibri" w:eastAsia="Calibri" w:hAnsi="Calibri" w:cs="Calibri"/>
          <w:sz w:val="22"/>
          <w:szCs w:val="22"/>
        </w:rPr>
        <w:t>$ 1.642</w:t>
      </w:r>
    </w:p>
    <w:p w14:paraId="1B9265A7" w14:textId="0AA84F73" w:rsidR="005D68B0" w:rsidRPr="008668AE" w:rsidRDefault="005D68B0" w:rsidP="005D68B0">
      <w:pPr>
        <w:pStyle w:val="Prrafodelista"/>
        <w:numPr>
          <w:ilvl w:val="0"/>
          <w:numId w:val="3"/>
        </w:numPr>
        <w:spacing w:line="264" w:lineRule="exact"/>
        <w:ind w:right="-20"/>
        <w:jc w:val="both"/>
        <w:rPr>
          <w:rFonts w:ascii="Calibri" w:eastAsia="Calibri" w:hAnsi="Calibri" w:cs="Calibri"/>
          <w:b/>
          <w:bCs/>
          <w:sz w:val="22"/>
          <w:szCs w:val="22"/>
        </w:rPr>
      </w:pPr>
      <w:r>
        <w:rPr>
          <w:rFonts w:ascii="Calibri" w:eastAsia="Calibri" w:hAnsi="Calibri" w:cs="Calibri"/>
          <w:b/>
          <w:bCs/>
          <w:sz w:val="22"/>
          <w:szCs w:val="22"/>
        </w:rPr>
        <w:t xml:space="preserve">Total: </w:t>
      </w:r>
      <w:r w:rsidRPr="005D68B0">
        <w:rPr>
          <w:rFonts w:ascii="Calibri" w:eastAsia="Calibri" w:hAnsi="Calibri" w:cs="Calibri"/>
          <w:b/>
          <w:bCs/>
          <w:sz w:val="22"/>
          <w:szCs w:val="22"/>
        </w:rPr>
        <w:t>$ 465.687</w:t>
      </w:r>
    </w:p>
    <w:p w14:paraId="0717FF85" w14:textId="7BE6DCC0" w:rsidR="00E60502" w:rsidRPr="005D68B0" w:rsidRDefault="00E60502" w:rsidP="005D68B0">
      <w:pPr>
        <w:pStyle w:val="Prrafodelista"/>
        <w:numPr>
          <w:ilvl w:val="0"/>
          <w:numId w:val="2"/>
        </w:numPr>
        <w:spacing w:line="264" w:lineRule="exact"/>
        <w:ind w:right="-20"/>
        <w:jc w:val="both"/>
        <w:rPr>
          <w:rFonts w:ascii="Calibri" w:eastAsia="Calibri" w:hAnsi="Calibri" w:cs="Calibri"/>
          <w:sz w:val="22"/>
          <w:szCs w:val="22"/>
        </w:rPr>
      </w:pPr>
      <w:r w:rsidRPr="008668AE">
        <w:rPr>
          <w:rFonts w:ascii="Calibri" w:eastAsia="Calibri" w:hAnsi="Calibri" w:cs="Calibri"/>
          <w:b/>
          <w:bCs/>
          <w:sz w:val="22"/>
          <w:szCs w:val="22"/>
        </w:rPr>
        <w:t xml:space="preserve">Prima de servicios: </w:t>
      </w:r>
      <w:r w:rsidR="005D68B0" w:rsidRPr="008668AE">
        <w:rPr>
          <w:rFonts w:ascii="Calibri" w:eastAsia="Calibri" w:hAnsi="Calibri" w:cs="Calibri"/>
          <w:sz w:val="22"/>
          <w:szCs w:val="22"/>
        </w:rPr>
        <w:t>Del 1</w:t>
      </w:r>
      <w:r w:rsidR="005D68B0">
        <w:rPr>
          <w:rFonts w:ascii="Calibri" w:eastAsia="Calibri" w:hAnsi="Calibri" w:cs="Calibri"/>
          <w:sz w:val="22"/>
          <w:szCs w:val="22"/>
        </w:rPr>
        <w:t>1</w:t>
      </w:r>
      <w:r w:rsidR="005D68B0" w:rsidRPr="008668AE">
        <w:rPr>
          <w:rFonts w:ascii="Calibri" w:eastAsia="Calibri" w:hAnsi="Calibri" w:cs="Calibri"/>
          <w:sz w:val="22"/>
          <w:szCs w:val="22"/>
        </w:rPr>
        <w:t xml:space="preserve"> de </w:t>
      </w:r>
      <w:r w:rsidR="005D68B0">
        <w:rPr>
          <w:rFonts w:ascii="Calibri" w:eastAsia="Calibri" w:hAnsi="Calibri" w:cs="Calibri"/>
          <w:sz w:val="22"/>
          <w:szCs w:val="22"/>
        </w:rPr>
        <w:t>septiembre</w:t>
      </w:r>
      <w:r w:rsidR="005D68B0" w:rsidRPr="008668AE">
        <w:rPr>
          <w:rFonts w:ascii="Calibri" w:eastAsia="Calibri" w:hAnsi="Calibri" w:cs="Calibri"/>
          <w:sz w:val="22"/>
          <w:szCs w:val="22"/>
        </w:rPr>
        <w:t xml:space="preserve"> de 201</w:t>
      </w:r>
      <w:r w:rsidR="005D68B0">
        <w:rPr>
          <w:rFonts w:ascii="Calibri" w:eastAsia="Calibri" w:hAnsi="Calibri" w:cs="Calibri"/>
          <w:sz w:val="22"/>
          <w:szCs w:val="22"/>
        </w:rPr>
        <w:t>7</w:t>
      </w:r>
      <w:r w:rsidR="005D68B0" w:rsidRPr="008668AE">
        <w:rPr>
          <w:rFonts w:ascii="Calibri" w:eastAsia="Calibri" w:hAnsi="Calibri" w:cs="Calibri"/>
          <w:sz w:val="22"/>
          <w:szCs w:val="22"/>
        </w:rPr>
        <w:t xml:space="preserve"> al </w:t>
      </w:r>
      <w:r w:rsidR="005D68B0">
        <w:rPr>
          <w:rFonts w:ascii="Calibri" w:eastAsia="Calibri" w:hAnsi="Calibri" w:cs="Calibri"/>
          <w:sz w:val="22"/>
          <w:szCs w:val="22"/>
        </w:rPr>
        <w:t>31 de enero de 2020</w:t>
      </w:r>
    </w:p>
    <w:p w14:paraId="3EB24192" w14:textId="77777777" w:rsidR="00E60502" w:rsidRPr="008668AE" w:rsidRDefault="00E60502" w:rsidP="00E60502">
      <w:pPr>
        <w:pStyle w:val="Prrafodelista"/>
        <w:spacing w:line="264" w:lineRule="exact"/>
        <w:ind w:right="-20"/>
        <w:jc w:val="both"/>
        <w:rPr>
          <w:rFonts w:ascii="Calibri" w:eastAsia="Calibri" w:hAnsi="Calibri" w:cs="Calibri"/>
          <w:b/>
          <w:bCs/>
          <w:sz w:val="22"/>
          <w:szCs w:val="22"/>
        </w:rPr>
      </w:pPr>
    </w:p>
    <w:p w14:paraId="4D3381FE" w14:textId="64C5FAA2" w:rsidR="005D68B0" w:rsidRPr="005D68B0" w:rsidRDefault="005D68B0" w:rsidP="005D68B0">
      <w:pPr>
        <w:pStyle w:val="Prrafodelista"/>
        <w:numPr>
          <w:ilvl w:val="0"/>
          <w:numId w:val="3"/>
        </w:numPr>
        <w:spacing w:line="264" w:lineRule="exact"/>
        <w:ind w:right="-20"/>
        <w:jc w:val="both"/>
        <w:rPr>
          <w:rFonts w:ascii="Calibri" w:eastAsia="Calibri" w:hAnsi="Calibri" w:cs="Calibri"/>
          <w:b/>
          <w:bCs/>
          <w:sz w:val="22"/>
          <w:szCs w:val="22"/>
        </w:rPr>
      </w:pPr>
      <w:r>
        <w:rPr>
          <w:rFonts w:ascii="Calibri" w:eastAsia="Calibri" w:hAnsi="Calibri" w:cs="Calibri"/>
          <w:sz w:val="22"/>
          <w:szCs w:val="22"/>
        </w:rPr>
        <w:t>2017:</w:t>
      </w:r>
      <w:r w:rsidRPr="005D68B0">
        <w:rPr>
          <w:rFonts w:ascii="Calibri" w:eastAsia="Calibri" w:hAnsi="Calibri" w:cs="Calibri"/>
          <w:sz w:val="22"/>
          <w:szCs w:val="22"/>
        </w:rPr>
        <w:t xml:space="preserve"> $ 569.116</w:t>
      </w:r>
    </w:p>
    <w:p w14:paraId="4C0EBF05" w14:textId="5B58B87B" w:rsidR="005D68B0" w:rsidRPr="005D68B0" w:rsidRDefault="005D68B0" w:rsidP="005D68B0">
      <w:pPr>
        <w:pStyle w:val="Prrafodelista"/>
        <w:numPr>
          <w:ilvl w:val="0"/>
          <w:numId w:val="3"/>
        </w:numPr>
        <w:spacing w:line="264" w:lineRule="exact"/>
        <w:ind w:right="-20"/>
        <w:jc w:val="both"/>
        <w:rPr>
          <w:rFonts w:ascii="Calibri" w:eastAsia="Calibri" w:hAnsi="Calibri" w:cs="Calibri"/>
          <w:b/>
          <w:bCs/>
          <w:sz w:val="22"/>
          <w:szCs w:val="22"/>
        </w:rPr>
      </w:pPr>
      <w:r>
        <w:rPr>
          <w:rFonts w:ascii="Calibri" w:eastAsia="Calibri" w:hAnsi="Calibri" w:cs="Calibri"/>
          <w:sz w:val="22"/>
          <w:szCs w:val="22"/>
        </w:rPr>
        <w:t xml:space="preserve">2018: </w:t>
      </w:r>
      <w:r w:rsidRPr="005D68B0">
        <w:rPr>
          <w:rFonts w:ascii="Calibri" w:eastAsia="Calibri" w:hAnsi="Calibri" w:cs="Calibri"/>
          <w:sz w:val="22"/>
          <w:szCs w:val="22"/>
        </w:rPr>
        <w:t>$ 1.845.780</w:t>
      </w:r>
    </w:p>
    <w:p w14:paraId="1BAE5AD8" w14:textId="33B5F4D0" w:rsidR="005D68B0" w:rsidRPr="005D68B0" w:rsidRDefault="005D68B0" w:rsidP="005D68B0">
      <w:pPr>
        <w:pStyle w:val="Prrafodelista"/>
        <w:numPr>
          <w:ilvl w:val="0"/>
          <w:numId w:val="3"/>
        </w:numPr>
        <w:spacing w:line="264" w:lineRule="exact"/>
        <w:ind w:right="-20"/>
        <w:jc w:val="both"/>
        <w:rPr>
          <w:rFonts w:ascii="Calibri" w:eastAsia="Calibri" w:hAnsi="Calibri" w:cs="Calibri"/>
          <w:b/>
          <w:bCs/>
          <w:sz w:val="22"/>
          <w:szCs w:val="22"/>
        </w:rPr>
      </w:pPr>
      <w:r>
        <w:rPr>
          <w:rFonts w:ascii="Calibri" w:eastAsia="Calibri" w:hAnsi="Calibri" w:cs="Calibri"/>
          <w:sz w:val="22"/>
          <w:szCs w:val="22"/>
        </w:rPr>
        <w:t xml:space="preserve">2019: </w:t>
      </w:r>
      <w:r w:rsidRPr="005D68B0">
        <w:rPr>
          <w:rFonts w:ascii="Calibri" w:eastAsia="Calibri" w:hAnsi="Calibri" w:cs="Calibri"/>
          <w:sz w:val="22"/>
          <w:szCs w:val="22"/>
        </w:rPr>
        <w:t>$ 1.845.780</w:t>
      </w:r>
    </w:p>
    <w:p w14:paraId="105D9F74" w14:textId="57341BF8" w:rsidR="005D68B0" w:rsidRPr="005D68B0" w:rsidRDefault="005D68B0" w:rsidP="005D68B0">
      <w:pPr>
        <w:pStyle w:val="Prrafodelista"/>
        <w:numPr>
          <w:ilvl w:val="0"/>
          <w:numId w:val="3"/>
        </w:numPr>
        <w:spacing w:line="264" w:lineRule="exact"/>
        <w:ind w:right="-20"/>
        <w:jc w:val="both"/>
        <w:rPr>
          <w:rFonts w:ascii="Calibri" w:eastAsia="Calibri" w:hAnsi="Calibri" w:cs="Calibri"/>
          <w:b/>
          <w:bCs/>
          <w:sz w:val="22"/>
          <w:szCs w:val="22"/>
        </w:rPr>
      </w:pPr>
      <w:r>
        <w:rPr>
          <w:rFonts w:ascii="Calibri" w:eastAsia="Calibri" w:hAnsi="Calibri" w:cs="Calibri"/>
          <w:sz w:val="22"/>
          <w:szCs w:val="22"/>
        </w:rPr>
        <w:t xml:space="preserve">2020: </w:t>
      </w:r>
      <w:r w:rsidRPr="005D68B0">
        <w:rPr>
          <w:rFonts w:ascii="Calibri" w:eastAsia="Calibri" w:hAnsi="Calibri" w:cs="Calibri"/>
          <w:sz w:val="22"/>
          <w:szCs w:val="22"/>
        </w:rPr>
        <w:t>$ 158.942</w:t>
      </w:r>
    </w:p>
    <w:p w14:paraId="72BAF157" w14:textId="47B91BB9" w:rsidR="005D68B0" w:rsidRPr="008668AE" w:rsidRDefault="005D68B0" w:rsidP="005D68B0">
      <w:pPr>
        <w:pStyle w:val="Prrafodelista"/>
        <w:numPr>
          <w:ilvl w:val="0"/>
          <w:numId w:val="3"/>
        </w:numPr>
        <w:spacing w:line="264" w:lineRule="exact"/>
        <w:ind w:right="-20"/>
        <w:jc w:val="both"/>
        <w:rPr>
          <w:rFonts w:ascii="Calibri" w:eastAsia="Calibri" w:hAnsi="Calibri" w:cs="Calibri"/>
          <w:b/>
          <w:bCs/>
          <w:sz w:val="22"/>
          <w:szCs w:val="22"/>
        </w:rPr>
      </w:pPr>
      <w:r>
        <w:rPr>
          <w:rFonts w:ascii="Calibri" w:eastAsia="Calibri" w:hAnsi="Calibri" w:cs="Calibri"/>
          <w:b/>
          <w:bCs/>
          <w:sz w:val="22"/>
          <w:szCs w:val="22"/>
        </w:rPr>
        <w:t xml:space="preserve">Total: </w:t>
      </w:r>
      <w:proofErr w:type="gramStart"/>
      <w:r w:rsidRPr="005D68B0">
        <w:rPr>
          <w:rFonts w:ascii="Calibri" w:eastAsia="Calibri" w:hAnsi="Calibri" w:cs="Calibri"/>
          <w:b/>
          <w:bCs/>
          <w:sz w:val="22"/>
          <w:szCs w:val="22"/>
        </w:rPr>
        <w:t>$  $</w:t>
      </w:r>
      <w:proofErr w:type="gramEnd"/>
      <w:r w:rsidRPr="005D68B0">
        <w:rPr>
          <w:rFonts w:ascii="Calibri" w:eastAsia="Calibri" w:hAnsi="Calibri" w:cs="Calibri"/>
          <w:b/>
          <w:bCs/>
          <w:sz w:val="22"/>
          <w:szCs w:val="22"/>
        </w:rPr>
        <w:t xml:space="preserve"> 4.419.618</w:t>
      </w:r>
    </w:p>
    <w:p w14:paraId="79E84FD1" w14:textId="13C1CF87" w:rsidR="00E60502" w:rsidRPr="008668AE" w:rsidRDefault="00E60502" w:rsidP="00E60502">
      <w:pPr>
        <w:spacing w:line="264" w:lineRule="exact"/>
        <w:ind w:right="-20"/>
        <w:jc w:val="both"/>
        <w:rPr>
          <w:rFonts w:ascii="Calibri" w:eastAsia="Calibri" w:hAnsi="Calibri" w:cs="Calibri"/>
        </w:rPr>
      </w:pPr>
    </w:p>
    <w:p w14:paraId="627E0797" w14:textId="08832EE5" w:rsidR="00E60502" w:rsidRPr="00B82B09" w:rsidRDefault="00E60502" w:rsidP="00B82B09">
      <w:pPr>
        <w:pStyle w:val="Prrafodelista"/>
        <w:numPr>
          <w:ilvl w:val="0"/>
          <w:numId w:val="2"/>
        </w:numPr>
        <w:spacing w:line="264" w:lineRule="exact"/>
        <w:ind w:right="-20"/>
        <w:jc w:val="both"/>
        <w:rPr>
          <w:rFonts w:ascii="Calibri" w:eastAsia="Calibri" w:hAnsi="Calibri" w:cs="Calibri"/>
          <w:sz w:val="22"/>
          <w:szCs w:val="22"/>
          <w:lang w:val="es-CO"/>
        </w:rPr>
      </w:pPr>
      <w:r w:rsidRPr="008668AE">
        <w:rPr>
          <w:rFonts w:ascii="Calibri" w:eastAsia="Calibri" w:hAnsi="Calibri" w:cs="Calibri"/>
          <w:b/>
          <w:bCs/>
          <w:sz w:val="22"/>
          <w:szCs w:val="22"/>
        </w:rPr>
        <w:lastRenderedPageBreak/>
        <w:t xml:space="preserve">Indemnización artículo 65: </w:t>
      </w:r>
      <w:r w:rsidR="00B82B09" w:rsidRPr="008668AE">
        <w:rPr>
          <w:rFonts w:ascii="Calibri" w:eastAsia="Calibri" w:hAnsi="Calibri" w:cs="Calibri"/>
          <w:sz w:val="22"/>
          <w:szCs w:val="22"/>
        </w:rPr>
        <w:t xml:space="preserve">No se No se reconoce, teniendo en cuenta que existen pronunciamientos del Consejo de Estado que indican que es improcedente, </w:t>
      </w:r>
      <w:r w:rsidR="00B82B09">
        <w:rPr>
          <w:rFonts w:ascii="Calibri" w:eastAsia="Calibri" w:hAnsi="Calibri" w:cs="Calibri"/>
          <w:sz w:val="22"/>
          <w:szCs w:val="22"/>
          <w:lang w:val="es-CO"/>
        </w:rPr>
        <w:t>debido a</w:t>
      </w:r>
      <w:r w:rsidR="00B82B09" w:rsidRPr="008668AE">
        <w:rPr>
          <w:rFonts w:ascii="Calibri" w:eastAsia="Calibri" w:hAnsi="Calibri" w:cs="Calibri"/>
          <w:sz w:val="22"/>
          <w:szCs w:val="22"/>
          <w:lang w:val="es-CO"/>
        </w:rPr>
        <w:t xml:space="preserve"> que la decisión que declara la relación laboral </w:t>
      </w:r>
      <w:r w:rsidR="00B82B09">
        <w:rPr>
          <w:rFonts w:ascii="Calibri" w:eastAsia="Calibri" w:hAnsi="Calibri" w:cs="Calibri"/>
          <w:sz w:val="22"/>
          <w:szCs w:val="22"/>
          <w:lang w:val="es-CO"/>
        </w:rPr>
        <w:t>de una eventual sentencia condenatoria</w:t>
      </w:r>
      <w:r w:rsidR="00B82B09" w:rsidRPr="008668AE">
        <w:rPr>
          <w:rFonts w:ascii="Calibri" w:eastAsia="Calibri" w:hAnsi="Calibri" w:cs="Calibri"/>
          <w:sz w:val="22"/>
          <w:szCs w:val="22"/>
          <w:lang w:val="es-CO"/>
        </w:rPr>
        <w:t xml:space="preserve"> es constitutiva de derechos, y a partir de esta nacen los derechos laborales exigidos en la demanda, por ello, no es procedente en la medida en que la obligación de pagar las prestaciones sociales, incluido el auxilio de cesantías, surge a partir de la expedición de la sentencia que reconoce la relación laboral. </w:t>
      </w:r>
      <w:r w:rsidR="00B82B09">
        <w:rPr>
          <w:rFonts w:ascii="Calibri" w:eastAsia="Calibri" w:hAnsi="Calibri" w:cs="Calibri"/>
          <w:sz w:val="22"/>
          <w:szCs w:val="22"/>
          <w:lang w:val="es-CO"/>
        </w:rPr>
        <w:t xml:space="preserve">Ver sentencia: </w:t>
      </w:r>
      <w:r w:rsidR="00B82B09" w:rsidRPr="00B82B09">
        <w:rPr>
          <w:rFonts w:ascii="Calibri" w:eastAsia="Calibri" w:hAnsi="Calibri" w:cs="Calibri"/>
          <w:sz w:val="22"/>
          <w:szCs w:val="22"/>
          <w:lang w:val="es-CO"/>
        </w:rPr>
        <w:t xml:space="preserve">Radicado: 05001-23-33-000-2015-00589-02 </w:t>
      </w:r>
      <w:proofErr w:type="spellStart"/>
      <w:r w:rsidR="00B82B09" w:rsidRPr="00B82B09">
        <w:rPr>
          <w:rFonts w:ascii="Calibri" w:eastAsia="Calibri" w:hAnsi="Calibri" w:cs="Calibri"/>
          <w:sz w:val="22"/>
          <w:szCs w:val="22"/>
          <w:lang w:val="es-CO"/>
        </w:rPr>
        <w:t>Nº</w:t>
      </w:r>
      <w:proofErr w:type="spellEnd"/>
      <w:r w:rsidR="00B82B09" w:rsidRPr="00B82B09">
        <w:rPr>
          <w:rFonts w:ascii="Calibri" w:eastAsia="Calibri" w:hAnsi="Calibri" w:cs="Calibri"/>
          <w:sz w:val="22"/>
          <w:szCs w:val="22"/>
          <w:lang w:val="es-CO"/>
        </w:rPr>
        <w:t xml:space="preserve"> Interno: 1241-2023 Medio de control: Nulidad y restablecimiento del derecho – Ley 1437 de 2011 Tema: Contrato realidad</w:t>
      </w:r>
      <w:r w:rsidR="00B82B09">
        <w:rPr>
          <w:rFonts w:ascii="Calibri" w:eastAsia="Calibri" w:hAnsi="Calibri" w:cs="Calibri"/>
          <w:sz w:val="22"/>
          <w:szCs w:val="22"/>
          <w:lang w:val="es-CO"/>
        </w:rPr>
        <w:t xml:space="preserve"> </w:t>
      </w:r>
    </w:p>
    <w:p w14:paraId="2ED737E0" w14:textId="77777777" w:rsidR="008C59D7" w:rsidRPr="008668AE" w:rsidRDefault="008C59D7" w:rsidP="008C59D7">
      <w:pPr>
        <w:pStyle w:val="Prrafodelista"/>
        <w:spacing w:line="264" w:lineRule="exact"/>
        <w:ind w:right="-20"/>
        <w:jc w:val="both"/>
        <w:rPr>
          <w:rFonts w:ascii="Calibri" w:eastAsia="Calibri" w:hAnsi="Calibri" w:cs="Calibri"/>
          <w:b/>
          <w:bCs/>
          <w:sz w:val="22"/>
          <w:szCs w:val="22"/>
        </w:rPr>
      </w:pPr>
    </w:p>
    <w:p w14:paraId="5F2E2B83" w14:textId="59803314" w:rsidR="008C59D7" w:rsidRPr="008668AE" w:rsidRDefault="008C59D7" w:rsidP="00E60502">
      <w:pPr>
        <w:pStyle w:val="Prrafodelista"/>
        <w:numPr>
          <w:ilvl w:val="0"/>
          <w:numId w:val="2"/>
        </w:numPr>
        <w:spacing w:line="264" w:lineRule="exact"/>
        <w:ind w:right="-20"/>
        <w:jc w:val="both"/>
        <w:rPr>
          <w:rFonts w:ascii="Calibri" w:eastAsia="Calibri" w:hAnsi="Calibri" w:cs="Calibri"/>
          <w:b/>
          <w:bCs/>
          <w:sz w:val="22"/>
          <w:szCs w:val="22"/>
        </w:rPr>
      </w:pPr>
      <w:r w:rsidRPr="008668AE">
        <w:rPr>
          <w:rFonts w:ascii="Calibri" w:eastAsia="Calibri" w:hAnsi="Calibri" w:cs="Calibri"/>
          <w:b/>
          <w:bCs/>
          <w:sz w:val="22"/>
          <w:szCs w:val="22"/>
        </w:rPr>
        <w:t xml:space="preserve">Indemnización despido sin justa causa: </w:t>
      </w:r>
      <w:r w:rsidR="008668AE" w:rsidRPr="008668AE">
        <w:rPr>
          <w:rFonts w:ascii="Calibri" w:eastAsia="Calibri" w:hAnsi="Calibri" w:cs="Calibri"/>
          <w:sz w:val="22"/>
          <w:szCs w:val="22"/>
        </w:rPr>
        <w:t xml:space="preserve">No se reconoce, teniendo en cuenta que existen pronunciamientos del Consejo de Estado que indican que es improcedente comoquiera que la demandante no se vinculó a través de un contrato de trabajo. </w:t>
      </w:r>
      <w:r w:rsidR="00B82B09">
        <w:rPr>
          <w:rFonts w:ascii="Calibri" w:eastAsia="Calibri" w:hAnsi="Calibri" w:cs="Calibri"/>
          <w:sz w:val="22"/>
          <w:szCs w:val="22"/>
        </w:rPr>
        <w:t xml:space="preserve">Ver sentencia: </w:t>
      </w:r>
      <w:r w:rsidR="00B82B09" w:rsidRPr="00B82B09">
        <w:rPr>
          <w:rFonts w:ascii="Calibri" w:eastAsia="Calibri" w:hAnsi="Calibri" w:cs="Calibri"/>
          <w:sz w:val="22"/>
          <w:szCs w:val="22"/>
        </w:rPr>
        <w:t>CONSEJO DE ESTADO SALA DE LO CONTENCIOSO ADMINISTRATIVO SECCIÓN SEGUNDA - SUBSECCIÓN A MAGISTRADO PONENTE: LUIS EDUARDO MESA NIEVES Bogotá D.C., veinte (20) de noviembre de dos mil veinticuatro (2024) Referencia: Nulidad y restablecimiento del derecho Radicación: 63001233300020190017401 (1533-2021)</w:t>
      </w:r>
    </w:p>
    <w:p w14:paraId="06DA3E6D" w14:textId="77777777" w:rsidR="008C59D7" w:rsidRPr="005D68B0" w:rsidRDefault="008C59D7" w:rsidP="005D68B0">
      <w:pPr>
        <w:rPr>
          <w:rFonts w:ascii="Calibri" w:eastAsia="Calibri" w:hAnsi="Calibri" w:cs="Calibri"/>
        </w:rPr>
      </w:pPr>
    </w:p>
    <w:p w14:paraId="503F2831" w14:textId="4548C361" w:rsidR="008C59D7" w:rsidRPr="008668AE" w:rsidRDefault="008C59D7" w:rsidP="00394358">
      <w:pPr>
        <w:pStyle w:val="Prrafodelista"/>
        <w:numPr>
          <w:ilvl w:val="0"/>
          <w:numId w:val="2"/>
        </w:numPr>
        <w:spacing w:line="264" w:lineRule="exact"/>
        <w:ind w:right="-20"/>
        <w:jc w:val="both"/>
        <w:rPr>
          <w:rFonts w:ascii="Calibri" w:eastAsia="Calibri" w:hAnsi="Calibri" w:cs="Calibri"/>
          <w:sz w:val="22"/>
          <w:szCs w:val="22"/>
        </w:rPr>
      </w:pPr>
      <w:r w:rsidRPr="008668AE">
        <w:rPr>
          <w:rFonts w:ascii="Calibri" w:eastAsia="Calibri" w:hAnsi="Calibri" w:cs="Calibri"/>
          <w:b/>
          <w:bCs/>
          <w:sz w:val="22"/>
          <w:szCs w:val="22"/>
        </w:rPr>
        <w:t xml:space="preserve">TOTAL: $ </w:t>
      </w:r>
      <w:r w:rsidR="005D68B0">
        <w:rPr>
          <w:rFonts w:ascii="Calibri" w:eastAsia="Calibri" w:hAnsi="Calibri" w:cs="Calibri"/>
          <w:b/>
          <w:bCs/>
          <w:sz w:val="22"/>
          <w:szCs w:val="22"/>
        </w:rPr>
        <w:t>9.304.922</w:t>
      </w:r>
    </w:p>
    <w:p w14:paraId="60028CE4" w14:textId="77777777" w:rsidR="00237528" w:rsidRPr="008668AE" w:rsidRDefault="00237528" w:rsidP="00237528">
      <w:pPr>
        <w:jc w:val="both"/>
        <w:rPr>
          <w:b/>
          <w:bCs/>
        </w:rPr>
      </w:pPr>
    </w:p>
    <w:p w14:paraId="15A1B267" w14:textId="75E77985" w:rsidR="00237528" w:rsidRPr="008668AE" w:rsidRDefault="00237528" w:rsidP="00237528">
      <w:pPr>
        <w:jc w:val="both"/>
        <w:rPr>
          <w:b/>
          <w:bCs/>
        </w:rPr>
      </w:pPr>
      <w:r w:rsidRPr="008668AE">
        <w:rPr>
          <w:b/>
          <w:bCs/>
        </w:rPr>
        <w:t xml:space="preserve">Calificación de la contingencia: </w:t>
      </w:r>
      <w:r w:rsidR="007F431C" w:rsidRPr="008668AE">
        <w:rPr>
          <w:b/>
          <w:bCs/>
        </w:rPr>
        <w:t>REMOTA</w:t>
      </w:r>
    </w:p>
    <w:p w14:paraId="667DCE70" w14:textId="45CE6D1C" w:rsidR="0023604D" w:rsidRPr="008668AE" w:rsidRDefault="0023604D" w:rsidP="0023604D">
      <w:pPr>
        <w:tabs>
          <w:tab w:val="left" w:pos="3520"/>
        </w:tabs>
        <w:spacing w:after="0" w:line="264" w:lineRule="exact"/>
        <w:ind w:left="59" w:right="-20"/>
        <w:jc w:val="both"/>
        <w:rPr>
          <w:rFonts w:ascii="Calibri" w:eastAsia="Calibri" w:hAnsi="Calibri" w:cs="Calibri"/>
        </w:rPr>
      </w:pPr>
      <w:r w:rsidRPr="008668AE">
        <w:rPr>
          <w:rFonts w:ascii="Calibri" w:eastAsia="Calibri" w:hAnsi="Calibri" w:cs="Calibri"/>
        </w:rPr>
        <w:t>La calificación de la contingencia e</w:t>
      </w:r>
      <w:r w:rsidR="00CC7E92" w:rsidRPr="008668AE">
        <w:rPr>
          <w:rFonts w:ascii="Calibri" w:eastAsia="Calibri" w:hAnsi="Calibri" w:cs="Calibri"/>
        </w:rPr>
        <w:t xml:space="preserve">s </w:t>
      </w:r>
      <w:r w:rsidR="00CC7E92" w:rsidRPr="008668AE">
        <w:rPr>
          <w:rFonts w:ascii="Calibri" w:eastAsia="Calibri" w:hAnsi="Calibri" w:cs="Calibri"/>
          <w:b/>
          <w:bCs/>
        </w:rPr>
        <w:t>REMOTA</w:t>
      </w:r>
      <w:r w:rsidR="00394358" w:rsidRPr="008668AE">
        <w:rPr>
          <w:rFonts w:ascii="Calibri" w:eastAsia="Calibri" w:hAnsi="Calibri" w:cs="Calibri"/>
        </w:rPr>
        <w:t xml:space="preserve">, debido a que la Póliza </w:t>
      </w:r>
      <w:r w:rsidR="00CC7E92" w:rsidRPr="008668AE">
        <w:rPr>
          <w:rFonts w:ascii="Calibri" w:eastAsia="Calibri" w:hAnsi="Calibri" w:cs="Calibri"/>
        </w:rPr>
        <w:t xml:space="preserve">no </w:t>
      </w:r>
      <w:r w:rsidR="00394358" w:rsidRPr="008668AE">
        <w:rPr>
          <w:rFonts w:ascii="Calibri" w:eastAsia="Calibri" w:hAnsi="Calibri" w:cs="Calibri"/>
        </w:rPr>
        <w:t>presta cobertura material</w:t>
      </w:r>
      <w:r w:rsidR="00CC7E92" w:rsidRPr="008668AE">
        <w:rPr>
          <w:rFonts w:ascii="Calibri" w:eastAsia="Calibri" w:hAnsi="Calibri" w:cs="Calibri"/>
        </w:rPr>
        <w:t xml:space="preserve"> </w:t>
      </w:r>
      <w:r w:rsidR="009B451D">
        <w:rPr>
          <w:rFonts w:ascii="Calibri" w:eastAsia="Calibri" w:hAnsi="Calibri" w:cs="Calibri"/>
        </w:rPr>
        <w:t xml:space="preserve">ni temporal </w:t>
      </w:r>
      <w:r w:rsidR="00CC7E92" w:rsidRPr="008668AE">
        <w:rPr>
          <w:rFonts w:ascii="Calibri" w:eastAsia="Calibri" w:hAnsi="Calibri" w:cs="Calibri"/>
        </w:rPr>
        <w:t>y además se configuró la prescripción de las acciones derivadas del contrato de seguro</w:t>
      </w:r>
      <w:r w:rsidR="00394358" w:rsidRPr="008668AE">
        <w:rPr>
          <w:rFonts w:ascii="Calibri" w:eastAsia="Calibri" w:hAnsi="Calibri" w:cs="Calibri"/>
        </w:rPr>
        <w:t xml:space="preserve"> y acreditar o desvirtuar la responsabilidad del asegurado dependerá del debate probatorio que se surta en el desarrollo del proceso. </w:t>
      </w:r>
    </w:p>
    <w:p w14:paraId="3F6477D1" w14:textId="77777777" w:rsidR="00394358" w:rsidRPr="008668AE" w:rsidRDefault="00394358" w:rsidP="0023604D">
      <w:pPr>
        <w:tabs>
          <w:tab w:val="left" w:pos="3520"/>
        </w:tabs>
        <w:spacing w:after="0" w:line="264" w:lineRule="exact"/>
        <w:ind w:left="59" w:right="-20"/>
        <w:jc w:val="both"/>
        <w:rPr>
          <w:rFonts w:ascii="Calibri" w:eastAsia="Calibri" w:hAnsi="Calibri" w:cs="Calibri"/>
        </w:rPr>
      </w:pPr>
    </w:p>
    <w:p w14:paraId="036584D2" w14:textId="6413D08A" w:rsidR="0023604D" w:rsidRPr="008668AE" w:rsidRDefault="0023604D" w:rsidP="0023604D">
      <w:pPr>
        <w:tabs>
          <w:tab w:val="left" w:pos="3520"/>
        </w:tabs>
        <w:spacing w:after="0" w:line="264" w:lineRule="exact"/>
        <w:ind w:left="59" w:right="-20"/>
        <w:jc w:val="both"/>
        <w:rPr>
          <w:rFonts w:ascii="Calibri" w:eastAsia="Calibri" w:hAnsi="Calibri" w:cs="Calibri"/>
        </w:rPr>
      </w:pPr>
      <w:r w:rsidRPr="008668AE">
        <w:rPr>
          <w:rFonts w:ascii="Calibri" w:eastAsia="Calibri" w:hAnsi="Calibri" w:cs="Calibri"/>
        </w:rPr>
        <w:t>Respecto al contrato de seguro</w:t>
      </w:r>
      <w:r w:rsidR="00394358" w:rsidRPr="008668AE">
        <w:rPr>
          <w:rFonts w:ascii="Calibri" w:eastAsia="Calibri" w:hAnsi="Calibri" w:cs="Calibri"/>
        </w:rPr>
        <w:t xml:space="preserve"> pactado en la Póliza de </w:t>
      </w:r>
      <w:r w:rsidR="0036098E" w:rsidRPr="008668AE">
        <w:rPr>
          <w:rFonts w:ascii="Calibri" w:eastAsia="Calibri" w:hAnsi="Calibri" w:cs="Calibri"/>
        </w:rPr>
        <w:t xml:space="preserve">cumplimiento en favor de entidades estatales No. </w:t>
      </w:r>
      <w:r w:rsidR="00A70B4B" w:rsidRPr="00A70B4B">
        <w:rPr>
          <w:rFonts w:ascii="Calibri" w:eastAsia="Calibri" w:hAnsi="Calibri" w:cs="Calibri"/>
        </w:rPr>
        <w:t>GU146225</w:t>
      </w:r>
      <w:r w:rsidRPr="008668AE">
        <w:rPr>
          <w:rFonts w:ascii="Calibri" w:eastAsia="Calibri" w:hAnsi="Calibri" w:cs="Calibri"/>
        </w:rPr>
        <w:t>,</w:t>
      </w:r>
      <w:r w:rsidR="00394358" w:rsidRPr="008668AE">
        <w:rPr>
          <w:rFonts w:ascii="Calibri" w:eastAsia="Calibri" w:hAnsi="Calibri" w:cs="Calibri"/>
        </w:rPr>
        <w:t xml:space="preserve"> se debe indicar que </w:t>
      </w:r>
      <w:r w:rsidR="0036098E" w:rsidRPr="008668AE">
        <w:rPr>
          <w:rFonts w:ascii="Calibri" w:eastAsia="Calibri" w:hAnsi="Calibri" w:cs="Calibri"/>
        </w:rPr>
        <w:t>ésta no</w:t>
      </w:r>
      <w:r w:rsidR="00394358" w:rsidRPr="008668AE">
        <w:rPr>
          <w:rFonts w:ascii="Calibri" w:eastAsia="Calibri" w:hAnsi="Calibri" w:cs="Calibri"/>
        </w:rPr>
        <w:t xml:space="preserve"> presta cobertura material,</w:t>
      </w:r>
      <w:r w:rsidR="0036098E" w:rsidRPr="008668AE">
        <w:rPr>
          <w:rFonts w:ascii="Calibri" w:eastAsia="Calibri" w:hAnsi="Calibri" w:cs="Calibri"/>
        </w:rPr>
        <w:t xml:space="preserve"> por cuanto, el objeto de amparo es el incumplimiento de las obligaciones laborales en que haya incurrido la </w:t>
      </w:r>
      <w:r w:rsidR="00A70B4B">
        <w:rPr>
          <w:rFonts w:ascii="Calibri" w:eastAsia="Calibri" w:hAnsi="Calibri" w:cs="Calibri"/>
        </w:rPr>
        <w:t>FUNDACIÓN PASCUAL BRAVO</w:t>
      </w:r>
      <w:r w:rsidR="0036098E" w:rsidRPr="008668AE">
        <w:rPr>
          <w:rFonts w:ascii="Calibri" w:eastAsia="Calibri" w:hAnsi="Calibri" w:cs="Calibri"/>
        </w:rPr>
        <w:t xml:space="preserve"> y que generen una consecuencia negativa en contra del asegurado </w:t>
      </w:r>
      <w:r w:rsidR="00A70B4B">
        <w:rPr>
          <w:rFonts w:ascii="Calibri" w:eastAsia="Calibri" w:hAnsi="Calibri" w:cs="Calibri"/>
        </w:rPr>
        <w:t>MUNICIPIO DE MEDELLÍN</w:t>
      </w:r>
      <w:r w:rsidR="0036098E" w:rsidRPr="008668AE">
        <w:rPr>
          <w:rFonts w:ascii="Calibri" w:eastAsia="Calibri" w:hAnsi="Calibri" w:cs="Calibri"/>
        </w:rPr>
        <w:t xml:space="preserve">; situación que no está siendo objeto de debate en el litigio, debido a que, lo que pretende el medio de control es declarar la existencia de una relación laboral entre la demandante y el </w:t>
      </w:r>
      <w:r w:rsidR="00A70B4B">
        <w:rPr>
          <w:rFonts w:ascii="Calibri" w:eastAsia="Calibri" w:hAnsi="Calibri" w:cs="Calibri"/>
        </w:rPr>
        <w:t>MUNICIPIO DE MEDELLÍN</w:t>
      </w:r>
      <w:r w:rsidR="0036098E" w:rsidRPr="008668AE">
        <w:rPr>
          <w:rFonts w:ascii="Calibri" w:eastAsia="Calibri" w:hAnsi="Calibri" w:cs="Calibri"/>
        </w:rPr>
        <w:t xml:space="preserve">, </w:t>
      </w:r>
      <w:r w:rsidR="00A70B4B">
        <w:rPr>
          <w:rFonts w:ascii="Calibri" w:eastAsia="Calibri" w:hAnsi="Calibri" w:cs="Calibri"/>
        </w:rPr>
        <w:t>a</w:t>
      </w:r>
      <w:r w:rsidR="0036098E" w:rsidRPr="008668AE">
        <w:rPr>
          <w:rFonts w:ascii="Calibri" w:eastAsia="Calibri" w:hAnsi="Calibri" w:cs="Calibri"/>
        </w:rPr>
        <w:t xml:space="preserve">sí las cosas, es claro que el contrato de seguro no ampara los incumplimientos en los que directamente llegare a incurrir el </w:t>
      </w:r>
      <w:r w:rsidR="00CB68EE">
        <w:rPr>
          <w:rFonts w:ascii="Calibri" w:eastAsia="Calibri" w:hAnsi="Calibri" w:cs="Calibri"/>
        </w:rPr>
        <w:t>asegurado</w:t>
      </w:r>
      <w:r w:rsidR="00A70B4B">
        <w:rPr>
          <w:rFonts w:ascii="Calibri" w:eastAsia="Calibri" w:hAnsi="Calibri" w:cs="Calibri"/>
        </w:rPr>
        <w:t xml:space="preserve">; máxime cuando, </w:t>
      </w:r>
      <w:r w:rsidR="009B451D">
        <w:rPr>
          <w:rFonts w:ascii="Calibri" w:eastAsia="Calibri" w:hAnsi="Calibri" w:cs="Calibri"/>
        </w:rPr>
        <w:t xml:space="preserve">nos encontramos frente a actos meramente potestativos que son, por ministerio de la ley </w:t>
      </w:r>
      <w:proofErr w:type="spellStart"/>
      <w:r w:rsidR="009B451D">
        <w:rPr>
          <w:rFonts w:ascii="Calibri" w:eastAsia="Calibri" w:hAnsi="Calibri" w:cs="Calibri"/>
        </w:rPr>
        <w:t>inasegurables</w:t>
      </w:r>
      <w:proofErr w:type="spellEnd"/>
      <w:r w:rsidR="009B451D">
        <w:rPr>
          <w:rFonts w:ascii="Calibri" w:eastAsia="Calibri" w:hAnsi="Calibri" w:cs="Calibri"/>
        </w:rPr>
        <w:t xml:space="preserve"> (Art. 1555 </w:t>
      </w:r>
      <w:proofErr w:type="spellStart"/>
      <w:r w:rsidR="009B451D">
        <w:rPr>
          <w:rFonts w:ascii="Calibri" w:eastAsia="Calibri" w:hAnsi="Calibri" w:cs="Calibri"/>
        </w:rPr>
        <w:t>C.Co</w:t>
      </w:r>
      <w:proofErr w:type="spellEnd"/>
      <w:r w:rsidR="009B451D">
        <w:rPr>
          <w:rFonts w:ascii="Calibri" w:eastAsia="Calibri" w:hAnsi="Calibri" w:cs="Calibri"/>
        </w:rPr>
        <w:t>)</w:t>
      </w:r>
      <w:r w:rsidR="00394358" w:rsidRPr="008668AE">
        <w:rPr>
          <w:rFonts w:ascii="Calibri" w:eastAsia="Calibri" w:hAnsi="Calibri" w:cs="Calibri"/>
        </w:rPr>
        <w:t xml:space="preserve">. </w:t>
      </w:r>
      <w:r w:rsidR="0036098E" w:rsidRPr="008668AE">
        <w:rPr>
          <w:rFonts w:ascii="Calibri" w:eastAsia="Calibri" w:hAnsi="Calibri" w:cs="Calibri"/>
        </w:rPr>
        <w:t>Respecto a la</w:t>
      </w:r>
      <w:r w:rsidRPr="008668AE">
        <w:rPr>
          <w:rFonts w:ascii="Calibri" w:eastAsia="Calibri" w:hAnsi="Calibri" w:cs="Calibri"/>
        </w:rPr>
        <w:t xml:space="preserve"> cobertura temporal, </w:t>
      </w:r>
      <w:r w:rsidR="0036098E" w:rsidRPr="008668AE">
        <w:rPr>
          <w:rFonts w:ascii="Calibri" w:eastAsia="Calibri" w:hAnsi="Calibri" w:cs="Calibri"/>
        </w:rPr>
        <w:t xml:space="preserve">es necesario indicar que la Póliza de cumplimiento </w:t>
      </w:r>
      <w:r w:rsidR="009B451D">
        <w:rPr>
          <w:rFonts w:ascii="Calibri" w:eastAsia="Calibri" w:hAnsi="Calibri" w:cs="Calibri"/>
        </w:rPr>
        <w:t xml:space="preserve">No. </w:t>
      </w:r>
      <w:r w:rsidR="009B451D" w:rsidRPr="009B451D">
        <w:rPr>
          <w:rFonts w:ascii="Calibri" w:eastAsia="Calibri" w:hAnsi="Calibri" w:cs="Calibri"/>
        </w:rPr>
        <w:t>GU146225</w:t>
      </w:r>
      <w:r w:rsidR="009B451D">
        <w:rPr>
          <w:rFonts w:ascii="Calibri" w:eastAsia="Calibri" w:hAnsi="Calibri" w:cs="Calibri"/>
        </w:rPr>
        <w:t xml:space="preserve"> </w:t>
      </w:r>
      <w:r w:rsidR="0036098E" w:rsidRPr="008668AE">
        <w:rPr>
          <w:rFonts w:ascii="Calibri" w:eastAsia="Calibri" w:hAnsi="Calibri" w:cs="Calibri"/>
        </w:rPr>
        <w:t>cuenta con</w:t>
      </w:r>
      <w:r w:rsidR="009B451D">
        <w:rPr>
          <w:rFonts w:ascii="Calibri" w:eastAsia="Calibri" w:hAnsi="Calibri" w:cs="Calibri"/>
        </w:rPr>
        <w:t xml:space="preserve"> una vigencia que corrió desde el 1 de abril de 2019 hasta el 31 de diciembre de 2022</w:t>
      </w:r>
      <w:r w:rsidR="00077738" w:rsidRPr="008668AE">
        <w:rPr>
          <w:rFonts w:ascii="Calibri" w:eastAsia="Calibri" w:hAnsi="Calibri" w:cs="Calibri"/>
        </w:rPr>
        <w:t xml:space="preserve">; </w:t>
      </w:r>
      <w:r w:rsidR="009B451D">
        <w:rPr>
          <w:rFonts w:ascii="Calibri" w:eastAsia="Calibri" w:hAnsi="Calibri" w:cs="Calibri"/>
        </w:rPr>
        <w:t xml:space="preserve">en </w:t>
      </w:r>
      <w:r w:rsidR="00CB68EE">
        <w:rPr>
          <w:rFonts w:ascii="Calibri" w:eastAsia="Calibri" w:hAnsi="Calibri" w:cs="Calibri"/>
        </w:rPr>
        <w:t>e</w:t>
      </w:r>
      <w:r w:rsidR="009B451D">
        <w:rPr>
          <w:rFonts w:ascii="Calibri" w:eastAsia="Calibri" w:hAnsi="Calibri" w:cs="Calibri"/>
        </w:rPr>
        <w:t xml:space="preserve">sta Póliza no se aclaró cuál es la modalidad de cobertura; por lo que se asume que es ocurrencia, de conformidad con la regla general establecida en el artículo 1073 del Código de Comercio; </w:t>
      </w:r>
      <w:r w:rsidR="00CB68EE">
        <w:rPr>
          <w:rFonts w:ascii="Calibri" w:eastAsia="Calibri" w:hAnsi="Calibri" w:cs="Calibri"/>
        </w:rPr>
        <w:t>de forma que</w:t>
      </w:r>
      <w:r w:rsidR="00077738" w:rsidRPr="008668AE">
        <w:rPr>
          <w:rFonts w:ascii="Calibri" w:eastAsia="Calibri" w:hAnsi="Calibri" w:cs="Calibri"/>
        </w:rPr>
        <w:t xml:space="preserve"> </w:t>
      </w:r>
      <w:r w:rsidR="00CB68EE">
        <w:rPr>
          <w:rFonts w:ascii="Calibri" w:eastAsia="Calibri" w:hAnsi="Calibri" w:cs="Calibri"/>
        </w:rPr>
        <w:t xml:space="preserve">se </w:t>
      </w:r>
      <w:r w:rsidR="00077738" w:rsidRPr="008668AE">
        <w:rPr>
          <w:rFonts w:ascii="Calibri" w:eastAsia="Calibri" w:hAnsi="Calibri" w:cs="Calibri"/>
        </w:rPr>
        <w:t xml:space="preserve">cubren los siniestros que se presenten </w:t>
      </w:r>
      <w:r w:rsidR="00CB68EE">
        <w:rPr>
          <w:rFonts w:ascii="Calibri" w:eastAsia="Calibri" w:hAnsi="Calibri" w:cs="Calibri"/>
        </w:rPr>
        <w:t>durante</w:t>
      </w:r>
      <w:r w:rsidR="00077738" w:rsidRPr="008668AE">
        <w:rPr>
          <w:rFonts w:ascii="Calibri" w:eastAsia="Calibri" w:hAnsi="Calibri" w:cs="Calibri"/>
        </w:rPr>
        <w:t xml:space="preserve"> la vigencia de la Póliza</w:t>
      </w:r>
      <w:r w:rsidR="009B451D">
        <w:rPr>
          <w:rFonts w:ascii="Calibri" w:eastAsia="Calibri" w:hAnsi="Calibri" w:cs="Calibri"/>
        </w:rPr>
        <w:t>. De conformidad con los hechos de la demanda, se pretende la indemnización a través del reconocimiento de un contrato realidad por un periodo comprendido desde el 11 de septiembre de 2017 hasta el 31 de enero de 2020; razón por la cual es importante tener en cuenta lo indicado en el inciso segundo del artículo 1073 del Código del Comercio, según el cual, si el siniestro inicia antes del periodo de vigencia y continúa después de</w:t>
      </w:r>
      <w:r w:rsidR="00CB68EE">
        <w:rPr>
          <w:rFonts w:ascii="Calibri" w:eastAsia="Calibri" w:hAnsi="Calibri" w:cs="Calibri"/>
        </w:rPr>
        <w:t xml:space="preserve"> su inicio; </w:t>
      </w:r>
      <w:r w:rsidR="009B451D">
        <w:rPr>
          <w:rFonts w:ascii="Calibri" w:eastAsia="Calibri" w:hAnsi="Calibri" w:cs="Calibri"/>
        </w:rPr>
        <w:t xml:space="preserve">la Póliza no podrá ser afectada. </w:t>
      </w:r>
      <w:r w:rsidR="00FC4B58">
        <w:rPr>
          <w:rFonts w:ascii="Calibri" w:eastAsia="Calibri" w:hAnsi="Calibri" w:cs="Calibri"/>
        </w:rPr>
        <w:t>En el caso concreto, el siniestro inició el 11 de septiembre de 2017, esto es, con anterioridad al inicio de vigencia, de forma que, la Póliza no ofrece cobertura temporal</w:t>
      </w:r>
      <w:r w:rsidR="00077738" w:rsidRPr="008668AE">
        <w:rPr>
          <w:rFonts w:ascii="Calibri" w:eastAsia="Calibri" w:hAnsi="Calibri" w:cs="Calibri"/>
        </w:rPr>
        <w:t xml:space="preserve">. Finalmente, respecto al llamamiento </w:t>
      </w:r>
      <w:r w:rsidR="00077738" w:rsidRPr="008668AE">
        <w:rPr>
          <w:rFonts w:ascii="Calibri" w:eastAsia="Calibri" w:hAnsi="Calibri" w:cs="Calibri"/>
        </w:rPr>
        <w:lastRenderedPageBreak/>
        <w:t>en garantía,</w:t>
      </w:r>
      <w:r w:rsidR="00FC4B58">
        <w:rPr>
          <w:rFonts w:ascii="Calibri" w:eastAsia="Calibri" w:hAnsi="Calibri" w:cs="Calibri"/>
        </w:rPr>
        <w:t xml:space="preserve"> es necesario indicar, que de conformidad con las pruebas que obran en el expediente, el llamante: DISTRITO ESPECIAL DE MEDELLÍN, tuvo conocimiento de los hechos </w:t>
      </w:r>
      <w:r w:rsidR="00FC4B58">
        <w:rPr>
          <w:rFonts w:ascii="Calibri" w:eastAsia="Calibri" w:hAnsi="Calibri" w:cs="Calibri"/>
        </w:rPr>
        <w:t>el 13 de junio de 2020</w:t>
      </w:r>
      <w:r w:rsidR="00FC4B58">
        <w:rPr>
          <w:rFonts w:ascii="Calibri" w:eastAsia="Calibri" w:hAnsi="Calibri" w:cs="Calibri"/>
        </w:rPr>
        <w:t xml:space="preserve">, por un trámite de tutela </w:t>
      </w:r>
      <w:r w:rsidR="00FC4B58" w:rsidRPr="00FC4B58">
        <w:rPr>
          <w:rFonts w:ascii="Calibri" w:eastAsia="Calibri" w:hAnsi="Calibri" w:cs="Calibri"/>
        </w:rPr>
        <w:t>cursado en el Juzgado 31 Penal Municipal con Funciones de Control de Garantías bajo radicado No. 2020-94</w:t>
      </w:r>
      <w:r w:rsidR="00FC4B58">
        <w:rPr>
          <w:rFonts w:ascii="Calibri" w:eastAsia="Calibri" w:hAnsi="Calibri" w:cs="Calibri"/>
        </w:rPr>
        <w:t xml:space="preserve">; razón por la cual, contaba hasta el 13 de junio de 2022 para </w:t>
      </w:r>
      <w:r w:rsidR="00FC4B58" w:rsidRPr="00FC4B58">
        <w:rPr>
          <w:rFonts w:ascii="Calibri" w:eastAsia="Calibri" w:hAnsi="Calibri" w:cs="Calibri"/>
        </w:rPr>
        <w:t>ejercer la acción derivada de la Póliza de Cumplimiento a Favor de Entidades Estatales No. GU146225</w:t>
      </w:r>
      <w:r w:rsidR="00FC4B58">
        <w:rPr>
          <w:rFonts w:ascii="Calibri" w:eastAsia="Calibri" w:hAnsi="Calibri" w:cs="Calibri"/>
        </w:rPr>
        <w:t>. Término que fue incumplido por el asegurado, al radicar el llamamiento el día 19 de septiembre de 2022, esto es, tres meses después de la configuración de la prescripción ordinaria de las acciones derivadas del contrato de seguro.</w:t>
      </w:r>
    </w:p>
    <w:p w14:paraId="7E1A76B4" w14:textId="79D4DCAE" w:rsidR="0023604D" w:rsidRPr="008668AE" w:rsidRDefault="0023604D" w:rsidP="008C4C99">
      <w:pPr>
        <w:tabs>
          <w:tab w:val="left" w:pos="3520"/>
        </w:tabs>
        <w:spacing w:after="0" w:line="264" w:lineRule="exact"/>
        <w:ind w:left="59" w:right="-20"/>
        <w:jc w:val="both"/>
        <w:rPr>
          <w:rFonts w:ascii="Calibri" w:eastAsia="Calibri" w:hAnsi="Calibri" w:cs="Calibri"/>
        </w:rPr>
      </w:pPr>
      <w:r w:rsidRPr="008668AE">
        <w:rPr>
          <w:rFonts w:ascii="Calibri" w:eastAsia="Calibri" w:hAnsi="Calibri" w:cs="Calibri"/>
        </w:rPr>
        <w:tab/>
      </w:r>
    </w:p>
    <w:p w14:paraId="5848CAA1" w14:textId="04CE479A" w:rsidR="0023604D" w:rsidRPr="008668AE" w:rsidRDefault="0023604D" w:rsidP="0023604D">
      <w:pPr>
        <w:tabs>
          <w:tab w:val="left" w:pos="3520"/>
        </w:tabs>
        <w:spacing w:after="0" w:line="264" w:lineRule="exact"/>
        <w:ind w:left="59" w:right="-20"/>
        <w:jc w:val="both"/>
        <w:rPr>
          <w:rFonts w:ascii="Calibri" w:eastAsia="Calibri" w:hAnsi="Calibri" w:cs="Calibri"/>
        </w:rPr>
      </w:pPr>
      <w:r w:rsidRPr="008668AE">
        <w:rPr>
          <w:rFonts w:ascii="Calibri" w:eastAsia="Calibri" w:hAnsi="Calibri" w:cs="Calibri"/>
        </w:rPr>
        <w:t>Ahora bien,</w:t>
      </w:r>
      <w:r w:rsidR="008C4C99" w:rsidRPr="008668AE">
        <w:rPr>
          <w:rFonts w:ascii="Calibri" w:eastAsia="Calibri" w:hAnsi="Calibri" w:cs="Calibri"/>
        </w:rPr>
        <w:t xml:space="preserve"> respecto a la responsabilidad del asegurado,</w:t>
      </w:r>
      <w:r w:rsidR="00494C81" w:rsidRPr="008668AE">
        <w:rPr>
          <w:rFonts w:ascii="Calibri" w:eastAsia="Calibri" w:hAnsi="Calibri" w:cs="Calibri"/>
        </w:rPr>
        <w:t xml:space="preserve"> aún no se encuentran probados los elementos esenciales de un contrato laboral, sin embargo, el proceso aún se encuentra en una etapa temprana, por lo que no se han </w:t>
      </w:r>
      <w:r w:rsidR="00CB68EE">
        <w:rPr>
          <w:rFonts w:ascii="Calibri" w:eastAsia="Calibri" w:hAnsi="Calibri" w:cs="Calibri"/>
        </w:rPr>
        <w:t xml:space="preserve">practicado </w:t>
      </w:r>
      <w:r w:rsidR="00494C81" w:rsidRPr="008668AE">
        <w:rPr>
          <w:rFonts w:ascii="Calibri" w:eastAsia="Calibri" w:hAnsi="Calibri" w:cs="Calibri"/>
        </w:rPr>
        <w:t>pruebas más allá de las documentales aportadas con el escrito inicial</w:t>
      </w:r>
      <w:r w:rsidR="00FD2E6E" w:rsidRPr="008668AE">
        <w:rPr>
          <w:rFonts w:ascii="Calibri" w:eastAsia="Calibri" w:hAnsi="Calibri" w:cs="Calibri"/>
        </w:rPr>
        <w:t xml:space="preserve">. </w:t>
      </w:r>
      <w:r w:rsidR="00FC4B58">
        <w:rPr>
          <w:rFonts w:ascii="Calibri" w:eastAsia="Calibri" w:hAnsi="Calibri" w:cs="Calibri"/>
        </w:rPr>
        <w:t xml:space="preserve">No obstante, es importante anotar, que la pretensión principal de la demanda es la nulidad del oficio del </w:t>
      </w:r>
      <w:r w:rsidR="00FC4B58" w:rsidRPr="00FC4B58">
        <w:rPr>
          <w:rFonts w:ascii="Calibri" w:eastAsia="Calibri" w:hAnsi="Calibri" w:cs="Calibri"/>
        </w:rPr>
        <w:t>25 de marzo de 2021 con radicado 202130126040</w:t>
      </w:r>
      <w:r w:rsidR="00FC4B58">
        <w:rPr>
          <w:rFonts w:ascii="Calibri" w:eastAsia="Calibri" w:hAnsi="Calibri" w:cs="Calibri"/>
        </w:rPr>
        <w:t xml:space="preserve">, mediante el cual el Distrito Especial de Medellín negó la existencia de una relación laboral entre la entidad y el demandante. Atendiendo el término </w:t>
      </w:r>
      <w:r w:rsidR="00CB68EE">
        <w:rPr>
          <w:rFonts w:ascii="Calibri" w:eastAsia="Calibri" w:hAnsi="Calibri" w:cs="Calibri"/>
        </w:rPr>
        <w:t xml:space="preserve">establecido en </w:t>
      </w:r>
      <w:r w:rsidR="00FC4B58">
        <w:rPr>
          <w:rFonts w:ascii="Calibri" w:eastAsia="Calibri" w:hAnsi="Calibri" w:cs="Calibri"/>
        </w:rPr>
        <w:t>el artículo 13</w:t>
      </w:r>
      <w:r w:rsidR="00130E53">
        <w:rPr>
          <w:rFonts w:ascii="Calibri" w:eastAsia="Calibri" w:hAnsi="Calibri" w:cs="Calibri"/>
        </w:rPr>
        <w:t>6</w:t>
      </w:r>
      <w:r w:rsidR="00FC4B58">
        <w:rPr>
          <w:rFonts w:ascii="Calibri" w:eastAsia="Calibri" w:hAnsi="Calibri" w:cs="Calibri"/>
        </w:rPr>
        <w:t xml:space="preserve"> del CPACA, la parte actora </w:t>
      </w:r>
      <w:r w:rsidR="00130E53">
        <w:rPr>
          <w:rFonts w:ascii="Calibri" w:eastAsia="Calibri" w:hAnsi="Calibri" w:cs="Calibri"/>
        </w:rPr>
        <w:t xml:space="preserve">contaba con un término de 4 meses para interponer el medio de control, sin que se causara la caducidad, es decir que el plazo máximo para presentar el medio de control era hasta el 25 de julio de 2021. Término incumplido, al radicar la demanda el día 7 de julio de 2022; casi un año después de la configuración de la caducidad. </w:t>
      </w:r>
    </w:p>
    <w:p w14:paraId="7CEB873E" w14:textId="651E0365" w:rsidR="00237528" w:rsidRPr="008668AE" w:rsidRDefault="00237528" w:rsidP="00237528">
      <w:pPr>
        <w:jc w:val="both"/>
      </w:pPr>
    </w:p>
    <w:p w14:paraId="34A0D171" w14:textId="77777777" w:rsidR="00237528" w:rsidRPr="008668AE" w:rsidRDefault="00237528" w:rsidP="00237528">
      <w:pPr>
        <w:jc w:val="both"/>
        <w:rPr>
          <w:b/>
          <w:bCs/>
        </w:rPr>
      </w:pPr>
    </w:p>
    <w:sectPr w:rsidR="00237528" w:rsidRPr="008668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A04102"/>
    <w:multiLevelType w:val="hybridMultilevel"/>
    <w:tmpl w:val="1DB4DDA6"/>
    <w:lvl w:ilvl="0" w:tplc="A9F6DB64">
      <w:start w:val="7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DCD13AD"/>
    <w:multiLevelType w:val="hybridMultilevel"/>
    <w:tmpl w:val="FBB29E0A"/>
    <w:lvl w:ilvl="0" w:tplc="96B0769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6597EEF"/>
    <w:multiLevelType w:val="hybridMultilevel"/>
    <w:tmpl w:val="AD9239E2"/>
    <w:lvl w:ilvl="0" w:tplc="D9BCAF04">
      <w:numFmt w:val="bullet"/>
      <w:lvlText w:val="-"/>
      <w:lvlJc w:val="left"/>
      <w:pPr>
        <w:ind w:left="1080" w:hanging="360"/>
      </w:pPr>
      <w:rPr>
        <w:rFonts w:ascii="Calibri" w:eastAsia="Calibri" w:hAnsi="Calibri" w:cs="Calibri" w:hint="default"/>
        <w:b/>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16cid:durableId="916551579">
    <w:abstractNumId w:val="0"/>
  </w:num>
  <w:num w:numId="2" w16cid:durableId="1183588719">
    <w:abstractNumId w:val="1"/>
  </w:num>
  <w:num w:numId="3" w16cid:durableId="2036231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713"/>
    <w:rsid w:val="00015FAE"/>
    <w:rsid w:val="00077738"/>
    <w:rsid w:val="000B2213"/>
    <w:rsid w:val="000E3867"/>
    <w:rsid w:val="001145A3"/>
    <w:rsid w:val="00130E53"/>
    <w:rsid w:val="001E7713"/>
    <w:rsid w:val="0023604D"/>
    <w:rsid w:val="00237528"/>
    <w:rsid w:val="002B7B16"/>
    <w:rsid w:val="002C2FC1"/>
    <w:rsid w:val="00322D7E"/>
    <w:rsid w:val="0036098E"/>
    <w:rsid w:val="00394358"/>
    <w:rsid w:val="003E69F2"/>
    <w:rsid w:val="00494C81"/>
    <w:rsid w:val="005D68B0"/>
    <w:rsid w:val="00684142"/>
    <w:rsid w:val="00706445"/>
    <w:rsid w:val="00724815"/>
    <w:rsid w:val="00744E3E"/>
    <w:rsid w:val="007F431C"/>
    <w:rsid w:val="008668AE"/>
    <w:rsid w:val="008A61DC"/>
    <w:rsid w:val="008C4C99"/>
    <w:rsid w:val="008C59D7"/>
    <w:rsid w:val="008D67E9"/>
    <w:rsid w:val="0090575D"/>
    <w:rsid w:val="009142A8"/>
    <w:rsid w:val="0094751A"/>
    <w:rsid w:val="0096148A"/>
    <w:rsid w:val="009B451D"/>
    <w:rsid w:val="009E750C"/>
    <w:rsid w:val="00A70B4B"/>
    <w:rsid w:val="00AB307D"/>
    <w:rsid w:val="00AE329B"/>
    <w:rsid w:val="00B0444E"/>
    <w:rsid w:val="00B82B09"/>
    <w:rsid w:val="00BA5814"/>
    <w:rsid w:val="00BF0E59"/>
    <w:rsid w:val="00CB57B3"/>
    <w:rsid w:val="00CB68EE"/>
    <w:rsid w:val="00CC7E92"/>
    <w:rsid w:val="00CE1F97"/>
    <w:rsid w:val="00D00398"/>
    <w:rsid w:val="00D127E8"/>
    <w:rsid w:val="00E364ED"/>
    <w:rsid w:val="00E40014"/>
    <w:rsid w:val="00E60502"/>
    <w:rsid w:val="00ED2507"/>
    <w:rsid w:val="00F73A81"/>
    <w:rsid w:val="00FC4B58"/>
    <w:rsid w:val="00FD2E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F2F2A"/>
  <w15:chartTrackingRefBased/>
  <w15:docId w15:val="{E9BA4646-BA5C-48C9-A57C-16005DF7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7528"/>
    <w:pPr>
      <w:spacing w:after="0" w:line="240" w:lineRule="auto"/>
      <w:ind w:left="720"/>
      <w:contextualSpacing/>
    </w:pPr>
    <w:rPr>
      <w:rFonts w:ascii="Times New Roman" w:eastAsia="Times New Roman" w:hAnsi="Times New Roman" w:cs="Times New Roman"/>
      <w:kern w:val="0"/>
      <w:sz w:val="24"/>
      <w:szCs w:val="24"/>
      <w:lang w:val="es-ES" w:eastAsia="es-ES"/>
      <w14:ligatures w14:val="none"/>
    </w:rPr>
  </w:style>
  <w:style w:type="character" w:styleId="Refdecomentario">
    <w:name w:val="annotation reference"/>
    <w:basedOn w:val="Fuentedeprrafopredeter"/>
    <w:uiPriority w:val="99"/>
    <w:semiHidden/>
    <w:unhideWhenUsed/>
    <w:rsid w:val="00E364ED"/>
    <w:rPr>
      <w:sz w:val="16"/>
      <w:szCs w:val="16"/>
    </w:rPr>
  </w:style>
  <w:style w:type="paragraph" w:styleId="Textocomentario">
    <w:name w:val="annotation text"/>
    <w:basedOn w:val="Normal"/>
    <w:link w:val="TextocomentarioCar"/>
    <w:uiPriority w:val="99"/>
    <w:semiHidden/>
    <w:unhideWhenUsed/>
    <w:rsid w:val="00E364E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64ED"/>
    <w:rPr>
      <w:sz w:val="20"/>
      <w:szCs w:val="20"/>
    </w:rPr>
  </w:style>
  <w:style w:type="paragraph" w:styleId="Asuntodelcomentario">
    <w:name w:val="annotation subject"/>
    <w:basedOn w:val="Textocomentario"/>
    <w:next w:val="Textocomentario"/>
    <w:link w:val="AsuntodelcomentarioCar"/>
    <w:uiPriority w:val="99"/>
    <w:semiHidden/>
    <w:unhideWhenUsed/>
    <w:rsid w:val="00E364ED"/>
    <w:rPr>
      <w:b/>
      <w:bCs/>
    </w:rPr>
  </w:style>
  <w:style w:type="character" w:customStyle="1" w:styleId="AsuntodelcomentarioCar">
    <w:name w:val="Asunto del comentario Car"/>
    <w:basedOn w:val="TextocomentarioCar"/>
    <w:link w:val="Asuntodelcomentario"/>
    <w:uiPriority w:val="99"/>
    <w:semiHidden/>
    <w:rsid w:val="00E364ED"/>
    <w:rPr>
      <w:b/>
      <w:bCs/>
      <w:sz w:val="20"/>
      <w:szCs w:val="20"/>
    </w:rPr>
  </w:style>
  <w:style w:type="paragraph" w:styleId="Revisin">
    <w:name w:val="Revision"/>
    <w:hidden/>
    <w:uiPriority w:val="99"/>
    <w:semiHidden/>
    <w:rsid w:val="00E364ED"/>
    <w:pPr>
      <w:spacing w:after="0" w:line="240" w:lineRule="auto"/>
    </w:pPr>
  </w:style>
  <w:style w:type="table" w:styleId="Tablaconcuadrcula">
    <w:name w:val="Table Grid"/>
    <w:basedOn w:val="Tablanormal"/>
    <w:uiPriority w:val="39"/>
    <w:rsid w:val="005D6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11592">
      <w:bodyDiv w:val="1"/>
      <w:marLeft w:val="0"/>
      <w:marRight w:val="0"/>
      <w:marTop w:val="0"/>
      <w:marBottom w:val="0"/>
      <w:divBdr>
        <w:top w:val="none" w:sz="0" w:space="0" w:color="auto"/>
        <w:left w:val="none" w:sz="0" w:space="0" w:color="auto"/>
        <w:bottom w:val="none" w:sz="0" w:space="0" w:color="auto"/>
        <w:right w:val="none" w:sz="0" w:space="0" w:color="auto"/>
      </w:divBdr>
    </w:div>
    <w:div w:id="111479960">
      <w:bodyDiv w:val="1"/>
      <w:marLeft w:val="0"/>
      <w:marRight w:val="0"/>
      <w:marTop w:val="0"/>
      <w:marBottom w:val="0"/>
      <w:divBdr>
        <w:top w:val="none" w:sz="0" w:space="0" w:color="auto"/>
        <w:left w:val="none" w:sz="0" w:space="0" w:color="auto"/>
        <w:bottom w:val="none" w:sz="0" w:space="0" w:color="auto"/>
        <w:right w:val="none" w:sz="0" w:space="0" w:color="auto"/>
      </w:divBdr>
    </w:div>
    <w:div w:id="114643650">
      <w:bodyDiv w:val="1"/>
      <w:marLeft w:val="0"/>
      <w:marRight w:val="0"/>
      <w:marTop w:val="0"/>
      <w:marBottom w:val="0"/>
      <w:divBdr>
        <w:top w:val="none" w:sz="0" w:space="0" w:color="auto"/>
        <w:left w:val="none" w:sz="0" w:space="0" w:color="auto"/>
        <w:bottom w:val="none" w:sz="0" w:space="0" w:color="auto"/>
        <w:right w:val="none" w:sz="0" w:space="0" w:color="auto"/>
      </w:divBdr>
    </w:div>
    <w:div w:id="239948972">
      <w:bodyDiv w:val="1"/>
      <w:marLeft w:val="0"/>
      <w:marRight w:val="0"/>
      <w:marTop w:val="0"/>
      <w:marBottom w:val="0"/>
      <w:divBdr>
        <w:top w:val="none" w:sz="0" w:space="0" w:color="auto"/>
        <w:left w:val="none" w:sz="0" w:space="0" w:color="auto"/>
        <w:bottom w:val="none" w:sz="0" w:space="0" w:color="auto"/>
        <w:right w:val="none" w:sz="0" w:space="0" w:color="auto"/>
      </w:divBdr>
    </w:div>
    <w:div w:id="337269469">
      <w:bodyDiv w:val="1"/>
      <w:marLeft w:val="0"/>
      <w:marRight w:val="0"/>
      <w:marTop w:val="0"/>
      <w:marBottom w:val="0"/>
      <w:divBdr>
        <w:top w:val="none" w:sz="0" w:space="0" w:color="auto"/>
        <w:left w:val="none" w:sz="0" w:space="0" w:color="auto"/>
        <w:bottom w:val="none" w:sz="0" w:space="0" w:color="auto"/>
        <w:right w:val="none" w:sz="0" w:space="0" w:color="auto"/>
      </w:divBdr>
    </w:div>
    <w:div w:id="505167946">
      <w:bodyDiv w:val="1"/>
      <w:marLeft w:val="0"/>
      <w:marRight w:val="0"/>
      <w:marTop w:val="0"/>
      <w:marBottom w:val="0"/>
      <w:divBdr>
        <w:top w:val="none" w:sz="0" w:space="0" w:color="auto"/>
        <w:left w:val="none" w:sz="0" w:space="0" w:color="auto"/>
        <w:bottom w:val="none" w:sz="0" w:space="0" w:color="auto"/>
        <w:right w:val="none" w:sz="0" w:space="0" w:color="auto"/>
      </w:divBdr>
    </w:div>
    <w:div w:id="525170394">
      <w:bodyDiv w:val="1"/>
      <w:marLeft w:val="0"/>
      <w:marRight w:val="0"/>
      <w:marTop w:val="0"/>
      <w:marBottom w:val="0"/>
      <w:divBdr>
        <w:top w:val="none" w:sz="0" w:space="0" w:color="auto"/>
        <w:left w:val="none" w:sz="0" w:space="0" w:color="auto"/>
        <w:bottom w:val="none" w:sz="0" w:space="0" w:color="auto"/>
        <w:right w:val="none" w:sz="0" w:space="0" w:color="auto"/>
      </w:divBdr>
    </w:div>
    <w:div w:id="591012524">
      <w:bodyDiv w:val="1"/>
      <w:marLeft w:val="0"/>
      <w:marRight w:val="0"/>
      <w:marTop w:val="0"/>
      <w:marBottom w:val="0"/>
      <w:divBdr>
        <w:top w:val="none" w:sz="0" w:space="0" w:color="auto"/>
        <w:left w:val="none" w:sz="0" w:space="0" w:color="auto"/>
        <w:bottom w:val="none" w:sz="0" w:space="0" w:color="auto"/>
        <w:right w:val="none" w:sz="0" w:space="0" w:color="auto"/>
      </w:divBdr>
    </w:div>
    <w:div w:id="599682179">
      <w:bodyDiv w:val="1"/>
      <w:marLeft w:val="0"/>
      <w:marRight w:val="0"/>
      <w:marTop w:val="0"/>
      <w:marBottom w:val="0"/>
      <w:divBdr>
        <w:top w:val="none" w:sz="0" w:space="0" w:color="auto"/>
        <w:left w:val="none" w:sz="0" w:space="0" w:color="auto"/>
        <w:bottom w:val="none" w:sz="0" w:space="0" w:color="auto"/>
        <w:right w:val="none" w:sz="0" w:space="0" w:color="auto"/>
      </w:divBdr>
    </w:div>
    <w:div w:id="632491868">
      <w:bodyDiv w:val="1"/>
      <w:marLeft w:val="0"/>
      <w:marRight w:val="0"/>
      <w:marTop w:val="0"/>
      <w:marBottom w:val="0"/>
      <w:divBdr>
        <w:top w:val="none" w:sz="0" w:space="0" w:color="auto"/>
        <w:left w:val="none" w:sz="0" w:space="0" w:color="auto"/>
        <w:bottom w:val="none" w:sz="0" w:space="0" w:color="auto"/>
        <w:right w:val="none" w:sz="0" w:space="0" w:color="auto"/>
      </w:divBdr>
    </w:div>
    <w:div w:id="753865261">
      <w:bodyDiv w:val="1"/>
      <w:marLeft w:val="0"/>
      <w:marRight w:val="0"/>
      <w:marTop w:val="0"/>
      <w:marBottom w:val="0"/>
      <w:divBdr>
        <w:top w:val="none" w:sz="0" w:space="0" w:color="auto"/>
        <w:left w:val="none" w:sz="0" w:space="0" w:color="auto"/>
        <w:bottom w:val="none" w:sz="0" w:space="0" w:color="auto"/>
        <w:right w:val="none" w:sz="0" w:space="0" w:color="auto"/>
      </w:divBdr>
    </w:div>
    <w:div w:id="793254134">
      <w:bodyDiv w:val="1"/>
      <w:marLeft w:val="0"/>
      <w:marRight w:val="0"/>
      <w:marTop w:val="0"/>
      <w:marBottom w:val="0"/>
      <w:divBdr>
        <w:top w:val="none" w:sz="0" w:space="0" w:color="auto"/>
        <w:left w:val="none" w:sz="0" w:space="0" w:color="auto"/>
        <w:bottom w:val="none" w:sz="0" w:space="0" w:color="auto"/>
        <w:right w:val="none" w:sz="0" w:space="0" w:color="auto"/>
      </w:divBdr>
    </w:div>
    <w:div w:id="969629050">
      <w:bodyDiv w:val="1"/>
      <w:marLeft w:val="0"/>
      <w:marRight w:val="0"/>
      <w:marTop w:val="0"/>
      <w:marBottom w:val="0"/>
      <w:divBdr>
        <w:top w:val="none" w:sz="0" w:space="0" w:color="auto"/>
        <w:left w:val="none" w:sz="0" w:space="0" w:color="auto"/>
        <w:bottom w:val="none" w:sz="0" w:space="0" w:color="auto"/>
        <w:right w:val="none" w:sz="0" w:space="0" w:color="auto"/>
      </w:divBdr>
    </w:div>
    <w:div w:id="1180587535">
      <w:bodyDiv w:val="1"/>
      <w:marLeft w:val="0"/>
      <w:marRight w:val="0"/>
      <w:marTop w:val="0"/>
      <w:marBottom w:val="0"/>
      <w:divBdr>
        <w:top w:val="none" w:sz="0" w:space="0" w:color="auto"/>
        <w:left w:val="none" w:sz="0" w:space="0" w:color="auto"/>
        <w:bottom w:val="none" w:sz="0" w:space="0" w:color="auto"/>
        <w:right w:val="none" w:sz="0" w:space="0" w:color="auto"/>
      </w:divBdr>
    </w:div>
    <w:div w:id="1249271865">
      <w:bodyDiv w:val="1"/>
      <w:marLeft w:val="0"/>
      <w:marRight w:val="0"/>
      <w:marTop w:val="0"/>
      <w:marBottom w:val="0"/>
      <w:divBdr>
        <w:top w:val="none" w:sz="0" w:space="0" w:color="auto"/>
        <w:left w:val="none" w:sz="0" w:space="0" w:color="auto"/>
        <w:bottom w:val="none" w:sz="0" w:space="0" w:color="auto"/>
        <w:right w:val="none" w:sz="0" w:space="0" w:color="auto"/>
      </w:divBdr>
    </w:div>
    <w:div w:id="1297762328">
      <w:bodyDiv w:val="1"/>
      <w:marLeft w:val="0"/>
      <w:marRight w:val="0"/>
      <w:marTop w:val="0"/>
      <w:marBottom w:val="0"/>
      <w:divBdr>
        <w:top w:val="none" w:sz="0" w:space="0" w:color="auto"/>
        <w:left w:val="none" w:sz="0" w:space="0" w:color="auto"/>
        <w:bottom w:val="none" w:sz="0" w:space="0" w:color="auto"/>
        <w:right w:val="none" w:sz="0" w:space="0" w:color="auto"/>
      </w:divBdr>
    </w:div>
    <w:div w:id="1343437554">
      <w:bodyDiv w:val="1"/>
      <w:marLeft w:val="0"/>
      <w:marRight w:val="0"/>
      <w:marTop w:val="0"/>
      <w:marBottom w:val="0"/>
      <w:divBdr>
        <w:top w:val="none" w:sz="0" w:space="0" w:color="auto"/>
        <w:left w:val="none" w:sz="0" w:space="0" w:color="auto"/>
        <w:bottom w:val="none" w:sz="0" w:space="0" w:color="auto"/>
        <w:right w:val="none" w:sz="0" w:space="0" w:color="auto"/>
      </w:divBdr>
    </w:div>
    <w:div w:id="1385567606">
      <w:bodyDiv w:val="1"/>
      <w:marLeft w:val="0"/>
      <w:marRight w:val="0"/>
      <w:marTop w:val="0"/>
      <w:marBottom w:val="0"/>
      <w:divBdr>
        <w:top w:val="none" w:sz="0" w:space="0" w:color="auto"/>
        <w:left w:val="none" w:sz="0" w:space="0" w:color="auto"/>
        <w:bottom w:val="none" w:sz="0" w:space="0" w:color="auto"/>
        <w:right w:val="none" w:sz="0" w:space="0" w:color="auto"/>
      </w:divBdr>
    </w:div>
    <w:div w:id="1399285613">
      <w:bodyDiv w:val="1"/>
      <w:marLeft w:val="0"/>
      <w:marRight w:val="0"/>
      <w:marTop w:val="0"/>
      <w:marBottom w:val="0"/>
      <w:divBdr>
        <w:top w:val="none" w:sz="0" w:space="0" w:color="auto"/>
        <w:left w:val="none" w:sz="0" w:space="0" w:color="auto"/>
        <w:bottom w:val="none" w:sz="0" w:space="0" w:color="auto"/>
        <w:right w:val="none" w:sz="0" w:space="0" w:color="auto"/>
      </w:divBdr>
    </w:div>
    <w:div w:id="1525822530">
      <w:bodyDiv w:val="1"/>
      <w:marLeft w:val="0"/>
      <w:marRight w:val="0"/>
      <w:marTop w:val="0"/>
      <w:marBottom w:val="0"/>
      <w:divBdr>
        <w:top w:val="none" w:sz="0" w:space="0" w:color="auto"/>
        <w:left w:val="none" w:sz="0" w:space="0" w:color="auto"/>
        <w:bottom w:val="none" w:sz="0" w:space="0" w:color="auto"/>
        <w:right w:val="none" w:sz="0" w:space="0" w:color="auto"/>
      </w:divBdr>
    </w:div>
    <w:div w:id="1566135941">
      <w:bodyDiv w:val="1"/>
      <w:marLeft w:val="0"/>
      <w:marRight w:val="0"/>
      <w:marTop w:val="0"/>
      <w:marBottom w:val="0"/>
      <w:divBdr>
        <w:top w:val="none" w:sz="0" w:space="0" w:color="auto"/>
        <w:left w:val="none" w:sz="0" w:space="0" w:color="auto"/>
        <w:bottom w:val="none" w:sz="0" w:space="0" w:color="auto"/>
        <w:right w:val="none" w:sz="0" w:space="0" w:color="auto"/>
      </w:divBdr>
    </w:div>
    <w:div w:id="1724794551">
      <w:bodyDiv w:val="1"/>
      <w:marLeft w:val="0"/>
      <w:marRight w:val="0"/>
      <w:marTop w:val="0"/>
      <w:marBottom w:val="0"/>
      <w:divBdr>
        <w:top w:val="none" w:sz="0" w:space="0" w:color="auto"/>
        <w:left w:val="none" w:sz="0" w:space="0" w:color="auto"/>
        <w:bottom w:val="none" w:sz="0" w:space="0" w:color="auto"/>
        <w:right w:val="none" w:sz="0" w:space="0" w:color="auto"/>
      </w:divBdr>
    </w:div>
    <w:div w:id="1775440535">
      <w:bodyDiv w:val="1"/>
      <w:marLeft w:val="0"/>
      <w:marRight w:val="0"/>
      <w:marTop w:val="0"/>
      <w:marBottom w:val="0"/>
      <w:divBdr>
        <w:top w:val="none" w:sz="0" w:space="0" w:color="auto"/>
        <w:left w:val="none" w:sz="0" w:space="0" w:color="auto"/>
        <w:bottom w:val="none" w:sz="0" w:space="0" w:color="auto"/>
        <w:right w:val="none" w:sz="0" w:space="0" w:color="auto"/>
      </w:divBdr>
    </w:div>
    <w:div w:id="1816487233">
      <w:bodyDiv w:val="1"/>
      <w:marLeft w:val="0"/>
      <w:marRight w:val="0"/>
      <w:marTop w:val="0"/>
      <w:marBottom w:val="0"/>
      <w:divBdr>
        <w:top w:val="none" w:sz="0" w:space="0" w:color="auto"/>
        <w:left w:val="none" w:sz="0" w:space="0" w:color="auto"/>
        <w:bottom w:val="none" w:sz="0" w:space="0" w:color="auto"/>
        <w:right w:val="none" w:sz="0" w:space="0" w:color="auto"/>
      </w:divBdr>
    </w:div>
    <w:div w:id="1824930678">
      <w:bodyDiv w:val="1"/>
      <w:marLeft w:val="0"/>
      <w:marRight w:val="0"/>
      <w:marTop w:val="0"/>
      <w:marBottom w:val="0"/>
      <w:divBdr>
        <w:top w:val="none" w:sz="0" w:space="0" w:color="auto"/>
        <w:left w:val="none" w:sz="0" w:space="0" w:color="auto"/>
        <w:bottom w:val="none" w:sz="0" w:space="0" w:color="auto"/>
        <w:right w:val="none" w:sz="0" w:space="0" w:color="auto"/>
      </w:divBdr>
    </w:div>
    <w:div w:id="195050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04E1F-8887-454E-A975-485A24B3F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1095</Words>
  <Characters>6025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6</cp:revision>
  <dcterms:created xsi:type="dcterms:W3CDTF">2025-03-04T11:51:00Z</dcterms:created>
  <dcterms:modified xsi:type="dcterms:W3CDTF">2025-03-20T17:47:00Z</dcterms:modified>
</cp:coreProperties>
</file>