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0C6F" w14:textId="347440C0" w:rsidR="00183BB4" w:rsidRDefault="00183BB4" w:rsidP="00183BB4">
      <w:pPr>
        <w:pStyle w:val="Prrafodelista"/>
        <w:numPr>
          <w:ilvl w:val="0"/>
          <w:numId w:val="1"/>
        </w:numPr>
        <w:rPr>
          <w:b/>
          <w:bCs/>
        </w:rPr>
      </w:pPr>
      <w:r>
        <w:rPr>
          <w:b/>
          <w:bCs/>
        </w:rPr>
        <w:t xml:space="preserve">IDENTIFICACIÓN DEL PROCESO </w:t>
      </w:r>
    </w:p>
    <w:p w14:paraId="66C1D3CA" w14:textId="792AB859" w:rsidR="00183BB4" w:rsidRDefault="00183BB4" w:rsidP="00183BB4">
      <w:pPr>
        <w:rPr>
          <w:b/>
          <w:bCs/>
        </w:rPr>
      </w:pPr>
      <w:r>
        <w:rPr>
          <w:b/>
          <w:bCs/>
        </w:rPr>
        <w:t>JUZGADO PRIMERO ADMINISTRATIVO DEL CIRCUITO DE SOGAMOSO.</w:t>
      </w:r>
    </w:p>
    <w:p w14:paraId="4EFBE4FC" w14:textId="72E78913" w:rsidR="00183BB4" w:rsidRDefault="00183BB4" w:rsidP="00183BB4">
      <w:r>
        <w:rPr>
          <w:b/>
          <w:bCs/>
        </w:rPr>
        <w:t xml:space="preserve">RADICADO: </w:t>
      </w:r>
      <w:r w:rsidRPr="00183BB4">
        <w:t>157593333001-2017-00098-00</w:t>
      </w:r>
    </w:p>
    <w:p w14:paraId="58DB1ACD" w14:textId="23BCCD85" w:rsidR="00183BB4" w:rsidRDefault="00183BB4" w:rsidP="00183BB4">
      <w:r>
        <w:rPr>
          <w:b/>
          <w:bCs/>
        </w:rPr>
        <w:t xml:space="preserve">DEMANDANTE: </w:t>
      </w:r>
      <w:r w:rsidRPr="00183BB4">
        <w:t>EMPRESA COOPERATIVA PARA LA GESTIÓN Y ADMINISTRACIÓN DE ENTIDADES TERRITORIALES – EMCOOP LTDA</w:t>
      </w:r>
    </w:p>
    <w:p w14:paraId="7F8393E6" w14:textId="5D708C79" w:rsidR="00183BB4" w:rsidRDefault="00183BB4" w:rsidP="00183BB4">
      <w:r>
        <w:rPr>
          <w:b/>
          <w:bCs/>
        </w:rPr>
        <w:t xml:space="preserve">DEMANDADO: </w:t>
      </w:r>
      <w:r w:rsidRPr="00183BB4">
        <w:t>MUNICIPIO DE SOGAMOSO</w:t>
      </w:r>
    </w:p>
    <w:p w14:paraId="79FD3232" w14:textId="40AF1441" w:rsidR="00183BB4" w:rsidRDefault="00183BB4" w:rsidP="00183BB4">
      <w:r>
        <w:rPr>
          <w:b/>
          <w:bCs/>
        </w:rPr>
        <w:t xml:space="preserve">LITISCONSORTE POR ACTIVA: </w:t>
      </w:r>
      <w:r>
        <w:t xml:space="preserve">EQUIDAD SEGUROS GENERAL O.C. </w:t>
      </w:r>
    </w:p>
    <w:p w14:paraId="4168604D" w14:textId="3CAA5288" w:rsidR="00183BB4" w:rsidRDefault="00183BB4" w:rsidP="00183BB4">
      <w:r>
        <w:rPr>
          <w:b/>
          <w:bCs/>
        </w:rPr>
        <w:t xml:space="preserve">MEDIO DE CONTROL: </w:t>
      </w:r>
      <w:r>
        <w:t>CONTROVERSIAS CONTRACTUALES.</w:t>
      </w:r>
    </w:p>
    <w:p w14:paraId="707D3298" w14:textId="77777777" w:rsidR="00183BB4" w:rsidRDefault="00183BB4" w:rsidP="00183BB4"/>
    <w:p w14:paraId="1035023D" w14:textId="54A1B938" w:rsidR="005B600F" w:rsidRDefault="005B600F" w:rsidP="005B600F">
      <w:pPr>
        <w:pStyle w:val="Prrafodelista"/>
        <w:numPr>
          <w:ilvl w:val="0"/>
          <w:numId w:val="1"/>
        </w:numPr>
        <w:jc w:val="both"/>
        <w:rPr>
          <w:b/>
          <w:bCs/>
        </w:rPr>
      </w:pPr>
      <w:r>
        <w:rPr>
          <w:b/>
          <w:bCs/>
        </w:rPr>
        <w:t>ETAPAS DEL PROCESO.</w:t>
      </w:r>
    </w:p>
    <w:p w14:paraId="1A3647AB" w14:textId="4D05303B" w:rsidR="005B600F" w:rsidRDefault="005B600F" w:rsidP="005B600F">
      <w:pPr>
        <w:jc w:val="both"/>
      </w:pPr>
    </w:p>
    <w:p w14:paraId="17881491" w14:textId="64A44662" w:rsidR="008A116F" w:rsidRPr="008A116F" w:rsidRDefault="008A116F" w:rsidP="008A116F">
      <w:pPr>
        <w:pStyle w:val="Prrafodelista"/>
        <w:numPr>
          <w:ilvl w:val="0"/>
          <w:numId w:val="4"/>
        </w:numPr>
        <w:jc w:val="both"/>
        <w:rPr>
          <w:b/>
          <w:bCs/>
        </w:rPr>
      </w:pPr>
      <w:r>
        <w:rPr>
          <w:b/>
          <w:bCs/>
        </w:rPr>
        <w:t xml:space="preserve">Asistencia: </w:t>
      </w:r>
      <w:r>
        <w:t>Asisten los apoderados de la parte demandante y demandada y litisconsorte por la parte activa. Reconocen personería para actuar.</w:t>
      </w:r>
    </w:p>
    <w:p w14:paraId="5E4E231D" w14:textId="77777777" w:rsidR="008A116F" w:rsidRDefault="008A116F" w:rsidP="008A116F">
      <w:pPr>
        <w:pStyle w:val="Prrafodelista"/>
        <w:ind w:left="360"/>
        <w:jc w:val="both"/>
        <w:rPr>
          <w:b/>
          <w:bCs/>
        </w:rPr>
      </w:pPr>
    </w:p>
    <w:p w14:paraId="58BFB979" w14:textId="28FCCA2F" w:rsidR="008A116F" w:rsidRPr="008A116F" w:rsidRDefault="008A116F" w:rsidP="008A116F">
      <w:pPr>
        <w:pStyle w:val="Prrafodelista"/>
        <w:numPr>
          <w:ilvl w:val="0"/>
          <w:numId w:val="4"/>
        </w:numPr>
        <w:jc w:val="both"/>
        <w:rPr>
          <w:b/>
          <w:bCs/>
        </w:rPr>
      </w:pPr>
      <w:r>
        <w:rPr>
          <w:b/>
          <w:bCs/>
        </w:rPr>
        <w:t xml:space="preserve">Saneamiento del proceso: </w:t>
      </w:r>
      <w:r>
        <w:t xml:space="preserve">Ni el despacho, ni las partes encuentran vicios que puedan nulitar lo actuado. </w:t>
      </w:r>
    </w:p>
    <w:p w14:paraId="46890841" w14:textId="77777777" w:rsidR="008A116F" w:rsidRPr="008A116F" w:rsidRDefault="008A116F" w:rsidP="008A116F">
      <w:pPr>
        <w:pStyle w:val="Prrafodelista"/>
        <w:rPr>
          <w:b/>
          <w:bCs/>
        </w:rPr>
      </w:pPr>
    </w:p>
    <w:p w14:paraId="6A1519BB" w14:textId="25166149" w:rsidR="008A116F" w:rsidRPr="00443A36" w:rsidRDefault="00443A36" w:rsidP="00443A36">
      <w:pPr>
        <w:pStyle w:val="Prrafodelista"/>
        <w:numPr>
          <w:ilvl w:val="0"/>
          <w:numId w:val="4"/>
        </w:numPr>
        <w:jc w:val="both"/>
        <w:rPr>
          <w:b/>
          <w:bCs/>
        </w:rPr>
      </w:pPr>
      <w:r>
        <w:rPr>
          <w:b/>
          <w:bCs/>
        </w:rPr>
        <w:t>Excepciones previas:</w:t>
      </w:r>
      <w:r>
        <w:t xml:space="preserve"> No existen pendientes por resolver.</w:t>
      </w:r>
    </w:p>
    <w:p w14:paraId="61E8D2C2" w14:textId="77777777" w:rsidR="00443A36" w:rsidRPr="00443A36" w:rsidRDefault="00443A36" w:rsidP="00443A36">
      <w:pPr>
        <w:pStyle w:val="Prrafodelista"/>
        <w:rPr>
          <w:b/>
          <w:bCs/>
        </w:rPr>
      </w:pPr>
    </w:p>
    <w:p w14:paraId="7C68F76C" w14:textId="38BD4752" w:rsidR="00443A36" w:rsidRPr="00B67966" w:rsidRDefault="00443A36" w:rsidP="00443A36">
      <w:pPr>
        <w:pStyle w:val="Prrafodelista"/>
        <w:numPr>
          <w:ilvl w:val="0"/>
          <w:numId w:val="4"/>
        </w:numPr>
        <w:jc w:val="both"/>
        <w:rPr>
          <w:b/>
          <w:bCs/>
        </w:rPr>
      </w:pPr>
      <w:r>
        <w:rPr>
          <w:b/>
          <w:bCs/>
        </w:rPr>
        <w:t>Fijación de Litigio.</w:t>
      </w:r>
      <w:r>
        <w:t xml:space="preserve"> </w:t>
      </w:r>
      <w:r w:rsidR="00FB18AC">
        <w:t>El despacho fija el litigio en el sentido de determinar si son procedentes las excepciones propuestas por la parte demandante y la litisconsorte por activa y consecuentemente, debe declararse la nulidad de los actos administrativos que son cuestionados y que se relacionan con el proceso de incumplimiento.</w:t>
      </w:r>
      <w:r w:rsidR="00B67966">
        <w:t xml:space="preserve"> En caso de acceder a dicha declaratoria, deberá estudiar si son procedentes las solicitudes indemnizatorias.</w:t>
      </w:r>
    </w:p>
    <w:p w14:paraId="374C41AF" w14:textId="77777777" w:rsidR="00B67966" w:rsidRPr="00B67966" w:rsidRDefault="00B67966" w:rsidP="00B67966">
      <w:pPr>
        <w:pStyle w:val="Prrafodelista"/>
        <w:rPr>
          <w:b/>
          <w:bCs/>
        </w:rPr>
      </w:pPr>
    </w:p>
    <w:p w14:paraId="6F1943D5" w14:textId="224E8D35" w:rsidR="00B67966" w:rsidRPr="00B67966" w:rsidRDefault="00B67966" w:rsidP="00443A36">
      <w:pPr>
        <w:pStyle w:val="Prrafodelista"/>
        <w:numPr>
          <w:ilvl w:val="0"/>
          <w:numId w:val="4"/>
        </w:numPr>
        <w:jc w:val="both"/>
        <w:rPr>
          <w:b/>
          <w:bCs/>
        </w:rPr>
      </w:pPr>
      <w:r>
        <w:rPr>
          <w:b/>
          <w:bCs/>
        </w:rPr>
        <w:t xml:space="preserve">Conciliación: </w:t>
      </w:r>
      <w:r>
        <w:t xml:space="preserve">Ninguna de las partes presenta ánimo conciliatorio. </w:t>
      </w:r>
    </w:p>
    <w:p w14:paraId="46CE6A51" w14:textId="77777777" w:rsidR="00B67966" w:rsidRPr="00B67966" w:rsidRDefault="00B67966" w:rsidP="00B67966">
      <w:pPr>
        <w:pStyle w:val="Prrafodelista"/>
        <w:rPr>
          <w:b/>
          <w:bCs/>
        </w:rPr>
      </w:pPr>
    </w:p>
    <w:p w14:paraId="25FF1B7E" w14:textId="73AC1CCD" w:rsidR="00B67966" w:rsidRPr="00B67966" w:rsidRDefault="00B67966" w:rsidP="00443A36">
      <w:pPr>
        <w:pStyle w:val="Prrafodelista"/>
        <w:numPr>
          <w:ilvl w:val="0"/>
          <w:numId w:val="4"/>
        </w:numPr>
        <w:jc w:val="both"/>
        <w:rPr>
          <w:b/>
          <w:bCs/>
        </w:rPr>
      </w:pPr>
      <w:r>
        <w:rPr>
          <w:b/>
          <w:bCs/>
        </w:rPr>
        <w:t>Medidas cautelares:</w:t>
      </w:r>
      <w:r>
        <w:t xml:space="preserve"> No existen solicitudes de medidas cautelares. </w:t>
      </w:r>
    </w:p>
    <w:p w14:paraId="37D10EB3" w14:textId="77777777" w:rsidR="00B67966" w:rsidRPr="00B67966" w:rsidRDefault="00B67966" w:rsidP="00B67966">
      <w:pPr>
        <w:pStyle w:val="Prrafodelista"/>
        <w:rPr>
          <w:b/>
          <w:bCs/>
        </w:rPr>
      </w:pPr>
    </w:p>
    <w:p w14:paraId="3CCDA21D" w14:textId="3EB765C4" w:rsidR="00B67966" w:rsidRPr="00B67966" w:rsidRDefault="00B67966" w:rsidP="00443A36">
      <w:pPr>
        <w:pStyle w:val="Prrafodelista"/>
        <w:numPr>
          <w:ilvl w:val="0"/>
          <w:numId w:val="4"/>
        </w:numPr>
        <w:jc w:val="both"/>
        <w:rPr>
          <w:b/>
          <w:bCs/>
        </w:rPr>
      </w:pPr>
      <w:r>
        <w:rPr>
          <w:b/>
          <w:bCs/>
        </w:rPr>
        <w:t>Decreto Pruebas.</w:t>
      </w:r>
    </w:p>
    <w:p w14:paraId="3A9B7DAD" w14:textId="77777777" w:rsidR="00B67966" w:rsidRPr="00B67966" w:rsidRDefault="00B67966" w:rsidP="00B67966">
      <w:pPr>
        <w:pStyle w:val="Prrafodelista"/>
        <w:rPr>
          <w:b/>
          <w:bCs/>
        </w:rPr>
      </w:pPr>
    </w:p>
    <w:p w14:paraId="3AA72DF9" w14:textId="2D7009A2" w:rsidR="00B67966" w:rsidRDefault="00B67966" w:rsidP="00B67966">
      <w:pPr>
        <w:pStyle w:val="Prrafodelista"/>
        <w:numPr>
          <w:ilvl w:val="1"/>
          <w:numId w:val="4"/>
        </w:numPr>
        <w:jc w:val="both"/>
        <w:rPr>
          <w:b/>
          <w:bCs/>
        </w:rPr>
      </w:pPr>
      <w:r>
        <w:rPr>
          <w:b/>
          <w:bCs/>
        </w:rPr>
        <w:t xml:space="preserve">Parte demandante: </w:t>
      </w:r>
    </w:p>
    <w:p w14:paraId="0FC4C90C" w14:textId="2BD9483F" w:rsidR="00B67966" w:rsidRPr="00B67966" w:rsidRDefault="00B67966" w:rsidP="00B67966">
      <w:pPr>
        <w:pStyle w:val="Prrafodelista"/>
        <w:numPr>
          <w:ilvl w:val="2"/>
          <w:numId w:val="4"/>
        </w:numPr>
        <w:jc w:val="both"/>
        <w:rPr>
          <w:b/>
          <w:bCs/>
        </w:rPr>
      </w:pPr>
      <w:r w:rsidRPr="00B67966">
        <w:rPr>
          <w:b/>
          <w:bCs/>
        </w:rPr>
        <w:t>Documentales.</w:t>
      </w:r>
    </w:p>
    <w:p w14:paraId="2242E1C1" w14:textId="21AD1CCC" w:rsidR="00B67966" w:rsidRPr="007206B4" w:rsidRDefault="00B67966" w:rsidP="00B67966">
      <w:pPr>
        <w:pStyle w:val="Prrafodelista"/>
        <w:numPr>
          <w:ilvl w:val="2"/>
          <w:numId w:val="4"/>
        </w:numPr>
        <w:jc w:val="both"/>
        <w:rPr>
          <w:b/>
          <w:bCs/>
        </w:rPr>
      </w:pPr>
      <w:r w:rsidRPr="007206B4">
        <w:rPr>
          <w:b/>
          <w:bCs/>
        </w:rPr>
        <w:t>Testimoniales (A cargo de la parte demandante hacer comparecer a los testigos)</w:t>
      </w:r>
    </w:p>
    <w:p w14:paraId="7ADB71B7" w14:textId="38964F11" w:rsidR="00B67966" w:rsidRPr="007206B4" w:rsidRDefault="00B67966" w:rsidP="00B67966">
      <w:pPr>
        <w:pStyle w:val="Prrafodelista"/>
        <w:numPr>
          <w:ilvl w:val="2"/>
          <w:numId w:val="4"/>
        </w:numPr>
        <w:jc w:val="both"/>
      </w:pPr>
      <w:r w:rsidRPr="007206B4">
        <w:t>BLANCA INÉS SORACA REYES INGENIERA DIRECTORA DE OBRA</w:t>
      </w:r>
    </w:p>
    <w:p w14:paraId="4FA67A0F" w14:textId="77777777" w:rsidR="00B67966" w:rsidRPr="007206B4" w:rsidRDefault="00B67966" w:rsidP="00B67966">
      <w:pPr>
        <w:pStyle w:val="Prrafodelista"/>
      </w:pPr>
    </w:p>
    <w:p w14:paraId="40A55F9A" w14:textId="250BED51" w:rsidR="00B67966" w:rsidRPr="007206B4" w:rsidRDefault="00B67966" w:rsidP="00B67966">
      <w:pPr>
        <w:pStyle w:val="Prrafodelista"/>
        <w:numPr>
          <w:ilvl w:val="2"/>
          <w:numId w:val="4"/>
        </w:numPr>
        <w:jc w:val="both"/>
      </w:pPr>
      <w:r w:rsidRPr="007206B4">
        <w:t>MARTHA LUCÍA FLETSCHER, REPRESENTANTE LEGAL DE LA INTERVENTORÍA SUPERVIAL 004.</w:t>
      </w:r>
    </w:p>
    <w:p w14:paraId="0338E509" w14:textId="09367DA7" w:rsidR="00B67966" w:rsidRPr="007206B4" w:rsidRDefault="00B67966" w:rsidP="00B67966">
      <w:pPr>
        <w:jc w:val="both"/>
      </w:pPr>
    </w:p>
    <w:p w14:paraId="38B7446A" w14:textId="77777777" w:rsidR="00B67966" w:rsidRPr="007206B4" w:rsidRDefault="00B67966" w:rsidP="00B67966">
      <w:pPr>
        <w:pStyle w:val="Prrafodelista"/>
      </w:pPr>
    </w:p>
    <w:p w14:paraId="69C86E8C" w14:textId="570EDCC1" w:rsidR="00B67966" w:rsidRPr="007206B4" w:rsidRDefault="00B67966" w:rsidP="00B67966">
      <w:pPr>
        <w:pStyle w:val="Prrafodelista"/>
        <w:numPr>
          <w:ilvl w:val="2"/>
          <w:numId w:val="4"/>
        </w:numPr>
        <w:jc w:val="both"/>
      </w:pPr>
      <w:r w:rsidRPr="007206B4">
        <w:t>DIEGO SÁNCHEZ – INGENIERO.</w:t>
      </w:r>
    </w:p>
    <w:p w14:paraId="070B59C4" w14:textId="77777777" w:rsidR="00B67966" w:rsidRPr="007206B4" w:rsidRDefault="00B67966" w:rsidP="00B67966">
      <w:pPr>
        <w:pStyle w:val="Prrafodelista"/>
      </w:pPr>
    </w:p>
    <w:p w14:paraId="02EF845E" w14:textId="72DAF852" w:rsidR="00B67966" w:rsidRPr="007206B4" w:rsidRDefault="00B67966" w:rsidP="00B67966">
      <w:pPr>
        <w:pStyle w:val="Prrafodelista"/>
        <w:numPr>
          <w:ilvl w:val="2"/>
          <w:numId w:val="4"/>
        </w:numPr>
        <w:jc w:val="both"/>
      </w:pPr>
      <w:r w:rsidRPr="007206B4">
        <w:t xml:space="preserve">ORLANDO GIL MENDOZA – TÉCNICO. </w:t>
      </w:r>
    </w:p>
    <w:p w14:paraId="75E4CA50" w14:textId="77777777" w:rsidR="00B67966" w:rsidRPr="00B67966" w:rsidRDefault="00B67966" w:rsidP="00B67966">
      <w:pPr>
        <w:pStyle w:val="Prrafodelista"/>
        <w:rPr>
          <w:b/>
          <w:bCs/>
        </w:rPr>
      </w:pPr>
    </w:p>
    <w:p w14:paraId="5D2FA869" w14:textId="7629820D" w:rsidR="00B67966" w:rsidRPr="00B67966" w:rsidRDefault="00B67966" w:rsidP="00B67966">
      <w:pPr>
        <w:pStyle w:val="Prrafodelista"/>
        <w:numPr>
          <w:ilvl w:val="2"/>
          <w:numId w:val="4"/>
        </w:numPr>
        <w:jc w:val="both"/>
        <w:rPr>
          <w:b/>
          <w:bCs/>
        </w:rPr>
      </w:pPr>
      <w:r w:rsidRPr="00B67966">
        <w:rPr>
          <w:b/>
          <w:bCs/>
        </w:rPr>
        <w:t>Oficios.</w:t>
      </w:r>
    </w:p>
    <w:p w14:paraId="6413B692" w14:textId="77777777" w:rsidR="00B67966" w:rsidRDefault="00B67966" w:rsidP="00B67966">
      <w:pPr>
        <w:pStyle w:val="Prrafodelista"/>
      </w:pPr>
    </w:p>
    <w:p w14:paraId="29265937" w14:textId="1709578A" w:rsidR="00B67966" w:rsidRPr="00B67966" w:rsidRDefault="00B67966" w:rsidP="00B67966">
      <w:pPr>
        <w:pStyle w:val="Prrafodelista"/>
        <w:numPr>
          <w:ilvl w:val="2"/>
          <w:numId w:val="4"/>
        </w:numPr>
        <w:jc w:val="both"/>
        <w:rPr>
          <w:b/>
          <w:bCs/>
        </w:rPr>
      </w:pPr>
      <w:r>
        <w:t>Oficiar a la oficina jurídica del Municipio de Sogamoso, para que sea remitida la constancia de ejecutoria de las resoluciones No. 588 del 14 de abril de 2014 y 992 del 123 de julio de 2015, teniendo en cuenta que no aparece publicado en el SECOP, así como tampoco ha sido posible su entrega por parte del Municipio de Sogamoso.</w:t>
      </w:r>
    </w:p>
    <w:p w14:paraId="65FBD89A" w14:textId="77777777" w:rsidR="00B67966" w:rsidRPr="00B67966" w:rsidRDefault="00B67966" w:rsidP="00B67966">
      <w:pPr>
        <w:pStyle w:val="Prrafodelista"/>
        <w:rPr>
          <w:b/>
          <w:bCs/>
        </w:rPr>
      </w:pPr>
    </w:p>
    <w:p w14:paraId="522EBC55" w14:textId="77777777" w:rsidR="00B67966" w:rsidRPr="00B67966" w:rsidRDefault="00B67966" w:rsidP="00B67966">
      <w:pPr>
        <w:pStyle w:val="Prrafodelista"/>
        <w:ind w:left="360"/>
        <w:jc w:val="both"/>
        <w:rPr>
          <w:b/>
          <w:bCs/>
        </w:rPr>
      </w:pPr>
    </w:p>
    <w:p w14:paraId="494505EA" w14:textId="5AFCABF1" w:rsidR="00B67966" w:rsidRPr="00B67966" w:rsidRDefault="00B67966" w:rsidP="00B67966">
      <w:pPr>
        <w:pStyle w:val="Prrafodelista"/>
        <w:numPr>
          <w:ilvl w:val="1"/>
          <w:numId w:val="4"/>
        </w:numPr>
        <w:jc w:val="both"/>
        <w:rPr>
          <w:b/>
          <w:bCs/>
        </w:rPr>
      </w:pPr>
      <w:r w:rsidRPr="00B67966">
        <w:rPr>
          <w:b/>
          <w:bCs/>
        </w:rPr>
        <w:t xml:space="preserve">EQUIDAD. </w:t>
      </w:r>
    </w:p>
    <w:p w14:paraId="7800D026" w14:textId="77777777" w:rsidR="00B67966" w:rsidRDefault="00B67966" w:rsidP="00B67966">
      <w:pPr>
        <w:pStyle w:val="Prrafodelista"/>
        <w:ind w:left="360"/>
        <w:jc w:val="both"/>
        <w:rPr>
          <w:b/>
          <w:bCs/>
        </w:rPr>
      </w:pPr>
    </w:p>
    <w:p w14:paraId="523E4275" w14:textId="77777777" w:rsidR="00B67966" w:rsidRDefault="00B67966" w:rsidP="00B67966">
      <w:pPr>
        <w:pStyle w:val="Prrafodelista"/>
        <w:numPr>
          <w:ilvl w:val="0"/>
          <w:numId w:val="3"/>
        </w:numPr>
        <w:jc w:val="both"/>
        <w:rPr>
          <w:b/>
          <w:bCs/>
        </w:rPr>
      </w:pPr>
      <w:r>
        <w:rPr>
          <w:b/>
          <w:bCs/>
        </w:rPr>
        <w:t>DOCUMENTALES</w:t>
      </w:r>
    </w:p>
    <w:p w14:paraId="1FB365C5" w14:textId="2A4E06B2" w:rsidR="00AA0280" w:rsidRDefault="00AA0280" w:rsidP="00AA0280">
      <w:pPr>
        <w:jc w:val="both"/>
      </w:pPr>
      <w:r>
        <w:t>Se niega la declaración de parte del representante legal de LA EQUIDAD SEGUROS GENERALES O.C. El despacho manifiesta, que se acoge a la posición según la cual una propia parte no puede solicitar su declaración, debido a que esto se aleja de la naturaleza del interrogatorio de parte, pues ésta es una prueba en la que se busca la confesión. También se niega el testimonio que había sido solicitado por considerarse inútil e innecesaria, debido a que las inconformidades respecto a los actos administrativos ya se encuentran expuestos en la demanda y adicionalmente, las condiciones de la Póliza se pueden probar a través de las documentales aportadas.</w:t>
      </w:r>
    </w:p>
    <w:p w14:paraId="200E01B0" w14:textId="77777777" w:rsidR="00AA0280" w:rsidRDefault="00AA0280" w:rsidP="00AA0280">
      <w:pPr>
        <w:jc w:val="both"/>
      </w:pPr>
    </w:p>
    <w:p w14:paraId="0825D56E" w14:textId="77777777" w:rsidR="00AA0280" w:rsidRDefault="00AA0280" w:rsidP="00AA0280">
      <w:pPr>
        <w:jc w:val="both"/>
      </w:pPr>
      <w:r>
        <w:t xml:space="preserve">No se recurre esta decisión, pues se considera que es innecesaria la práctica de estas pruebas debido a que en el pronunciamiento como litisconsorte de la parte activa se encuentran expuestos los motivos de inconformidad, por otra parte, la prueba testimonial, encaminada a aclarar las condiciones de la Póliza no es necesaria, toda vez que, tal y como indicó el despacho, éstas se encuentran contenidas en el condicionado particular y general ya aportado. Adicionalmente, abrir la posibilidad de que las otras partes pregunten a modo de contrainterrogatorio o con la posibilidad de la parte actora de preguntar al testigo podría resultar afectando los intereses de la compañía. </w:t>
      </w:r>
    </w:p>
    <w:p w14:paraId="0D585DE4" w14:textId="74902934" w:rsidR="00AA0280" w:rsidRPr="00AA0280" w:rsidRDefault="00AA0280" w:rsidP="00AA0280">
      <w:pPr>
        <w:pStyle w:val="Prrafodelista"/>
        <w:numPr>
          <w:ilvl w:val="1"/>
          <w:numId w:val="4"/>
        </w:numPr>
        <w:jc w:val="both"/>
      </w:pPr>
      <w:r w:rsidRPr="00AA0280">
        <w:rPr>
          <w:b/>
          <w:bCs/>
        </w:rPr>
        <w:t>DEMANDADO – MUNICIPIO DE SOGAMOSO.</w:t>
      </w:r>
    </w:p>
    <w:p w14:paraId="1216B997" w14:textId="77777777" w:rsidR="00AA0280" w:rsidRDefault="00AA0280" w:rsidP="00AA0280">
      <w:pPr>
        <w:pStyle w:val="Prrafodelista"/>
        <w:numPr>
          <w:ilvl w:val="0"/>
          <w:numId w:val="3"/>
        </w:numPr>
        <w:jc w:val="both"/>
        <w:rPr>
          <w:b/>
          <w:bCs/>
        </w:rPr>
      </w:pPr>
      <w:r>
        <w:rPr>
          <w:b/>
          <w:bCs/>
        </w:rPr>
        <w:t>Documentales.</w:t>
      </w:r>
    </w:p>
    <w:p w14:paraId="0CDA8D75" w14:textId="59DAA0B4" w:rsidR="00AA0280" w:rsidRDefault="00AA0280" w:rsidP="00AA0280">
      <w:pPr>
        <w:pStyle w:val="Prrafodelista"/>
        <w:numPr>
          <w:ilvl w:val="0"/>
          <w:numId w:val="3"/>
        </w:numPr>
        <w:jc w:val="both"/>
        <w:rPr>
          <w:b/>
          <w:bCs/>
        </w:rPr>
      </w:pPr>
      <w:r>
        <w:rPr>
          <w:b/>
          <w:bCs/>
        </w:rPr>
        <w:t xml:space="preserve">Testimoniales (A cargo del apoderado de la parte demandada la comparecencia) </w:t>
      </w:r>
    </w:p>
    <w:p w14:paraId="37716C70" w14:textId="77777777" w:rsidR="00AA0280" w:rsidRPr="003F267C" w:rsidRDefault="00AA0280" w:rsidP="00AA0280">
      <w:pPr>
        <w:pStyle w:val="Prrafodelista"/>
        <w:numPr>
          <w:ilvl w:val="0"/>
          <w:numId w:val="3"/>
        </w:numPr>
        <w:jc w:val="both"/>
        <w:rPr>
          <w:b/>
          <w:bCs/>
        </w:rPr>
      </w:pPr>
      <w:r>
        <w:t>OSCAR NARANJO – INGENIERO PROFESIONAL UNIVERSITARIO.</w:t>
      </w:r>
    </w:p>
    <w:p w14:paraId="1559E19A" w14:textId="77777777" w:rsidR="00AA0280" w:rsidRPr="003F267C" w:rsidRDefault="00AA0280" w:rsidP="00AA0280">
      <w:pPr>
        <w:pStyle w:val="Prrafodelista"/>
        <w:numPr>
          <w:ilvl w:val="0"/>
          <w:numId w:val="3"/>
        </w:numPr>
        <w:jc w:val="both"/>
        <w:rPr>
          <w:b/>
          <w:bCs/>
        </w:rPr>
      </w:pPr>
      <w:r>
        <w:t>REPRESENTANTE LEGAL DEL CONSORCIO SUPERVIAL 004.</w:t>
      </w:r>
    </w:p>
    <w:p w14:paraId="34308D6A" w14:textId="77777777" w:rsidR="00AA0280" w:rsidRPr="003F267C" w:rsidRDefault="00AA0280" w:rsidP="00AA0280">
      <w:pPr>
        <w:pStyle w:val="Prrafodelista"/>
        <w:numPr>
          <w:ilvl w:val="0"/>
          <w:numId w:val="3"/>
        </w:numPr>
        <w:jc w:val="both"/>
        <w:rPr>
          <w:b/>
          <w:bCs/>
        </w:rPr>
      </w:pPr>
      <w:r>
        <w:t>JAIRO ORLANDO CASTILLO CARDOZO – INGENIERO SECRETARÍA DE INFRAESTRUCTURA MUNICIPIO DE SOGAMOSO.</w:t>
      </w:r>
    </w:p>
    <w:p w14:paraId="45ADE563" w14:textId="77777777" w:rsidR="00AA0280" w:rsidRPr="003F267C" w:rsidRDefault="00AA0280" w:rsidP="00AA0280">
      <w:pPr>
        <w:pStyle w:val="Prrafodelista"/>
        <w:numPr>
          <w:ilvl w:val="0"/>
          <w:numId w:val="3"/>
        </w:numPr>
        <w:jc w:val="both"/>
        <w:rPr>
          <w:b/>
          <w:bCs/>
        </w:rPr>
      </w:pPr>
      <w:r>
        <w:t xml:space="preserve">OLGA LUCÍA BENAVIDES VÁSQUEZ – INGENIERA SECRETARÍA DE INFRAESTRUCTURA DEL MUNICIPIO DE SOGAMOSO. </w:t>
      </w:r>
    </w:p>
    <w:p w14:paraId="3B45E48D" w14:textId="77777777" w:rsidR="00AA0280" w:rsidRPr="003F267C" w:rsidRDefault="00AA0280" w:rsidP="00AA0280">
      <w:pPr>
        <w:pStyle w:val="Prrafodelista"/>
        <w:numPr>
          <w:ilvl w:val="0"/>
          <w:numId w:val="3"/>
        </w:numPr>
        <w:jc w:val="both"/>
        <w:rPr>
          <w:b/>
          <w:bCs/>
        </w:rPr>
      </w:pPr>
      <w:r>
        <w:t>JOSÉ GABRIEL GÓMEZ CORTES – INGENIERO</w:t>
      </w:r>
    </w:p>
    <w:p w14:paraId="035DCA0C" w14:textId="77777777" w:rsidR="00AA0280" w:rsidRPr="003F267C" w:rsidRDefault="00AA0280" w:rsidP="00AA0280">
      <w:pPr>
        <w:pStyle w:val="Prrafodelista"/>
        <w:ind w:left="360"/>
        <w:jc w:val="both"/>
        <w:rPr>
          <w:b/>
          <w:bCs/>
        </w:rPr>
      </w:pPr>
      <w:r>
        <w:t xml:space="preserve"> </w:t>
      </w:r>
    </w:p>
    <w:p w14:paraId="401CD326" w14:textId="77777777" w:rsidR="00AA0280" w:rsidRDefault="00AA0280" w:rsidP="00AA0280">
      <w:pPr>
        <w:pStyle w:val="Prrafodelista"/>
        <w:numPr>
          <w:ilvl w:val="0"/>
          <w:numId w:val="3"/>
        </w:numPr>
        <w:jc w:val="both"/>
        <w:rPr>
          <w:b/>
          <w:bCs/>
        </w:rPr>
      </w:pPr>
      <w:r>
        <w:rPr>
          <w:b/>
          <w:bCs/>
        </w:rPr>
        <w:lastRenderedPageBreak/>
        <w:t>INTERROGATORIO DE PARTE</w:t>
      </w:r>
    </w:p>
    <w:p w14:paraId="2CDD39C3" w14:textId="77777777" w:rsidR="00AA0280" w:rsidRPr="003F267C" w:rsidRDefault="00AA0280" w:rsidP="00AA0280">
      <w:pPr>
        <w:pStyle w:val="Prrafodelista"/>
        <w:rPr>
          <w:b/>
          <w:bCs/>
        </w:rPr>
      </w:pPr>
    </w:p>
    <w:p w14:paraId="3DFDC954" w14:textId="77777777" w:rsidR="00AA0280" w:rsidRDefault="00AA0280" w:rsidP="00AA0280">
      <w:pPr>
        <w:pStyle w:val="Prrafodelista"/>
        <w:numPr>
          <w:ilvl w:val="0"/>
          <w:numId w:val="3"/>
        </w:numPr>
        <w:jc w:val="both"/>
      </w:pPr>
      <w:r>
        <w:t xml:space="preserve">MARÍA VICTORIA MORA FONSECA – REPRESENTANTE LEGAL DE EMCOOP LTDA. </w:t>
      </w:r>
    </w:p>
    <w:p w14:paraId="05A36D11" w14:textId="77777777" w:rsidR="00AA0280" w:rsidRDefault="00AA0280" w:rsidP="00AA0280">
      <w:pPr>
        <w:jc w:val="both"/>
        <w:rPr>
          <w:b/>
          <w:bCs/>
        </w:rPr>
      </w:pPr>
    </w:p>
    <w:p w14:paraId="145C9CB6" w14:textId="032BCBC2" w:rsidR="00AA0280" w:rsidRDefault="00AA0280" w:rsidP="00AA0280">
      <w:pPr>
        <w:pStyle w:val="Prrafodelista"/>
        <w:numPr>
          <w:ilvl w:val="1"/>
          <w:numId w:val="4"/>
        </w:numPr>
        <w:jc w:val="both"/>
        <w:rPr>
          <w:b/>
          <w:bCs/>
        </w:rPr>
      </w:pPr>
      <w:r w:rsidRPr="00AA0280">
        <w:rPr>
          <w:b/>
          <w:bCs/>
        </w:rPr>
        <w:t xml:space="preserve">OFICIO </w:t>
      </w:r>
    </w:p>
    <w:p w14:paraId="726D66DE" w14:textId="77777777" w:rsidR="00AA0280" w:rsidRPr="00AA0280" w:rsidRDefault="00AA0280" w:rsidP="00AA0280">
      <w:pPr>
        <w:pStyle w:val="Prrafodelista"/>
        <w:ind w:left="360"/>
        <w:jc w:val="both"/>
        <w:rPr>
          <w:b/>
          <w:bCs/>
        </w:rPr>
      </w:pPr>
    </w:p>
    <w:p w14:paraId="58FC8210" w14:textId="77777777" w:rsidR="00AA0280" w:rsidRDefault="00AA0280" w:rsidP="00AA0280">
      <w:pPr>
        <w:pStyle w:val="Prrafodelista"/>
        <w:numPr>
          <w:ilvl w:val="2"/>
          <w:numId w:val="4"/>
        </w:numPr>
        <w:jc w:val="both"/>
        <w:rPr>
          <w:b/>
          <w:bCs/>
        </w:rPr>
      </w:pPr>
      <w:r w:rsidRPr="00AA0280">
        <w:rPr>
          <w:b/>
          <w:bCs/>
        </w:rPr>
        <w:t>OFICIAR A LA OFICINA DE CONTRATACIÓN PARA QUE APORTE COPIA DIGITALIZADA DEL EXPEDIENTE CONTRACTUAL Y EXTRACONTRACTUAL</w:t>
      </w:r>
    </w:p>
    <w:p w14:paraId="674AAB6E" w14:textId="0816425C" w:rsidR="00AA0280" w:rsidRPr="00AA0280" w:rsidRDefault="00AA0280" w:rsidP="00AA0280">
      <w:pPr>
        <w:pStyle w:val="Prrafodelista"/>
        <w:numPr>
          <w:ilvl w:val="2"/>
          <w:numId w:val="4"/>
        </w:numPr>
        <w:jc w:val="both"/>
        <w:rPr>
          <w:b/>
          <w:bCs/>
        </w:rPr>
      </w:pPr>
      <w:r w:rsidRPr="00AA0280">
        <w:rPr>
          <w:b/>
          <w:bCs/>
        </w:rPr>
        <w:t xml:space="preserve">OFICIAR A TESORERÍA PARA QUE APORTE UN INFORME CON LOS PAGOS REALIZADOS AL CONTRATISTA Y VERIFICAR SI LA EQUIDAD HA LLEVADO A CABO UN PAGO POR EL SINIESTRO OCURRIDO DE LA PÓLIZA. </w:t>
      </w:r>
    </w:p>
    <w:p w14:paraId="42CDD026" w14:textId="77777777" w:rsidR="00AA0280" w:rsidRDefault="00AA0280" w:rsidP="00AA0280">
      <w:pPr>
        <w:jc w:val="both"/>
        <w:rPr>
          <w:b/>
          <w:bCs/>
        </w:rPr>
      </w:pPr>
    </w:p>
    <w:p w14:paraId="47675DB8" w14:textId="3322BDBD" w:rsidR="00AA0280" w:rsidRPr="00AA0280" w:rsidRDefault="00AA0280" w:rsidP="00AA0280">
      <w:pPr>
        <w:jc w:val="both"/>
        <w:rPr>
          <w:b/>
          <w:bCs/>
        </w:rPr>
      </w:pPr>
      <w:r>
        <w:rPr>
          <w:b/>
          <w:bCs/>
        </w:rPr>
        <w:t>14 de julio de 2025 a las 9 AM.</w:t>
      </w:r>
    </w:p>
    <w:sectPr w:rsidR="00AA0280" w:rsidRPr="00AA02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54DA"/>
    <w:multiLevelType w:val="hybridMultilevel"/>
    <w:tmpl w:val="D7B86278"/>
    <w:lvl w:ilvl="0" w:tplc="C16A8CA4">
      <w:start w:val="1"/>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43A76AB"/>
    <w:multiLevelType w:val="hybridMultilevel"/>
    <w:tmpl w:val="E228AE2E"/>
    <w:lvl w:ilvl="0" w:tplc="240A000F">
      <w:start w:val="1"/>
      <w:numFmt w:val="decimal"/>
      <w:lvlText w:val="%1."/>
      <w:lvlJc w:val="left"/>
      <w:pPr>
        <w:ind w:left="360" w:hanging="360"/>
      </w:pPr>
      <w:rPr>
        <w:rFonts w:hint="default"/>
      </w:rPr>
    </w:lvl>
    <w:lvl w:ilvl="1" w:tplc="8ED277CE">
      <w:start w:val="1"/>
      <w:numFmt w:val="lowerLetter"/>
      <w:lvlText w:val="%2."/>
      <w:lvlJc w:val="left"/>
      <w:pPr>
        <w:ind w:left="360" w:hanging="360"/>
      </w:pPr>
      <w:rPr>
        <w:b/>
        <w:bCs/>
      </w:rPr>
    </w:lvl>
    <w:lvl w:ilvl="2" w:tplc="65841054">
      <w:start w:val="1"/>
      <w:numFmt w:val="bullet"/>
      <w:lvlText w:val="-"/>
      <w:lvlJc w:val="left"/>
      <w:pPr>
        <w:ind w:left="360" w:hanging="360"/>
      </w:pPr>
      <w:rPr>
        <w:rFonts w:ascii="Calibri" w:eastAsiaTheme="minorHAnsi" w:hAnsi="Calibri" w:cs="Calibri" w:hint="default"/>
      </w:rPr>
    </w:lvl>
    <w:lvl w:ilvl="3" w:tplc="29306AE8">
      <w:start w:val="3"/>
      <w:numFmt w:val="upperLetter"/>
      <w:lvlText w:val="%4."/>
      <w:lvlJc w:val="left"/>
      <w:pPr>
        <w:ind w:left="2520" w:hanging="360"/>
      </w:pPr>
      <w:rPr>
        <w:rFonts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4CD503B"/>
    <w:multiLevelType w:val="hybridMultilevel"/>
    <w:tmpl w:val="ED34AA0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FF35E38"/>
    <w:multiLevelType w:val="hybridMultilevel"/>
    <w:tmpl w:val="D71AB140"/>
    <w:lvl w:ilvl="0" w:tplc="D1F424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8548603">
    <w:abstractNumId w:val="3"/>
  </w:num>
  <w:num w:numId="2" w16cid:durableId="724334969">
    <w:abstractNumId w:val="2"/>
  </w:num>
  <w:num w:numId="3" w16cid:durableId="1122311235">
    <w:abstractNumId w:val="0"/>
  </w:num>
  <w:num w:numId="4" w16cid:durableId="9648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B3"/>
    <w:rsid w:val="00104A52"/>
    <w:rsid w:val="00183BB4"/>
    <w:rsid w:val="001F3B5B"/>
    <w:rsid w:val="002073EB"/>
    <w:rsid w:val="002356C2"/>
    <w:rsid w:val="002F6EB3"/>
    <w:rsid w:val="003F267C"/>
    <w:rsid w:val="00443A36"/>
    <w:rsid w:val="004A53D4"/>
    <w:rsid w:val="004F1A23"/>
    <w:rsid w:val="00555313"/>
    <w:rsid w:val="005B600F"/>
    <w:rsid w:val="007206B4"/>
    <w:rsid w:val="008A116F"/>
    <w:rsid w:val="009F7345"/>
    <w:rsid w:val="00AA0280"/>
    <w:rsid w:val="00B67966"/>
    <w:rsid w:val="00BF3623"/>
    <w:rsid w:val="00CB5A05"/>
    <w:rsid w:val="00E40014"/>
    <w:rsid w:val="00FB18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41E"/>
  <w15:chartTrackingRefBased/>
  <w15:docId w15:val="{A0418403-8B4A-4F49-A420-2AA1B262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6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F6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F6EB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F6EB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F6EB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F6E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6E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6E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6E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EB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F6EB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F6EB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F6EB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F6EB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F6E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6E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6E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6EB3"/>
    <w:rPr>
      <w:rFonts w:eastAsiaTheme="majorEastAsia" w:cstheme="majorBidi"/>
      <w:color w:val="272727" w:themeColor="text1" w:themeTint="D8"/>
    </w:rPr>
  </w:style>
  <w:style w:type="paragraph" w:styleId="Ttulo">
    <w:name w:val="Title"/>
    <w:basedOn w:val="Normal"/>
    <w:next w:val="Normal"/>
    <w:link w:val="TtuloCar"/>
    <w:uiPriority w:val="10"/>
    <w:qFormat/>
    <w:rsid w:val="002F6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E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6E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6E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6EB3"/>
    <w:pPr>
      <w:spacing w:before="160"/>
      <w:jc w:val="center"/>
    </w:pPr>
    <w:rPr>
      <w:i/>
      <w:iCs/>
      <w:color w:val="404040" w:themeColor="text1" w:themeTint="BF"/>
    </w:rPr>
  </w:style>
  <w:style w:type="character" w:customStyle="1" w:styleId="CitaCar">
    <w:name w:val="Cita Car"/>
    <w:basedOn w:val="Fuentedeprrafopredeter"/>
    <w:link w:val="Cita"/>
    <w:uiPriority w:val="29"/>
    <w:rsid w:val="002F6EB3"/>
    <w:rPr>
      <w:i/>
      <w:iCs/>
      <w:color w:val="404040" w:themeColor="text1" w:themeTint="BF"/>
    </w:rPr>
  </w:style>
  <w:style w:type="paragraph" w:styleId="Prrafodelista">
    <w:name w:val="List Paragraph"/>
    <w:basedOn w:val="Normal"/>
    <w:uiPriority w:val="34"/>
    <w:qFormat/>
    <w:rsid w:val="002F6EB3"/>
    <w:pPr>
      <w:ind w:left="720"/>
      <w:contextualSpacing/>
    </w:pPr>
  </w:style>
  <w:style w:type="character" w:styleId="nfasisintenso">
    <w:name w:val="Intense Emphasis"/>
    <w:basedOn w:val="Fuentedeprrafopredeter"/>
    <w:uiPriority w:val="21"/>
    <w:qFormat/>
    <w:rsid w:val="002F6EB3"/>
    <w:rPr>
      <w:i/>
      <w:iCs/>
      <w:color w:val="2F5496" w:themeColor="accent1" w:themeShade="BF"/>
    </w:rPr>
  </w:style>
  <w:style w:type="paragraph" w:styleId="Citadestacada">
    <w:name w:val="Intense Quote"/>
    <w:basedOn w:val="Normal"/>
    <w:next w:val="Normal"/>
    <w:link w:val="CitadestacadaCar"/>
    <w:uiPriority w:val="30"/>
    <w:qFormat/>
    <w:rsid w:val="002F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F6EB3"/>
    <w:rPr>
      <w:i/>
      <w:iCs/>
      <w:color w:val="2F5496" w:themeColor="accent1" w:themeShade="BF"/>
    </w:rPr>
  </w:style>
  <w:style w:type="character" w:styleId="Referenciaintensa">
    <w:name w:val="Intense Reference"/>
    <w:basedOn w:val="Fuentedeprrafopredeter"/>
    <w:uiPriority w:val="32"/>
    <w:qFormat/>
    <w:rsid w:val="002F6EB3"/>
    <w:rPr>
      <w:b/>
      <w:bCs/>
      <w:smallCaps/>
      <w:color w:val="2F5496" w:themeColor="accent1" w:themeShade="BF"/>
      <w:spacing w:val="5"/>
    </w:rPr>
  </w:style>
  <w:style w:type="character" w:styleId="Hipervnculo">
    <w:name w:val="Hyperlink"/>
    <w:basedOn w:val="Fuentedeprrafopredeter"/>
    <w:uiPriority w:val="99"/>
    <w:unhideWhenUsed/>
    <w:rsid w:val="009F7345"/>
    <w:rPr>
      <w:color w:val="0563C1" w:themeColor="hyperlink"/>
      <w:u w:val="single"/>
    </w:rPr>
  </w:style>
  <w:style w:type="character" w:styleId="Mencinsinresolver">
    <w:name w:val="Unresolved Mention"/>
    <w:basedOn w:val="Fuentedeprrafopredeter"/>
    <w:uiPriority w:val="99"/>
    <w:semiHidden/>
    <w:unhideWhenUsed/>
    <w:rsid w:val="009F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2025-02-18T13:56:00Z</dcterms:created>
  <dcterms:modified xsi:type="dcterms:W3CDTF">2025-02-18T15:33:00Z</dcterms:modified>
</cp:coreProperties>
</file>