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1D3" w14:textId="77777777" w:rsidR="00AC34D6" w:rsidRDefault="00AC34D6" w:rsidP="00AC3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Radicado único 11001310504620230015701</w:t>
      </w:r>
    </w:p>
    <w:p w14:paraId="3469B490" w14:textId="77777777" w:rsidR="00AC34D6" w:rsidRDefault="00AC34D6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0FCAF3D8" w14:textId="77777777" w:rsidR="00AC34D6" w:rsidRDefault="00AC34D6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33C4CE5D" w14:textId="77777777" w:rsidR="00AC34D6" w:rsidRDefault="00AC34D6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0F35271D" w14:textId="3F32DCAC" w:rsidR="00AC34D6" w:rsidRDefault="00B35745" w:rsidP="00653C4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  <w:r w:rsidRPr="00B35745">
        <w:rPr>
          <w:rFonts w:ascii="Arial,Bold" w:hAnsi="Arial,Bold" w:cs="Arial,Bold"/>
          <w:b/>
          <w:bCs/>
          <w:noProof/>
          <w:color w:val="000000"/>
          <w:kern w:val="0"/>
          <w:sz w:val="20"/>
          <w:szCs w:val="20"/>
          <w:lang w:val="es-CO"/>
        </w:rPr>
        <w:drawing>
          <wp:inline distT="0" distB="0" distL="0" distR="0" wp14:anchorId="63DDAC0F" wp14:editId="6B44886E">
            <wp:extent cx="1400175" cy="1724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660F" w14:textId="77777777" w:rsidR="00786CDB" w:rsidRDefault="00786CDB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7047C147" w14:textId="77777777" w:rsidR="00B35745" w:rsidRDefault="00B35745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114B3C60" w14:textId="77777777" w:rsidR="00B35745" w:rsidRDefault="00B35745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3B29464F" w14:textId="77777777" w:rsidR="00786CDB" w:rsidRDefault="00786CDB" w:rsidP="00AC34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</w:pPr>
    </w:p>
    <w:p w14:paraId="297EDD05" w14:textId="7E5F96B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DEMANDANTE: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Calibri" w:hAnsi="Calibri" w:cs="Calibri"/>
          <w:color w:val="000000"/>
          <w:kern w:val="0"/>
          <w:lang w:val="es-CO"/>
        </w:rPr>
        <w:t>Rodolfo Macías Espitia</w:t>
      </w:r>
    </w:p>
    <w:p w14:paraId="71E6B2F0" w14:textId="2DF989B4" w:rsidR="00AC34D6" w:rsidRDefault="00AC34D6" w:rsidP="00653C42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DEMANDADOS: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Colfondos SA Pensiones y Cesantías,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Administradora de Fondos de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Pensiones y Cesantías SA y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Administradora Colombiana de Pensiones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Colpensiones</w:t>
      </w:r>
    </w:p>
    <w:p w14:paraId="340FEC72" w14:textId="59247816" w:rsidR="00AC34D6" w:rsidRDefault="00AC34D6" w:rsidP="00653C42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LLAMADA EN GARANTÍA: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Mapfre Colombia Vida Seguros SA, Allianz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De Vida SA, Compañía de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Bolívar SA y Axa Colpatria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de Vida SA.</w:t>
      </w:r>
    </w:p>
    <w:p w14:paraId="61EE9D8A" w14:textId="46F92F1A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TIPO DE PROCESO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Ordinario Laboral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</w:p>
    <w:p w14:paraId="24D14DEB" w14:textId="63C418C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DECISIÓN: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Revocar parcialmente el auto que negó</w:t>
      </w:r>
      <w:r w:rsidR="00653C42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llamamiento en garantía.</w:t>
      </w:r>
    </w:p>
    <w:p w14:paraId="0CA706C4" w14:textId="1C56325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Radicado </w:t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 w:rsidR="00653C42"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11001310504620230015701</w:t>
      </w:r>
    </w:p>
    <w:p w14:paraId="7EBB513C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FF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FF"/>
          <w:kern w:val="0"/>
          <w:sz w:val="20"/>
          <w:szCs w:val="20"/>
          <w:lang w:val="es-CO"/>
        </w:rPr>
        <w:t>11001310504620230015701</w:t>
      </w:r>
    </w:p>
    <w:p w14:paraId="699FAE0C" w14:textId="77777777" w:rsidR="00653C42" w:rsidRDefault="00653C42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kern w:val="0"/>
          <w:sz w:val="20"/>
          <w:szCs w:val="20"/>
          <w:lang w:val="es-CO"/>
        </w:rPr>
      </w:pPr>
    </w:p>
    <w:p w14:paraId="416FF039" w14:textId="77777777" w:rsidR="00653C42" w:rsidRDefault="00653C42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kern w:val="0"/>
          <w:sz w:val="20"/>
          <w:szCs w:val="20"/>
          <w:lang w:val="es-CO"/>
        </w:rPr>
      </w:pPr>
    </w:p>
    <w:p w14:paraId="70363566" w14:textId="06E3EE1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Bogotá, a los treinta y un (31) días de mayo de dos mil veinticuatro (2024), la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Sala Segunda de Decisión Laboral,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conformada por los Magistrados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Luz Marina</w:t>
      </w:r>
    </w:p>
    <w:p w14:paraId="521D5523" w14:textId="1517A45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Ibáñez Hernández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, y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Claudia Angélica</w:t>
      </w:r>
      <w:r w:rsidR="006F1289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Martínez Castillo, quien actúa como ponente,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 reunió para resolver el recurso</w:t>
      </w:r>
    </w:p>
    <w:p w14:paraId="4A57FA61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apelación interpuesto por las demandadas Colfondos SA Pensiones y Cesantías</w:t>
      </w:r>
    </w:p>
    <w:p w14:paraId="2C2D2CD6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Y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Administradora de Fondos y Pensión y Cesantías SA contra la decisión</w:t>
      </w:r>
    </w:p>
    <w:p w14:paraId="49386EB0" w14:textId="71FF2330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adoptada por el Juzgado Cuarenta y Seis Laboral del Circuito de Bogotá, en 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proceso ordinario que adelanta el señor Rodolfo Macías Espitia contra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Administradora Colombiana de Pensiones Colpensiones;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Pensiones y</w:t>
      </w:r>
    </w:p>
    <w:p w14:paraId="14FB2571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Cesantías SA; Colfondos SA Pensiones y Cesantías.</w:t>
      </w:r>
    </w:p>
    <w:p w14:paraId="6AE2393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1D81448" w14:textId="63F5E1BF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AUTO DE SEGUNDA INSTANCIA</w:t>
      </w:r>
    </w:p>
    <w:p w14:paraId="15C07E31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98EB26C" w14:textId="03BA1B9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I. ANTECEDENTES</w:t>
      </w:r>
    </w:p>
    <w:p w14:paraId="20C2649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BE74E45" w14:textId="149B28D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señor Rodolfo Macías Espitia promovió proceso contra la Administradora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Colombiana de Pensiones Colpensiones;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Pensiones y Cesantías SA;</w:t>
      </w:r>
    </w:p>
    <w:p w14:paraId="66415039" w14:textId="66144A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Colfondos SA Pensiones y Cesantías, para que se le declare la ineficacia del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traslado al RAIS, por la omisión de Colfondos SA, de brindarle la información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requerida.</w:t>
      </w:r>
    </w:p>
    <w:p w14:paraId="72AF77FD" w14:textId="6413360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16E16F4B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09B2A95" w14:textId="500CD202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II TRÁMITE PROCESAL</w:t>
      </w:r>
    </w:p>
    <w:p w14:paraId="3B72F395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8EF700E" w14:textId="5720D3B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lo que interesa al recurso, la demanda correspondió por reparto al Juzgado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Cuarenta y Seis Laboral del Circuito de Bogotá DC, despacho que mediante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providencia del 16 de junio de 2023 admitió la demanda, contra Colpensiones,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Y Colfondos SA, ordenando la notificación a esas personas jurídicas.</w:t>
      </w:r>
    </w:p>
    <w:p w14:paraId="049D3EC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4AA84CF" w14:textId="43F762F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2.1. De la solicitud de llamamiento en garantía.</w:t>
      </w:r>
    </w:p>
    <w:p w14:paraId="6E4113C7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CB5BAC4" w14:textId="1F7F35D6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al momento de contestar la demanda, realizó llamamiento en garantía</w:t>
      </w:r>
    </w:p>
    <w:p w14:paraId="02CAA236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 la aseguradora Mapfre Colombia Vida Seguros SA, de igual forma Colfondos SA</w:t>
      </w:r>
    </w:p>
    <w:p w14:paraId="32BD9D27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llamó en garantía a Allianz Seguros de Vida SA, Axa Colpatria Seguros de vida SA</w:t>
      </w:r>
    </w:p>
    <w:p w14:paraId="2F42A91A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y Compañía de Seguros Bolívar SA.</w:t>
      </w:r>
    </w:p>
    <w:p w14:paraId="1C0AA521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2B5E2350" w14:textId="51A0AC9B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2.2. Decisión de Primera Instancia.</w:t>
      </w:r>
    </w:p>
    <w:p w14:paraId="0DE99A1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57D77DF" w14:textId="5F6DAF4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juzgado mediante auto del 24 de noviembre de 2023 no accedió a esta solicitud</w:t>
      </w:r>
    </w:p>
    <w:p w14:paraId="496C8E9D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 fundamento en lo siguiente:</w:t>
      </w:r>
    </w:p>
    <w:p w14:paraId="0485D625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34626625" w14:textId="2422A20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lo anterior, concluye el Despacho que de las pólizas relacionadas en las solicitudes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llamamiento no es posible inferir que se esté asegurando la devolución de las primas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pagadas, en caso de presentarse una declaratoria de ineficacia de traslado de régimen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pensional. En este sentido, es clara la inexistencia de un compromiso contractual a cargo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las compañías de seguros llamada en garantía en virtud del cual deba asumir la devolución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las primas que le fueron pagadas, pues este punto no fue materia de aseguramiento.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otras palabras, el origen contractual de la relación jurídica entre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SA y Colfondos SA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y las compañías llamadas en garantía se circunscribe en el eventual reconocimiento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sumas adicionales en prestaciones económicas a los afiliados de esas AFP, mas no abarca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una posible devolución de los dineros pagados por concepto de primas. Lo que conlleva que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no se cumplen los supuestos previstos en el artículo 64 del CGP para realizar el llamamiento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 garantía.</w:t>
      </w:r>
    </w:p>
    <w:p w14:paraId="2E4DDB91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12A609CC" w14:textId="531040F6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Teniendo en cuenta los anteriores argumentos, se rechazar· el llamamiento en garantía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Mapfre Colombia Vida Seguros SA propuesto por la demandada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SA y los de Allianz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de Vida SA, Compañía de Seguros Bolívar SA y Axa Colpatria Seguros de Vida SA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formulados por la demandada Colfondos SA.</w:t>
      </w:r>
    </w:p>
    <w:p w14:paraId="54843B9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06D29993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2.3. Recursos de reposición y en subsidio de apelación.</w:t>
      </w:r>
    </w:p>
    <w:p w14:paraId="47581B4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C60D4C8" w14:textId="2FC0312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Contra esa decisión, la apoderada de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presento recurso de apelación y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Colfondos SA interpuso el recurso de reposición y en subsidio de apelación.</w:t>
      </w:r>
    </w:p>
    <w:p w14:paraId="04F898C7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9CFC915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Colfondos SA trajo a colación algunas sentencias entre ellas el fallo proferido por el</w:t>
      </w:r>
    </w:p>
    <w:p w14:paraId="17208FCA" w14:textId="74DDA9C6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órgano de cierre de la jurisdicción ordinaria en la sentencia del 17 de agosto de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2011, radicado 36403. Así como la sentencia del Tribunal Superior de Bogotá del</w:t>
      </w:r>
    </w:p>
    <w:p w14:paraId="3E1C0454" w14:textId="4A8ABDE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19 de agosto de 2022, Magistrado Ponente Sustanciador Miller Esquivel Gaitán,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dentro del radicado número 023 2021 00582 01, citó el precedente del 31 de octubre</w:t>
      </w:r>
    </w:p>
    <w:p w14:paraId="53DECF00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del 2023, que esta sala emitió con ponencia del Magistrado Marceliano Chávez Ávila</w:t>
      </w:r>
    </w:p>
    <w:p w14:paraId="25B80D97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el proceso con el radicado 036 2022 00615 01:</w:t>
      </w:r>
    </w:p>
    <w:p w14:paraId="75546E31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175418DB" w14:textId="67954DB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Por lo tanto, es admisible la figura procesal del llamamiento en garantía, porque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caso de una posible condena, la entidad obligada a reconocer las sumas reclamadas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cuenta con la facultad para realizar el cobro de esos valores que considera no pueda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cubrir en forma directa, pudiendo repetir contra Mapfre Colombia Seguros SA,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ver afectados sus intereses.</w:t>
      </w:r>
    </w:p>
    <w:p w14:paraId="7C214306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3DBC60C" w14:textId="0C94F4C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Así las cosas, considera esta Sala que esa relación jurídica, no debe ser definida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esta etapa procesal, sino que debe ser analizada de manera integral y con mucho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detenimiento al proferir sentencia conforme a los amparos solicitados, sujetos a las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condiciones generales y particulares de cada acuerdo, por lo que se hace necesario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admitir la intervención de ese tercero a efectos de verificar los anterior y cobertura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esa póliza, pero ello solo se logra tal como ya se precisó, al momento de emitir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sentencia.</w:t>
      </w:r>
    </w:p>
    <w:p w14:paraId="39D7D8F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B675806" w14:textId="57D134B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Conforme con lo establecido en el artículo 64 del Código General del Proceso, es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procedente Llamar en Garantía a las ASEGURADORAS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AlLLIANZ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SEGUROS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VIDA SA, COMPAÑÍA DE SEGUROS BOLÍVAR SA Y AXA COLPATRIA SEGUROS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VIDA SA, toda vez que existe un vínculo contractual en virtud del cual, en caso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condena, esa sociedad debería reembolsar los valores pagados por concepto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 provisional obligatorio.</w:t>
      </w:r>
    </w:p>
    <w:p w14:paraId="2F6C6E3E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6A8C13D" w14:textId="0FE06AC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manifestó lo siguiente:</w:t>
      </w:r>
    </w:p>
    <w:p w14:paraId="14918D95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7698E65B" w14:textId="12E5B03B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 este orden de ideas, como se expuso al momento de hacer el llamamiento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garantía, si el Despacho profiere una condena en ese sentido, la misma, en lo que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 refiere a la eventual devolución de la prima del seguro previsional debe ir dirigida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contra MAPFRE COLOMBIA VIDA SEGUROS S.A, en vista del llamamiento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garantía y de la relación contractual existente entre SKANDIA ADMINISTRADORA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FONDOS DE PENSIONES Y CESANTÍAS y esa aseguradora, en razón de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celebración del seguro previsional mencionado, cuya vigencia estuvo comprendida</w:t>
      </w:r>
    </w:p>
    <w:p w14:paraId="7F5565BD" w14:textId="01B1CF3D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entre 2007 y 2018, y cuyas primas fueron oportunamente pagadas por mi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representada en favor de esa aseguradora.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</w:p>
    <w:p w14:paraId="3CC2F180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6BE84B9D" w14:textId="3975BA3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Así las cosas, conforme lo establecido en el artículo 64 del Código General del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Proceso, es procedente llamar en garantía a MAPFRECOLOMBIAVIDASEGUROS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S.A., toda vez que existe un vínculo contractual en virtud del cual, en caso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condena, esa sociedad debería reembolsar los valores pagados por concepto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 previsional obligatorio.</w:t>
      </w:r>
    </w:p>
    <w:p w14:paraId="7E0180E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9A9AB30" w14:textId="74766B5B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Adicionalmente señaló:</w:t>
      </w:r>
    </w:p>
    <w:p w14:paraId="203BB865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2DF7A663" w14:textId="515B614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Así las cosas, lo que resulta claro es que con el auto que negó la intervención de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llamada en garantía, no sólo se pronunció en relación con la procedencia o no del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llamamiento en garantía, sino que, resolvió de fondo en relación a si la llamada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garantía debía o no responder una eventual condena en el proceso, situación que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debió ser resuelta en el marco de la sentencia que ponga fin a la instancia y no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el auto que admite o no el llamamiento en garantía. De manera que, en criterio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este apoderado judicial, lo cierto es que el Juez de instancia está pretermitiendo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oportunidad procesal pertinente y, con esta decisión se vulnerarían los derechos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mi representada, más cuando entre SKANDIA S.A. y la llamada en garantía existe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un vínculo jurídico sustancial que implicaría una consecuencia determinada ante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prosperidad de las pretensiones de la demanda.</w:t>
      </w:r>
    </w:p>
    <w:p w14:paraId="10B6DDF6" w14:textId="3F0A44B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526DF078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2.4. Resolución del recurso de reposición interpuesto por Colfondos SA</w:t>
      </w:r>
    </w:p>
    <w:p w14:paraId="60C72F60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591DA0E" w14:textId="179B66A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Mediante auto del 2 de febrero de 2024 el juzgado desestimó la reposición y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concedió la apelación interpuesta en subsidio, en aquella providencia, la primera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instancia argumentó:</w:t>
      </w:r>
    </w:p>
    <w:p w14:paraId="76878AF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5B0EE11" w14:textId="77777777" w:rsidR="006F1289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Por lo expuesto, advierte el Despacho que no le asiste razón a la recurrente, pues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del texto de las pólizas antes referidas no es posible inferir que se esté asegurando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la devolución de las primas pagadas, en caso de presentarse una declaratoria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ineficacia de traslado de régimen pensional. </w:t>
      </w:r>
    </w:p>
    <w:p w14:paraId="32113B23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B79B088" w14:textId="7FA9D9B0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 este sentido, es clara la inexistencia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un compromiso contractual a cargo de Seguros de Vida Colpatria SA hoy Axa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Colpatria Seguros de Vida SA, Allianz Seguros de Vida SA y la Compañía de</w:t>
      </w:r>
    </w:p>
    <w:p w14:paraId="5E999F3B" w14:textId="34D2DF6B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Bolívar SA, en virtud del cual deban asumir la devolución de las primas que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les fueron pagadas, pues este punto no fue materia de aseguramiento.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</w:p>
    <w:p w14:paraId="435E573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24DABD15" w14:textId="0D575FC2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 otras palabras, el origen contractual de la relación jurídica entre Colfondos SA y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estas compañías de seguros se circunscribe en el eventual reconocimiento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sumas adicionales en prestaciones económicas a los afiliados de esa AFP, mas no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abarca una posible devolución de los dineros pagados por concepto de primas. Lo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que conlleva que no se cumplen los supuestos previstos en el artículo 64 del CGP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para realizar el llamamiento en garantía.</w:t>
      </w:r>
    </w:p>
    <w:p w14:paraId="0B74C67E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6EC4CD39" w14:textId="0118101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Por lo anterior, y dado que el recurso de reposición carece de vocación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prosperidad, se concede el de apelación interpuesto por la parte demandada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Colfondos SA, de conformidad con el numeral 1° del artículo 65 del CPT y SS, por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encontrarse en el término legal. En consecuencia, se concederá el mismo en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efecto suspensivo ante la Sala de Decisión Laboral del H. Tribunal Superior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Distrito Judicial de Bogotá D.C. Igual suerte correrá el recurso de apelación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presentado en el término legal el día 1° de diciembre de 2023, por la demandada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SA contra el mismo auto y la misma decisión de rechazar el llamamiento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garantía realizado por ésta respecto de la aseguradora Mapfre Colombia Vida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Seguros SA.</w:t>
      </w:r>
    </w:p>
    <w:p w14:paraId="517F46CD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F01F779" w14:textId="3B233A4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III ALEGATOS DE CONCLUSIÓN.</w:t>
      </w:r>
    </w:p>
    <w:p w14:paraId="208ADF5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17DD9D7" w14:textId="5D0E45D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en sus alegaciones, destacó que el auto que negó el llamamiento en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garantía no sólo se pronunció respecto de este, sino que también resolvió de fondo</w:t>
      </w:r>
    </w:p>
    <w:p w14:paraId="22C8249D" w14:textId="05965BA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litigio en relación con si la llamada en garantía debía o no responder ante una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posible condena en el proceso, indicó que tal situación debió ser resuelta en la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sentencia, y no en esta oportunidad procesal pues con ello vulnera los derechos de</w:t>
      </w:r>
    </w:p>
    <w:p w14:paraId="73316343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su representada quien tiene derecho a ejercer la figura del llamamiento.</w:t>
      </w:r>
    </w:p>
    <w:p w14:paraId="2A5C18E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1A68D92" w14:textId="3946234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Colfondos SA expuso que, en virtud de los contratos suscritos con Aseguradora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Allianz Seguros de Vida SA, Compañía de Seguros Bolívar SA y Axa Colpatria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Seguros de Vida SA existe un vínculo contractual que, en caso de condena son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estas quienes deberían realizar el reembolso de los dineros correspondientes al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pago del seguro provisional obligatorio, por esto pidió la exención de la condena en</w:t>
      </w:r>
    </w:p>
    <w:p w14:paraId="5D91E531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costa producto de la decisión de segunda instancia.</w:t>
      </w:r>
    </w:p>
    <w:p w14:paraId="411269C2" w14:textId="240658DD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A7012F6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Colpensiones, manifestó lo siguiente:</w:t>
      </w:r>
    </w:p>
    <w:p w14:paraId="6C14FDFA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A3D73AF" w14:textId="186026EA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NO ME PRONUNCIARE AL RESPECTO, dado que el recurso interpuesto y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conocido por su Despacho fue presentado por la demandada Colfondos S.A.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contra del auto de fecha 02 de febrero de 2024, por medio del cual se repuso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ordinal noveno del auto de fecha 24 de noviembre de 2023 y se rechazó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llamamiento en garantía de Mapfre Colombia Vida Seguros SA propuesto por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demandada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SA y los llamamientos en garantía de las compañías Allianz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Seguros de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lastRenderedPageBreak/>
        <w:t>Vida SA, Compañía de Seguros Bolívar SA y Axa Colpatria Seguros de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Vida SA, por esta razón, la suscrita se atiene a lo que el Despacho resuelva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derecho.</w:t>
      </w:r>
    </w:p>
    <w:p w14:paraId="0CA76A84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028BEE33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IV CONSIDERACIONES</w:t>
      </w:r>
    </w:p>
    <w:p w14:paraId="65E901C1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4D3DC40A" w14:textId="0DADF6FD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4.1. PROBLEMA JURÍDICO</w:t>
      </w:r>
    </w:p>
    <w:p w14:paraId="76982D4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99C1C35" w14:textId="289A6EF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esta oportunidad, la sala se ocupará de analizar, si el juez se equivocó o no al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negar el llamamiento en garantía que efectuó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a la aseguradora Mapfre</w:t>
      </w:r>
    </w:p>
    <w:p w14:paraId="44F2D6F3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Colombia Vida Seguros SA y Colfondos SA a las aseguradoras Allianz Seguros de</w:t>
      </w:r>
    </w:p>
    <w:p w14:paraId="29F5E1F7" w14:textId="5A9A4502" w:rsidR="006F1289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Vida SA, Axa Colpatria Seguros de vida SA y Compañía de Seguros Bolívar SA.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</w:p>
    <w:p w14:paraId="6861A78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FEDD39F" w14:textId="470F1DC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4.2. PRESUPUESTOS PARA LA VIABILIDAD DE LOS RECURSOS</w:t>
      </w:r>
    </w:p>
    <w:p w14:paraId="366D3BE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6B2375C" w14:textId="0E1DAB5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 recurrente está legitimada porque con la decisión atacada hay mengua en sus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intereses, los recursos son tempestivos, está cumplida la carga procesal de la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sustentación y las providencias son susceptibles de apelación.</w:t>
      </w:r>
    </w:p>
    <w:p w14:paraId="199089E0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E02A755" w14:textId="17A11432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4.3. CASO CONCRETO</w:t>
      </w:r>
    </w:p>
    <w:p w14:paraId="56BAAD1E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16DA125E" w14:textId="5906035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4.3.1. LLAMAMIENTO EN GARANTÍA A LA ASEGURADORA MAPFRE POR LA</w:t>
      </w:r>
    </w:p>
    <w:p w14:paraId="0EE14CB7" w14:textId="16670B6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PARTE DEMANDADA SKANDIA SA Y LAS ASEGURADAS ALLIANZ</w:t>
      </w:r>
      <w:r w:rsidR="006F1289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SEGUROS DE VIDA SA, AXA COLPATRIA SEGUROS DE VIDA SA Y</w:t>
      </w:r>
      <w:r w:rsidR="006F1289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COMPAÑÍA DE SEGUROS BOLÍVAR SA LLAMADAS POR COLFONDOS</w:t>
      </w:r>
      <w:r w:rsidR="006F1289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SA.</w:t>
      </w:r>
    </w:p>
    <w:p w14:paraId="2B53325B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5E97178" w14:textId="20D452D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llamamiento en garantía es la figura procesal que permite vincular en un proceso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judicial a un tercero, fundamentado en la existencia de un derecho derivado de una</w:t>
      </w:r>
    </w:p>
    <w:p w14:paraId="7E050ECF" w14:textId="543ECFA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norma o un contrato, con el fin de exigirle que cubra las condenas impuestas o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indemnización de perjuicios al -llamador-, dado el nexo jurídico de éste con 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tercero, a quien se le extienden los efectos de la sentencia como garante de las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pretensiones invocadas.</w:t>
      </w:r>
    </w:p>
    <w:p w14:paraId="23160932" w14:textId="276A827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C6D984F" w14:textId="280CC11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 el llamamiento en garantía lo que busca el llamador, es trasladar los efectos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adversos de la decisión judicial al llamado; y se encuentra regulada en los artículos</w:t>
      </w:r>
    </w:p>
    <w:p w14:paraId="281AB033" w14:textId="3F932F9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64, 65 y 66 del CGP, aplicables al caso concreto por la remisión analógica del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artículo 145 del CPTSS.</w:t>
      </w:r>
    </w:p>
    <w:p w14:paraId="7AF03E6D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2E654F8" w14:textId="3C1B35EB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ese sentido, y para desarrollar el problema jurídico planteado en esta causa y a</w:t>
      </w:r>
    </w:p>
    <w:p w14:paraId="795669A9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fin de dilucidar la figura del -tercero- en el proceso judicial, conviene recordar que el</w:t>
      </w:r>
    </w:p>
    <w:p w14:paraId="0C529EDA" w14:textId="48B5A85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Código General del Proceso reorganizó a los sujetos procesales con otro criterio,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como señaló el profesor Ulises Canosa Suárez (2014):</w:t>
      </w:r>
    </w:p>
    <w:p w14:paraId="74E3C44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55F3694E" w14:textId="3661D2B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La novedad del Código General del Proceso está en reorganizar las partes y los terceros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 otro criterio: en la denominación de capítulos se utiliza el concepto de parte 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sentido amplio, incluyendo como parte tanto a las iniciales, como a las sobrevinientes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(antes terceros intervinientes), entre ellos el litisconsorte cuasi necesario, el interviniente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excluyente, el llamado en garantía, el llamado como poseedor o tenedor, los sucesores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procesales y los intervinientes para incidentes o trámites especiales, porque se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involucran directamente con la pretensión</w:t>
      </w:r>
      <w:r>
        <w:rPr>
          <w:rFonts w:ascii="Arial" w:hAnsi="Arial" w:cs="Arial"/>
          <w:color w:val="000000"/>
          <w:kern w:val="0"/>
          <w:sz w:val="13"/>
          <w:szCs w:val="13"/>
          <w:lang w:val="es-CO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”.</w:t>
      </w:r>
    </w:p>
    <w:p w14:paraId="2581E53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61BBC49" w14:textId="61DE3AC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A su vez el profesor Henry Sanabria (2012) conceptuó:</w:t>
      </w:r>
    </w:p>
    <w:p w14:paraId="7303DA7E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78E1E78B" w14:textId="6231100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El Código General del Proceso parte de una lógica diferente, estimando que es parte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no solamente quien tiene la calidad de demandante o demandado, sino también quien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acude al proceso a hacer valer una pretensión propia o a procurar la solución de una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controversia jurídica que se ha suscitado con una de las partes en razón de un vínculo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derecho sustancial, debiendo el juez en su sentencia pronunciarse y decidir tanto del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asunto litigioso planteado entre demandante y demandado como del propuesto por los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demás intervinientes.</w:t>
      </w:r>
    </w:p>
    <w:p w14:paraId="3697D2E4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0D7CBE81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suma, del artículo 64 del CGP puede colegirse que este puede efectuarlo tanto</w:t>
      </w:r>
    </w:p>
    <w:p w14:paraId="2777790A" w14:textId="1733463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demandante como el demandado, en el entendido que, como lo señala la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interpretación doctrinal, el litisconsorte es una parte circunstancial, y así lo concluyó</w:t>
      </w:r>
    </w:p>
    <w:p w14:paraId="056CAF23" w14:textId="05B8DF1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 Sala de Casación Laboral, cuando en sentencia SL97222 de 2023, trajo 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colación la del radicado 35227 del 14 de septiembre de 2010, donde se refirió al</w:t>
      </w:r>
    </w:p>
    <w:p w14:paraId="35878A96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llamado en garantía en esta forma, veamos:</w:t>
      </w:r>
    </w:p>
    <w:p w14:paraId="5B622098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46B310A2" w14:textId="5B24C99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Acorde con lo dicho, el criterio reiterado de la Corte ha sido que la condena contra quien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es llamado en garantía debe partir por lo general, salvo algunas excepciones, de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condena impuesta al demandado principal. Así se ha expuesto entre otros fallos, CSJ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SL, 15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may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. 2007, Rad. 28246, reiterado en CSJ SL 14 sept.2010, rad. 35227, en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primero se dijo:</w:t>
      </w:r>
    </w:p>
    <w:p w14:paraId="493C9F9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172F7761" w14:textId="0355514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La entidad llamada en garantía </w:t>
      </w:r>
      <w:r>
        <w:rPr>
          <w:rFonts w:ascii="Arial,Bold" w:hAnsi="Arial,Bold" w:cs="Arial,Bold"/>
          <w:b/>
          <w:bCs/>
          <w:color w:val="000000"/>
          <w:kern w:val="0"/>
          <w:sz w:val="20"/>
          <w:szCs w:val="20"/>
          <w:lang w:val="es-CO"/>
        </w:rPr>
        <w:t xml:space="preserve">es parte circunstancial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al proceso al que se le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convoque; las relaciones jurídicas que cuentan para cuando se pretende declaración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 existencia del derecho a una remuneración por un contrato de mandato, y la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responsabilidad principal de su pago son las habidas entre el mandante y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mandatario.</w:t>
      </w:r>
    </w:p>
    <w:p w14:paraId="60CE2766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</w:p>
    <w:p w14:paraId="0D690315" w14:textId="5CB05D48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La responsabilidad de la convocada al proceso como llamada en garantía no es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autónoma frente a quien no tiene ningún vínculo contractual; es una relación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derivada de la que se ha constituido por las relaciones contractuales (…), bajo el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supuesto ineludible de la existencia de una obligación entre quien es la garantizada,</w:t>
      </w:r>
      <w:r w:rsidR="006F1289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la entidad demandada, y el actor”. (Negrillas fuera del texto).</w:t>
      </w:r>
    </w:p>
    <w:p w14:paraId="6F7437DA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0A80803" w14:textId="5FCA503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Ese entendido, las partes que integran la litis son quienes delimitan su derecho de</w:t>
      </w:r>
    </w:p>
    <w:p w14:paraId="26569087" w14:textId="47E9C4CF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acción, y pueden formular sus pretensiones y excepciones, o acudir a las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instituciones jurídicas pertinentes para ejercer su derecho de contradicción y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defensa, entre ellos el llamamiento en garantía. De esa manera, la labor del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juzgador se concreta a examinar si se satisfacen o no los requisitos del llamamiento,</w:t>
      </w:r>
    </w:p>
    <w:p w14:paraId="4E78460B" w14:textId="480ED902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y ese momento procesal debe estar desprovisto de calificativos de éxito o no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prosperidad de la institución invocada, lo cual solo se concluirá tras la valoración del</w:t>
      </w:r>
    </w:p>
    <w:p w14:paraId="7723FF4A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recaudo probatorio.</w:t>
      </w:r>
    </w:p>
    <w:p w14:paraId="17F85F5C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B05BE48" w14:textId="588F994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Así las cosas, tanto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como Colfondos Sa al momento de la contestación</w:t>
      </w:r>
    </w:p>
    <w:p w14:paraId="4B89EFE5" w14:textId="535F3BDD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aludieron a la figura del llamamiento en garantía, es decir, lo hicieron en la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oportunidad legal, al mismo tiempo cumplieron los requisitos de la demanda inicial,</w:t>
      </w:r>
    </w:p>
    <w:p w14:paraId="05C50347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 lo cual se satisface el presupuesto del artículo 65 del CGP.</w:t>
      </w:r>
    </w:p>
    <w:p w14:paraId="1955EC5D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21B8186" w14:textId="07887750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En ese orden,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manifestó que para los periodos del 1 de enero de 2007</w:t>
      </w:r>
    </w:p>
    <w:p w14:paraId="00F26007" w14:textId="542BEB06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hasta el 31 de diciembre de 2018 suscribió contrato con Mapfre Colombia Vida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Seguros SA, y Colfondos SA llamó en garantía a Allianz Seguros de Vida SA, con</w:t>
      </w:r>
    </w:p>
    <w:p w14:paraId="6D5AAEED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quien suscribió la póliza número 0209000001-1 desde el 1 de enero de 1994 hasta</w:t>
      </w:r>
    </w:p>
    <w:p w14:paraId="4AF5B7C1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31 de diciembre de 2000, a Axa Colpatria Seguros de Vida SA, con quien suscribió</w:t>
      </w:r>
    </w:p>
    <w:p w14:paraId="4AD05D89" w14:textId="5469504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la póliza número 061, vigente desde el 1º de enero de 2001 hasta el 31 de diciembre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2001 que se prorrogó de común acuerdo, para las vigencias 2002, 2003 y 2004,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y a la aseguradora Compañía de Seguros Bolívar SA, con quien tomó las pólizas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50300000002-01, 6000-0000015-01 y 02 y 6000-0000018-01 y 02, vigentes entre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los años 2005 a 2008 y del 2016 al 2023.</w:t>
      </w:r>
    </w:p>
    <w:p w14:paraId="5067616C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C52EC2D" w14:textId="77D947C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Ambos adujeron que la prima se pagó con las cotizaciones que realizaron los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empleadores del afiliado por lo que es legítimo llamarlas al proceso, al ser las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aseguradoras quienes ha recibido los dineros, y eventualmente estarán obligadas a</w:t>
      </w:r>
    </w:p>
    <w:p w14:paraId="543B41AE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restituirlos.</w:t>
      </w:r>
    </w:p>
    <w:p w14:paraId="152D6A6D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F70EB92" w14:textId="15C903F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Sin embargo, revisado el acervo probatorio la Sala advierte que no es posible admitir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llamamiento en garantía solicitado por Colfondos SA respecto de la aseguradora</w:t>
      </w:r>
    </w:p>
    <w:p w14:paraId="0ABF45DE" w14:textId="3045108F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Allianz Seguros de Vida SA, en tanto no aportó la póliza de seguro previsional de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invalidez y sobrevivencia con esa compañía, de manera que no reúne los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presupuestos de los artículos 64 y 65 del CGP.</w:t>
      </w:r>
    </w:p>
    <w:p w14:paraId="74327C09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0558ED2" w14:textId="34E6B723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lo expuesto la Sala concluye que no le asiste razón a la primera instancia al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negar el llamamiento en garantía efectuado por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SA y Colfondos a las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aseguradoras, Mapfre Colombia Vida Seguros SA, Axa Colpatria Seguros de Vida</w:t>
      </w:r>
    </w:p>
    <w:p w14:paraId="086F044F" w14:textId="04D0BF6E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SA y Compañía de Seguros Bolívar SA, con fundamento en la futura falta de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prosperidad, por lo que deberá revocarse la decisión para en su lugar, impartir el</w:t>
      </w:r>
    </w:p>
    <w:p w14:paraId="2604FFAD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trámite de rigor ordenado en el artículo 66 CGP.</w:t>
      </w:r>
    </w:p>
    <w:p w14:paraId="2EE58C82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8D1536F" w14:textId="574C8DB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Sin costas en esta instancia dada la prosperidad de los recursos impetrados.</w:t>
      </w:r>
    </w:p>
    <w:p w14:paraId="11BF4F97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7E69E89" w14:textId="538D3270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En mérito de lo expuesto, la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SALA SEGUNDA DE DECISIÓN LABORAL DEL</w:t>
      </w:r>
      <w:r w:rsidR="006F1289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TRIBUNAL SUPERIOR DE BOGOTÁ D.C.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,</w:t>
      </w:r>
    </w:p>
    <w:p w14:paraId="012FE34A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455CBFD1" w14:textId="6AD4CFA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DECIDE</w:t>
      </w:r>
    </w:p>
    <w:p w14:paraId="7F9BDB03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1397B5D5" w14:textId="37D2A83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PRIMERO: Reconocer Personería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adjetiva al abogado Fausto Alejandro Villalba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Salinas, quien se identifica con cédula de ciudadanía número 1.000.588.698 y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tarjeta profesional número 419732 del Concejo Superior de la Judicatura para que</w:t>
      </w:r>
    </w:p>
    <w:p w14:paraId="0B77B97D" w14:textId="35D7136A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actúe como apoderado sustituto de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Administradora de Fondos de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Pensiones y Cesantías SA.</w:t>
      </w:r>
    </w:p>
    <w:p w14:paraId="720739A4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B139CFF" w14:textId="171093EA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SEGUNDO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: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Reconocer Personería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 la abogada María Fernanda Flórez Pedraza,</w:t>
      </w:r>
    </w:p>
    <w:p w14:paraId="6E44F460" w14:textId="3B331DB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quien se identifica con cédula de ciudadanía número 1.098.758.882 y tarjeta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profesional 360530 del Concejo Superior de la Judicatura para que actúe como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apoderada sustituta de la Administradora Colombiana de Pensiones Colpensiones.</w:t>
      </w:r>
    </w:p>
    <w:p w14:paraId="4AC68FB3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D6F56D8" w14:textId="5845D41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TERCERO: Revocar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 decisión proferida por el Juzgado Cuarenta y Seis Laboral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del Circuito de Bogotá DC, el 24 de noviembre de 2023, dentro del proceso Ordinario</w:t>
      </w:r>
    </w:p>
    <w:p w14:paraId="63A87E25" w14:textId="6467D96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Laboral promovido por el señor Rodolfo Macias Espitia contra las AFP Colfondos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SA Pensiones y Cesantías;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Administradora de Fondos de Pensiones y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Cesantías SA; Administradora Colombiana de Pensiones Colpensiones, por las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razones antes expuestas y en su lugar ordena:</w:t>
      </w:r>
    </w:p>
    <w:p w14:paraId="12EB2DDF" w14:textId="77777777" w:rsidR="006F1289" w:rsidRDefault="006F1289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kern w:val="0"/>
          <w:lang w:val="es-CO"/>
        </w:rPr>
      </w:pPr>
    </w:p>
    <w:p w14:paraId="51FC4248" w14:textId="7F0C38C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Symbol" w:hAnsi="Symbol" w:cs="Symbol"/>
          <w:color w:val="000000"/>
          <w:kern w:val="0"/>
          <w:lang w:val="es-CO"/>
        </w:rPr>
        <w:t xml:space="preserve">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ADMITIR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llamamiento en garantía a la aseguradora Mapfre Colombia Vida</w:t>
      </w:r>
    </w:p>
    <w:p w14:paraId="447FE2C3" w14:textId="6199AA05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Seguros SA, Axa Colpatria Seguros de Vida SA y Compañía de Seguros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Bolívar SA, y ordenar que se imparta el trámite de rigor ordenado en el</w:t>
      </w:r>
      <w:r w:rsidR="006F1289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artículo 66 CGP.</w:t>
      </w:r>
    </w:p>
    <w:p w14:paraId="326F727F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715425A2" w14:textId="359ABEE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CUARTO: Confirmar la negativa del llamamiento en garantía realizado por</w:t>
      </w:r>
      <w:r w:rsidR="00145DC3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Colfondos a la aseguradora Allianz Seguros de Vida SA, por las razones que se</w:t>
      </w:r>
      <w:r w:rsidR="00145DC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dejaron expuestas en la parte considerativa de esta providencia.</w:t>
      </w:r>
    </w:p>
    <w:p w14:paraId="1E61D84F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346EEF74" w14:textId="296807F2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QUINTO: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Sin Costas procesales en esta instancia, por lo razonado en la parte</w:t>
      </w:r>
      <w:r w:rsidR="00145DC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considerativa.</w:t>
      </w:r>
    </w:p>
    <w:p w14:paraId="567F4D1F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EE50637" w14:textId="2AB4006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Lo resuelto se notifica en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ESTADOS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y se firma en constancia.</w:t>
      </w:r>
    </w:p>
    <w:p w14:paraId="4B61F13D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32C33FC" w14:textId="17058F94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Los magistrados,</w:t>
      </w:r>
    </w:p>
    <w:p w14:paraId="040A0B3E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1A2F32E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61D339BD" w14:textId="3F2821BC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CLAUDIA ANGÉLICA MARTÍNEZ CASTILLO</w:t>
      </w:r>
    </w:p>
    <w:p w14:paraId="7F5AF6C6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Magistrada Ponente</w:t>
      </w:r>
    </w:p>
    <w:p w14:paraId="037D1B1F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FBA1871" w14:textId="105E0F49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LUZ MARINA IBÁÑEZ HERNÁNDEZ</w:t>
      </w:r>
    </w:p>
    <w:p w14:paraId="0148937A" w14:textId="77777777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Magistrada</w:t>
      </w:r>
    </w:p>
    <w:p w14:paraId="41679E13" w14:textId="77777777" w:rsidR="00145DC3" w:rsidRDefault="00145DC3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84E5C6D" w14:textId="71861F31" w:rsidR="00AC34D6" w:rsidRDefault="00AC34D6" w:rsidP="00653C4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</w:p>
    <w:p w14:paraId="6A20240B" w14:textId="513CA8C6" w:rsidR="00B9243D" w:rsidRDefault="00AC34D6" w:rsidP="00653C42">
      <w:pPr>
        <w:jc w:val="both"/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D6"/>
    <w:rsid w:val="00145DC3"/>
    <w:rsid w:val="00653C42"/>
    <w:rsid w:val="006F1289"/>
    <w:rsid w:val="00737460"/>
    <w:rsid w:val="00786CDB"/>
    <w:rsid w:val="009D023B"/>
    <w:rsid w:val="00AC34D6"/>
    <w:rsid w:val="00B3574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8B5E"/>
  <w15:chartTrackingRefBased/>
  <w15:docId w15:val="{E50E0241-7C12-468A-8780-29593AE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3192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2024-06-12T22:25:00Z</dcterms:created>
  <dcterms:modified xsi:type="dcterms:W3CDTF">2024-06-12T22:45:00Z</dcterms:modified>
</cp:coreProperties>
</file>