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84F52" w14:textId="77777777" w:rsidR="0016704F" w:rsidRDefault="0016704F" w:rsidP="00F86407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kern w:val="0"/>
          <w:sz w:val="17"/>
          <w:szCs w:val="17"/>
          <w:lang w:val="es-CO"/>
        </w:rPr>
      </w:pPr>
      <w:r>
        <w:rPr>
          <w:rFonts w:ascii="Cambria" w:hAnsi="Cambria" w:cs="Cambria"/>
          <w:color w:val="000000"/>
          <w:kern w:val="0"/>
          <w:sz w:val="17"/>
          <w:szCs w:val="17"/>
          <w:lang w:val="es-CO"/>
        </w:rPr>
        <w:t>Sumario 110012205000202300369-01</w:t>
      </w:r>
    </w:p>
    <w:p w14:paraId="3227AF38" w14:textId="77777777" w:rsidR="0016704F" w:rsidRDefault="0016704F" w:rsidP="00F86407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kern w:val="0"/>
          <w:sz w:val="17"/>
          <w:szCs w:val="17"/>
          <w:lang w:val="es-CO"/>
        </w:rPr>
      </w:pPr>
      <w:r>
        <w:rPr>
          <w:rFonts w:ascii="Cambria" w:hAnsi="Cambria" w:cs="Cambria"/>
          <w:color w:val="000000"/>
          <w:kern w:val="0"/>
          <w:sz w:val="17"/>
          <w:szCs w:val="17"/>
          <w:lang w:val="es-CO"/>
        </w:rPr>
        <w:t>De FAMISANAR EPS contra ADRES Y OTROS</w:t>
      </w:r>
    </w:p>
    <w:p w14:paraId="76761AEB" w14:textId="77777777" w:rsidR="00F86407" w:rsidRDefault="00F86407" w:rsidP="0016704F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39ACACF7" w14:textId="292C49A9" w:rsidR="00F86407" w:rsidRDefault="00D130CE" w:rsidP="00D130CE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 w:rsidRPr="00D130CE">
        <w:rPr>
          <w:rFonts w:ascii="BookmanOldStyle,Bold" w:hAnsi="BookmanOldStyle,Bold" w:cs="BookmanOldStyle,Bold"/>
          <w:b/>
          <w:bCs/>
          <w:noProof/>
          <w:color w:val="000000"/>
          <w:kern w:val="0"/>
          <w:sz w:val="24"/>
          <w:szCs w:val="24"/>
          <w:lang w:val="es-CO"/>
        </w:rPr>
        <w:drawing>
          <wp:inline distT="0" distB="0" distL="0" distR="0" wp14:anchorId="0FD98978" wp14:editId="75BB2FF9">
            <wp:extent cx="485775" cy="466725"/>
            <wp:effectExtent l="0" t="0" r="9525" b="9525"/>
            <wp:docPr id="8004917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B611C" w14:textId="77777777" w:rsidR="00F86407" w:rsidRDefault="00F86407" w:rsidP="0016704F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7779E9D5" w14:textId="77777777" w:rsidR="00F86407" w:rsidRDefault="00F86407" w:rsidP="0016704F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53025BCB" w14:textId="3709366E" w:rsidR="0016704F" w:rsidRDefault="0016704F" w:rsidP="00D130CE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TRIBUNAL SUPERIOR DEL DISTRITO JUDICIAL DE BOGOTÁ</w:t>
      </w:r>
    </w:p>
    <w:p w14:paraId="1C886A18" w14:textId="77777777" w:rsidR="0016704F" w:rsidRDefault="0016704F" w:rsidP="00D130CE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SALA LABORAL</w:t>
      </w:r>
    </w:p>
    <w:p w14:paraId="3B2FF106" w14:textId="77777777" w:rsidR="00D130CE" w:rsidRDefault="00D130CE" w:rsidP="00D130CE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385ACB0C" w14:textId="310C2D3B" w:rsidR="0016704F" w:rsidRDefault="0016704F" w:rsidP="00D130CE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MAGISTRADO PONENTE: JOSÉ WILLIAM GONZÁLEZ ZULUAGA</w:t>
      </w:r>
    </w:p>
    <w:p w14:paraId="0E2C6B45" w14:textId="2312A8F2" w:rsidR="0016704F" w:rsidRDefault="0016704F" w:rsidP="004D7AC0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PROCESO CON RADICADO 110012205000202300369-01</w:t>
      </w:r>
    </w:p>
    <w:p w14:paraId="1C6210FA" w14:textId="77777777" w:rsidR="004D7AC0" w:rsidRDefault="004D7AC0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1052E524" w14:textId="77777777" w:rsidR="004D7AC0" w:rsidRDefault="004D7AC0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5E79271F" w14:textId="79320E13" w:rsidR="0016704F" w:rsidRDefault="0016704F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SUMARIO DE FAMISANAR EPS contra ADMINISTRADORA DE LOS</w:t>
      </w:r>
      <w:r w:rsidR="00B36356"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RECURSOS DEL SISTEMA GENERAL DE SEGURIDAD SOCIAL – ADRES,</w:t>
      </w:r>
      <w:r w:rsidR="00B36356"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MINISTERIO DE SALUD Y PROTECCIÓN SOCIAL, CARVAJAL</w:t>
      </w:r>
      <w:r w:rsidR="00B36356"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TECNOLOGÍA Y SERVICIOS S.A.S., GRUPO ASESORIA EN</w:t>
      </w:r>
      <w:r w:rsidR="00B36356"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SISTEMATIZACIÓN DE DATOS SOCIEDAD DE ACCIONES SIMPLIFICADA</w:t>
      </w:r>
      <w:r w:rsidR="00B36356"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– GRUPO ASD S.A.S., SERVIS OUTSOURCING INFORMATICO SOCIEDAD</w:t>
      </w:r>
      <w:r w:rsidR="00B36356"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POR ACCIONES SIMPLIFICADA – SERVIS S.A.S., UNIÓN TEMPORAL</w:t>
      </w:r>
      <w:r w:rsidR="00B36356"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NUEVO FOSYGA, UNIÓN TEMPORAL FOSYGA 2014, CONSORCIO SAYP</w:t>
      </w:r>
    </w:p>
    <w:p w14:paraId="22A6076C" w14:textId="07B41191" w:rsidR="0016704F" w:rsidRDefault="0016704F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2011 HOY EN LIQUIDACIÓN, FIDUCIARIA LA PREVISORA S.A.</w:t>
      </w:r>
      <w:r w:rsidR="00B36356"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FIDUCIARIA COLOMBIANA DE COMERCIO EXTERIOR S.A. FIDUCOLDEX</w:t>
      </w:r>
      <w:r w:rsidR="00B36356"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y CHUBB SEGUROS COLOMBIA S.A.</w:t>
      </w:r>
    </w:p>
    <w:p w14:paraId="3F46BDA1" w14:textId="77777777" w:rsidR="00D130CE" w:rsidRDefault="00D130CE" w:rsidP="00B36356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567786A9" w14:textId="77777777" w:rsidR="0016704F" w:rsidRDefault="0016704F" w:rsidP="00B36356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Bogotá D.C., diecinueve (19) de junio de dos mil veinticuatro (2024).</w:t>
      </w:r>
    </w:p>
    <w:p w14:paraId="5FCE9E27" w14:textId="77777777" w:rsidR="00D130CE" w:rsidRDefault="00D130CE" w:rsidP="00B36356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4275E5B9" w14:textId="17E5A3EE" w:rsidR="0016704F" w:rsidRDefault="0016704F" w:rsidP="00B36356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AUTO</w:t>
      </w:r>
    </w:p>
    <w:p w14:paraId="3D86A7F9" w14:textId="77777777" w:rsidR="00B36356" w:rsidRDefault="00B36356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3FFACC5D" w14:textId="77777777" w:rsidR="0016704F" w:rsidRDefault="0016704F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ANTECEDENTES:</w:t>
      </w:r>
    </w:p>
    <w:p w14:paraId="5DE18DDD" w14:textId="77777777" w:rsidR="00D130CE" w:rsidRDefault="00D130CE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6C9B5DC6" w14:textId="65476D62" w:rsidR="0016704F" w:rsidRDefault="0016704F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Se encuentra el presente asunto para resolver los recursos de apelación</w:t>
      </w:r>
      <w:r w:rsidR="0025313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interpuestos por la demandante FAMISANAR EPS y demandada</w:t>
      </w:r>
      <w:r w:rsidR="0025313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ADMINISTRADORA DE LOS RECURSOS DEL SISTEMA GENERAL DE</w:t>
      </w:r>
      <w:r w:rsidR="0025313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SEGURIDAD SOCIAL – ADRES, en contra de la decisión proferida por la</w:t>
      </w:r>
      <w:r w:rsidR="0025313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SUPERINTENDENCIA NACIONAL DE SALUD el 16 de junio de 2022,</w:t>
      </w:r>
      <w:r w:rsidR="0025313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mediante la cual se dispuso negar la solicitud de corrección del auto</w:t>
      </w:r>
      <w:r w:rsidR="0025313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A2020-002896 del 30 de septiembre de 2021, accedió parcialmente a</w:t>
      </w:r>
      <w:r w:rsidR="0025313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las pretensiones formuladas por FAMISANAR EPS, ordeno a ADRES</w:t>
      </w:r>
      <w:r w:rsidR="0025313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pagar a FAMISANAR la suma de $27.355.855 correspondiente al valor</w:t>
      </w:r>
      <w:r w:rsidR="0025313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total reclamado de 67 cuentas de recobro, la suma de $1.367.793 por</w:t>
      </w:r>
      <w:r w:rsidR="0025313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concepto de agencias en derecho e intereses moratorios, denegó el</w:t>
      </w:r>
      <w:r w:rsidR="0025313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reconocimiento de 1.204 cuentas de cobro por valor de $957.522.932,</w:t>
      </w:r>
      <w:r w:rsidR="0025313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intereses corrientes, indexación y gastos administrativo.</w:t>
      </w:r>
    </w:p>
    <w:p w14:paraId="1F5B0B35" w14:textId="77777777" w:rsidR="00253135" w:rsidRDefault="00253135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2D92F1FC" w14:textId="29ABED2D" w:rsidR="0016704F" w:rsidRDefault="0016704F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También, negó las pretensiones de la demanda frente a la UNIÓN</w:t>
      </w:r>
      <w:r w:rsidR="0025313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TEMPORAL NUEVO FOSYGA y la UNIÓN TEMPORAL FOSYGA 2014 al</w:t>
      </w:r>
      <w:r w:rsidR="0025313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prosperar la excepción de inexistencia de la obligación de pago con</w:t>
      </w:r>
      <w:r w:rsidR="0025313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recursos propios por parte de dichas entidades, declaro infundado el</w:t>
      </w:r>
      <w:r w:rsidR="0025313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llamamiento en garantía formulado por CHUBB SEGUROS COLOMBIA</w:t>
      </w:r>
      <w:r w:rsidR="0025313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S.A., negó las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lastRenderedPageBreak/>
        <w:t>pretensiones de la demanda frente al CONSORCIO SAYP</w:t>
      </w:r>
      <w:r w:rsidR="0025313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2011 por falta de legitimación en la causa por pasiva, declaro la no</w:t>
      </w:r>
      <w:r w:rsidR="0025313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prosperidad de las excepciones de falta de jurisdicción y competencia</w:t>
      </w:r>
      <w:r w:rsidR="0025313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y caducidad de la acción, negó las solicitudes de pruebas documentales</w:t>
      </w:r>
      <w:r w:rsidR="0025313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y testimoniales, negó solicitud de perdida automática de la</w:t>
      </w:r>
      <w:r w:rsidR="0025313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competencia art. 121 del C.G.P.</w:t>
      </w:r>
    </w:p>
    <w:p w14:paraId="509628AE" w14:textId="77777777" w:rsidR="00253135" w:rsidRDefault="00253135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09EB63C2" w14:textId="4A1971B2" w:rsidR="0016704F" w:rsidRDefault="0016704F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Inconformes con la decisión las apoderadas de las partes demandante</w:t>
      </w:r>
      <w:r w:rsidR="0025313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y demandada ADRES presentaron sus recursos de apelación,</w:t>
      </w:r>
      <w:r w:rsidR="0025313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concedidos a través el auto A2022-001998 del 27 de julio de 2022 folios</w:t>
      </w:r>
      <w:r w:rsidR="0025313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3 al 13 del expediente físico, por lo que, fue remitido al Tribunal</w:t>
      </w:r>
      <w:r w:rsidR="0025313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Superior de Bogotá Sala Laboral.</w:t>
      </w:r>
    </w:p>
    <w:p w14:paraId="3B18AB03" w14:textId="77777777" w:rsidR="00253135" w:rsidRDefault="00253135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265ECC64" w14:textId="2BA38456" w:rsidR="0016704F" w:rsidRDefault="0016704F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CONSIDERACIONES</w:t>
      </w:r>
    </w:p>
    <w:p w14:paraId="1A579639" w14:textId="77777777" w:rsidR="00253135" w:rsidRDefault="00253135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19F5E9B3" w14:textId="6192A208" w:rsidR="0016704F" w:rsidRDefault="0016704F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Previo a resolver el Tribunal tiene en cuenta lo indicado por la Corte</w:t>
      </w:r>
      <w:r w:rsidR="0025313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Constitucional en auto A-389 del 21 de julio de 2021 donde al dirimir</w:t>
      </w:r>
      <w:r w:rsidR="0025313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conflicto de competencia en un caso similar al planteado, declaro que</w:t>
      </w:r>
      <w:r w:rsidR="0025313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la competencia corresponde a la jurisdicción Contencioso</w:t>
      </w:r>
      <w:r w:rsidR="0025313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Administrativa, al indicar:</w:t>
      </w:r>
    </w:p>
    <w:p w14:paraId="40D83E48" w14:textId="77777777" w:rsidR="00253135" w:rsidRDefault="00253135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</w:pPr>
    </w:p>
    <w:p w14:paraId="21BC0240" w14:textId="37A6DD59" w:rsidR="0016704F" w:rsidRDefault="0016704F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</w:pP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“24. La Sala encuentra, en primer lugar, que el proceso judicial de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recobro no corresponde, en estricto sentido, a una controversia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relativa a la prestación de servicios de la seguridad social. Dicho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procedimiento se adelanta cuando ya la entidad prestó el servicio (el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tratamiento o el suministro del insumo excluido del PBS), en virtud de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la orden proferida por un comité técnico </w:t>
      </w:r>
      <w:proofErr w:type="spellStart"/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científ</w:t>
      </w:r>
      <w:proofErr w:type="spellEnd"/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proofErr w:type="spellStart"/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ico</w:t>
      </w:r>
      <w:proofErr w:type="spellEnd"/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–en su momento– o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por un juez de tutela; es decir, no tiene por objeto decidir sobre la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prestación del servicio sino sobre su f </w:t>
      </w:r>
      <w:proofErr w:type="spellStart"/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inanciación</w:t>
      </w:r>
      <w:proofErr w:type="spellEnd"/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. En este sentido, el</w:t>
      </w:r>
    </w:p>
    <w:p w14:paraId="41D1AE79" w14:textId="5A05A9E8" w:rsidR="0016704F" w:rsidRDefault="0016704F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</w:pP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recobro busca resolver un desequilibrio económico entre el Estado y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una EPS, de manera que esta última lo que pretende es recuperar los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recursos que debió destinar para cubrir asistencias a las que no se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considera obligada por estimar que no hacen parte de la cobertura del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Plan de </w:t>
      </w:r>
      <w:proofErr w:type="spellStart"/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Benef</w:t>
      </w:r>
      <w:proofErr w:type="spellEnd"/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proofErr w:type="spellStart"/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icios</w:t>
      </w:r>
      <w:proofErr w:type="spellEnd"/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en Salud. En ese orden, el recobro no pretende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garantizar en forma directa que el servicio o la tecnología en salud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efectivamente sean prestados.</w:t>
      </w:r>
    </w:p>
    <w:p w14:paraId="385D616B" w14:textId="77777777" w:rsidR="00253135" w:rsidRDefault="00253135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</w:pPr>
    </w:p>
    <w:p w14:paraId="5B34F1C3" w14:textId="7CE355BE" w:rsidR="0016704F" w:rsidRDefault="0016704F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</w:pP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No se debe olvidar que los recobros tienen la virtualidad de permitir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que los recursos del sistema f luyan adecuadamente y que, de esta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forma, tienen repercusiones en el Sistema General de Seguridad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Social en </w:t>
      </w:r>
      <w:proofErr w:type="gramStart"/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Salud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17"/>
          <w:szCs w:val="17"/>
          <w:lang w:val="es-CO"/>
        </w:rPr>
        <w:t>[</w:t>
      </w:r>
      <w:proofErr w:type="gramEnd"/>
      <w:r>
        <w:rPr>
          <w:rFonts w:ascii="BookmanOldStyle,Italic" w:hAnsi="BookmanOldStyle,Italic" w:cs="BookmanOldStyle,Italic"/>
          <w:i/>
          <w:iCs/>
          <w:color w:val="0D0D0D"/>
          <w:kern w:val="0"/>
          <w:sz w:val="17"/>
          <w:szCs w:val="17"/>
          <w:lang w:val="es-CO"/>
        </w:rPr>
        <w:t>49]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. Sin embargo, esta relación es meramente indirecta</w:t>
      </w:r>
    </w:p>
    <w:p w14:paraId="2B2F8E95" w14:textId="0D3EE18A" w:rsidR="0016704F" w:rsidRDefault="0016704F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</w:pP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y condicional (circunstancial), pues materialmente el procedimiento de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recobro constituye una controversia económica, no de salud en estricto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sentido, que formula la EPS ante el Estado por haber asumido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obligaciones que considera ajenas a lo que estaba legal y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reglamentariamente obligada a cumplir.</w:t>
      </w:r>
    </w:p>
    <w:p w14:paraId="07BDD23B" w14:textId="77777777" w:rsidR="00253135" w:rsidRDefault="00253135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</w:pPr>
    </w:p>
    <w:p w14:paraId="3E04E6D3" w14:textId="04BB3FE1" w:rsidR="0016704F" w:rsidRDefault="0016704F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</w:pP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25. En segundo lugar, las controversias relacionadas con el pago de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recobros judiciales al Estado por prestaciones no incluidas en el PBS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y por las devoluciones o glosas a las facturas entre entidades del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Sistema General de Seguridad Social en Salud vinculan, en principio,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a las Entidades Promotoras de Salud (EPS) y a la Administradora de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los Recursos del Sistema General de Seguridad Social en Salud,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ADRES. En este tipo de controversias, en consecuencia, no intervienen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proofErr w:type="spellStart"/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af</w:t>
      </w:r>
      <w:proofErr w:type="spellEnd"/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proofErr w:type="spellStart"/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iliados</w:t>
      </w:r>
      <w:proofErr w:type="spellEnd"/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, beneficiarios, usuarios ni empleadores.</w:t>
      </w:r>
    </w:p>
    <w:p w14:paraId="5175C705" w14:textId="77777777" w:rsidR="00253135" w:rsidRDefault="00253135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</w:pPr>
    </w:p>
    <w:p w14:paraId="50BB397E" w14:textId="10B7E83E" w:rsidR="0016704F" w:rsidRDefault="0016704F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</w:pP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lastRenderedPageBreak/>
        <w:t>26. La ADRES es una entidad con una naturaleza jurídica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espe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ci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fica. El legislador, mediante el artículo 66 de la Ley 1753 de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2015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17"/>
          <w:szCs w:val="17"/>
          <w:lang w:val="es-CO"/>
        </w:rPr>
        <w:t>[50]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, con el f in de garantizar el adecuado f lujo y los respectivos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controles de recursos del Sistema General de Seguridad Social en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Salud, creó la Administradora de los Recursos del Sistema General de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Seguridad Social en Salud (SGSSS), ADRES, como una entidad de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naturaleza especial del sector descentralizado del orden nacional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asimilada a una empresa industrial y comercial del Estado, con lo que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adquiere la categoría de entidad pública. Adicionalmente, dispuso que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la ADRES hará parte del SGSSS y estará adscrita al Ministerio de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Salud y Protección Social, con personería jurídica, autonomía</w:t>
      </w:r>
    </w:p>
    <w:p w14:paraId="71EC0B41" w14:textId="0FF321F6" w:rsidR="0016704F" w:rsidRDefault="0016704F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</w:pP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administrativa y financiera y patrimonio independiente, y estará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encargada de administrar los recursos que hacen parte del Fondo de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Solidaridad y Garantías (</w:t>
      </w:r>
      <w:proofErr w:type="spellStart"/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Fosyga</w:t>
      </w:r>
      <w:proofErr w:type="spellEnd"/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), los del Fondo de Salvamento y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Garantías para el Sector Salud (</w:t>
      </w:r>
      <w:proofErr w:type="spellStart"/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Fonsaet</w:t>
      </w:r>
      <w:proofErr w:type="spellEnd"/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), los que financien el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aseguramiento en salud, los copagos por concepto de prestaciones no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incluidas en el plan de beneficios del Régimen Contributivo, y los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recursos que se recauden como consecuencia de las gestiones que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realiza la Unidad Administrativa Especial de Gestión Pensional y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Contribuciones Parafiscales de la Protección Social (UGPP).</w:t>
      </w:r>
    </w:p>
    <w:p w14:paraId="7C9F5FD3" w14:textId="77777777" w:rsidR="00253135" w:rsidRDefault="00253135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</w:pPr>
    </w:p>
    <w:p w14:paraId="1DD1FDD7" w14:textId="44C33AF2" w:rsidR="0016704F" w:rsidRDefault="0016704F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</w:pP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Entre sus funciones se encuentran: “c) Efectuar el reconocimiento y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pago de las Unidades de Pago por Capitación y demás recursos del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aseguramiento obligatorio en salud”; “d) Realizar los pagos, efectuar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giros directos, a los prestadores de servicios de salud y proveedores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de tecnologías en salud, de acuerdo con lo autorizado por el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beneficiario de los recursos y adelantar las transferencias que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correspondan a los diferentes agentes del Sistema, que en todo caso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optimice el f lujo de recursos”, y “e) Adelantar las verificaciones para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el reconocimiento y pago por los distintos conceptos, que promueva la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eficiencia en la gestión de los recursos” (art. 66, Ley 1753 de 2015).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</w:p>
    <w:p w14:paraId="2B24D3E4" w14:textId="77777777" w:rsidR="00253135" w:rsidRDefault="00253135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</w:pPr>
    </w:p>
    <w:p w14:paraId="667C69DB" w14:textId="77777777" w:rsidR="00253135" w:rsidRDefault="0016704F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</w:pP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Al respecto, también puede verse el artículo 3 del Decreto 1429 de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2016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.</w:t>
      </w:r>
    </w:p>
    <w:p w14:paraId="59B74D08" w14:textId="0D2BDAFA" w:rsidR="0016704F" w:rsidRDefault="00253135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</w:pP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</w:p>
    <w:p w14:paraId="3967C71E" w14:textId="0D2FFAED" w:rsidR="0016704F" w:rsidRDefault="0016704F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</w:pP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27. Es necesario precisar que la ADRES no es una entidad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administradora de los planes de beneficios en salud. De acuerdo con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el artículo 121.1 de la Ley 1438 de 2011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17"/>
          <w:szCs w:val="17"/>
          <w:lang w:val="es-CO"/>
        </w:rPr>
        <w:t xml:space="preserve">[54]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se entiende</w:t>
      </w:r>
    </w:p>
    <w:p w14:paraId="27D2B58D" w14:textId="55573242" w:rsidR="0016704F" w:rsidRDefault="0016704F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</w:pP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por administradoras de Planes de Beneficios en Salud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(EAPBS): “Las Entidades Promotoras de Salud del Régimen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Contributivo y Subsidiado, las Empresas Solidarias, las Asociaciones</w:t>
      </w:r>
    </w:p>
    <w:p w14:paraId="1DCCA821" w14:textId="0E30BE70" w:rsidR="0016704F" w:rsidRDefault="0016704F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</w:pP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Mutuales en sus actividades de Salud, las Cajas de Compensación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Familiar en sus actividades de salud, las actividades de salud que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realizan las aseguradoras, las Entidades que administren planes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adicionales de salud, las entidades obligadas a compensar, las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entidades adaptadas de Salud, las administradoras de riesgos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profesionales en sus actividades de salud. Las entidades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pertenecientes al régimen de excepción de salud y las universidades</w:t>
      </w:r>
    </w:p>
    <w:p w14:paraId="4F5AAC91" w14:textId="0D3FD48B" w:rsidR="0016704F" w:rsidRDefault="0016704F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</w:pP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en sus actividades de salud […]”.</w:t>
      </w:r>
    </w:p>
    <w:p w14:paraId="1BC4E841" w14:textId="77777777" w:rsidR="00253135" w:rsidRDefault="00253135" w:rsidP="0025313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kern w:val="0"/>
          <w:sz w:val="23"/>
          <w:szCs w:val="23"/>
          <w:lang w:val="es-CO"/>
        </w:rPr>
      </w:pPr>
    </w:p>
    <w:p w14:paraId="5205E7CD" w14:textId="25443698" w:rsidR="0016704F" w:rsidRDefault="0016704F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</w:pP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28. Por otra parte, la ADRES tampoco es una entidad prestadora –no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es EPS ni IPS–. En efecto, el artículo 177 de la Ley 100 de 1993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determina que las Entidades Promotoras de Salud son las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responsables de la afiliación, el registro de los afiliados y del recaudo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de sus cotizaciones, por delegación del fondo de solidaridad y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garantía. Su función primordial es organizar y garantizar, directa o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indirectamente, la prestación del plan de salud obligatorio a los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afiliados. Por otra parte, de acuerdo con el artículo 185 de la misma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ley, las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lastRenderedPageBreak/>
        <w:t>Instituciones Prestadoras de Servicios de salud (IPS), como su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nombre lo indica, son aquellas encargadas de prestar directamente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los diferentes servicios de salud a los usuarios.</w:t>
      </w:r>
    </w:p>
    <w:p w14:paraId="269E334A" w14:textId="77777777" w:rsidR="00253135" w:rsidRDefault="00253135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</w:pPr>
    </w:p>
    <w:p w14:paraId="5E865443" w14:textId="0DE9632B" w:rsidR="0016704F" w:rsidRDefault="0016704F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</w:pP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29. Ahora, aunque el artículo 622 del CGP, que modificó el numeral 4º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del artículo 2 del CPTSS, fue expedido cuando la ADRES aún no se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había creado, no puede desconocerse que se trata de una entidad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administradora de los recursos del Sistema General de Seguridad</w:t>
      </w:r>
    </w:p>
    <w:p w14:paraId="625B803B" w14:textId="77777777" w:rsidR="0016704F" w:rsidRDefault="0016704F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</w:pP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Social en Salud y que hace parte del mismo.</w:t>
      </w:r>
    </w:p>
    <w:p w14:paraId="2AA2AE07" w14:textId="77777777" w:rsidR="00253135" w:rsidRDefault="00253135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</w:pPr>
    </w:p>
    <w:p w14:paraId="7052AB84" w14:textId="710EE520" w:rsidR="0016704F" w:rsidRDefault="0016704F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</w:pP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30. Con fundamento en lo anterior, concluye la Sala que el numeral 4º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del artículo 2 del CPTSS (en la forma como fue modificado por el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artículo 622 del CGP) no es aplicable a las controversias relacionadas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con el pago de recobros judiciales al Estado por prestaciones no</w:t>
      </w:r>
    </w:p>
    <w:p w14:paraId="33E26F6C" w14:textId="7BF767C9" w:rsidR="0016704F" w:rsidRDefault="0016704F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</w:pP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incluidas en el PBS y por las devoluciones o glosas a las facturas, que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se susciten entre las EPS y la ADRES, en la medida en que, como ya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se indicó, no corresponden a litigios que, en estricto sentido, giren en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torno a la prestación de servicios de la seguridad social. Además,</w:t>
      </w:r>
    </w:p>
    <w:p w14:paraId="0B4EA12D" w14:textId="18731034" w:rsidR="0016704F" w:rsidRDefault="0016704F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</w:pP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porque se trata de controversias presentadas únicamente entre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entidades administradoras, relativas a la financiación de un servicio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que ya se prestó.</w:t>
      </w:r>
    </w:p>
    <w:p w14:paraId="64155D70" w14:textId="77777777" w:rsidR="00253135" w:rsidRDefault="00253135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</w:pPr>
    </w:p>
    <w:p w14:paraId="60F1B606" w14:textId="36009771" w:rsidR="0016704F" w:rsidRDefault="0016704F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</w:pP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31. Así las cosas –descartada la competencia de la jurisdicción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ordinaria en su especialidad laboral y de la seguridad social –, para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efectos de determinar la competencia para el conocimiento de este tipo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de controversias, es necesario acudir a la cláusula que trae el inciso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primero del artículo 104 de la Ley 1437 de 2011 que indica que “[l]a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Jurisdicción de lo Contencioso Administrativo está instituida para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conocer, además de lo dispuesto en la Constitución Política y en leyes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especiales, de las </w:t>
      </w:r>
      <w:r>
        <w:rPr>
          <w:rFonts w:ascii="BookmanOldStyle,BoldItalic" w:hAnsi="BookmanOldStyle,BoldItalic" w:cs="BookmanOldStyle,BoldItalic"/>
          <w:b/>
          <w:bCs/>
          <w:i/>
          <w:iCs/>
          <w:color w:val="0D0D0D"/>
          <w:kern w:val="0"/>
          <w:sz w:val="24"/>
          <w:szCs w:val="24"/>
          <w:lang w:val="es-CO"/>
        </w:rPr>
        <w:t>controversias y litigios originados en actos,</w:t>
      </w:r>
      <w:r w:rsidR="00253135">
        <w:rPr>
          <w:rFonts w:ascii="BookmanOldStyle,BoldItalic" w:hAnsi="BookmanOldStyle,BoldItalic" w:cs="BookmanOldStyle,BoldItalic"/>
          <w:b/>
          <w:bCs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BoldItalic" w:hAnsi="BookmanOldStyle,BoldItalic" w:cs="BookmanOldStyle,BoldItalic"/>
          <w:b/>
          <w:bCs/>
          <w:i/>
          <w:iCs/>
          <w:color w:val="0D0D0D"/>
          <w:kern w:val="0"/>
          <w:sz w:val="24"/>
          <w:szCs w:val="24"/>
          <w:lang w:val="es-CO"/>
        </w:rPr>
        <w:t>contratos, hechos, omisiones y operaciones, sujetos al derecho</w:t>
      </w:r>
      <w:r w:rsidR="00253135">
        <w:rPr>
          <w:rFonts w:ascii="BookmanOldStyle,BoldItalic" w:hAnsi="BookmanOldStyle,BoldItalic" w:cs="BookmanOldStyle,BoldItalic"/>
          <w:b/>
          <w:bCs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BoldItalic" w:hAnsi="BookmanOldStyle,BoldItalic" w:cs="BookmanOldStyle,BoldItalic"/>
          <w:b/>
          <w:bCs/>
          <w:i/>
          <w:iCs/>
          <w:color w:val="0D0D0D"/>
          <w:kern w:val="0"/>
          <w:sz w:val="24"/>
          <w:szCs w:val="24"/>
          <w:lang w:val="es-CO"/>
        </w:rPr>
        <w:t>administrativo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, en los que estén involucradas las entidades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públicas, o los particulares cuando ejerzan función administrativa ”</w:t>
      </w:r>
    </w:p>
    <w:p w14:paraId="5DD64831" w14:textId="77777777" w:rsidR="00253135" w:rsidRDefault="00253135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</w:pPr>
    </w:p>
    <w:p w14:paraId="33E0F1E0" w14:textId="77777777" w:rsidR="0016704F" w:rsidRDefault="0016704F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</w:pP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(negrillas fuera de texto).</w:t>
      </w:r>
    </w:p>
    <w:p w14:paraId="0A2A6E9D" w14:textId="77777777" w:rsidR="00253135" w:rsidRDefault="00253135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</w:pPr>
    </w:p>
    <w:p w14:paraId="57ABF537" w14:textId="009C6063" w:rsidR="0016704F" w:rsidRDefault="0016704F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</w:pP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(…)</w:t>
      </w:r>
    </w:p>
    <w:p w14:paraId="3A43598E" w14:textId="77777777" w:rsidR="00253135" w:rsidRDefault="00253135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</w:pPr>
    </w:p>
    <w:p w14:paraId="25D94DB7" w14:textId="578253CB" w:rsidR="0016704F" w:rsidRDefault="0016704F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</w:pP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38. En ese orden, vale la pena anotar que en Sentencia del 3 de abril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de 2020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17"/>
          <w:szCs w:val="17"/>
          <w:lang w:val="es-CO"/>
        </w:rPr>
        <w:t>[67]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, la Sección Tercera del Consejo de Estado destacó que el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procedimiento de recobro persigue un f in legítimo amparado en la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Constitución, esto es, la defensa del patrimonio público, el cual se</w:t>
      </w:r>
    </w:p>
    <w:p w14:paraId="3A2D7714" w14:textId="71E10BB3" w:rsidR="0016704F" w:rsidRDefault="0016704F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</w:pP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logra “</w:t>
      </w:r>
      <w:r>
        <w:rPr>
          <w:rFonts w:ascii="BookmanOldStyle,BoldItalic" w:hAnsi="BookmanOldStyle,BoldItalic" w:cs="BookmanOldStyle,BoldItalic"/>
          <w:b/>
          <w:bCs/>
          <w:i/>
          <w:iCs/>
          <w:color w:val="0D0D0D"/>
          <w:kern w:val="0"/>
          <w:sz w:val="24"/>
          <w:szCs w:val="24"/>
          <w:lang w:val="es-CO"/>
        </w:rPr>
        <w:t>mediante la adopción de procedimientos administrativos</w:t>
      </w:r>
      <w:r w:rsidR="00253135">
        <w:rPr>
          <w:rFonts w:ascii="BookmanOldStyle,BoldItalic" w:hAnsi="BookmanOldStyle,BoldItalic" w:cs="BookmanOldStyle,BoldItalic"/>
          <w:b/>
          <w:bCs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BoldItalic" w:hAnsi="BookmanOldStyle,BoldItalic" w:cs="BookmanOldStyle,BoldItalic"/>
          <w:b/>
          <w:bCs/>
          <w:i/>
          <w:iCs/>
          <w:color w:val="0D0D0D"/>
          <w:kern w:val="0"/>
          <w:sz w:val="24"/>
          <w:szCs w:val="24"/>
          <w:lang w:val="es-CO"/>
        </w:rPr>
        <w:t xml:space="preserve">que permitan verificar que los cobros con cargo al </w:t>
      </w:r>
      <w:proofErr w:type="spellStart"/>
      <w:r>
        <w:rPr>
          <w:rFonts w:ascii="BookmanOldStyle,BoldItalic" w:hAnsi="BookmanOldStyle,BoldItalic" w:cs="BookmanOldStyle,BoldItalic"/>
          <w:b/>
          <w:bCs/>
          <w:i/>
          <w:iCs/>
          <w:color w:val="0D0D0D"/>
          <w:kern w:val="0"/>
          <w:sz w:val="24"/>
          <w:szCs w:val="24"/>
          <w:lang w:val="es-CO"/>
        </w:rPr>
        <w:t>Fosyga</w:t>
      </w:r>
      <w:proofErr w:type="spellEnd"/>
      <w:r>
        <w:rPr>
          <w:rFonts w:ascii="BookmanOldStyle,BoldItalic" w:hAnsi="BookmanOldStyle,BoldItalic" w:cs="BookmanOldStyle,BoldItalic"/>
          <w:b/>
          <w:bCs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[hoy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a la Adres], </w:t>
      </w:r>
      <w:r>
        <w:rPr>
          <w:rFonts w:ascii="BookmanOldStyle,BoldItalic" w:hAnsi="BookmanOldStyle,BoldItalic" w:cs="BookmanOldStyle,BoldItalic"/>
          <w:b/>
          <w:bCs/>
          <w:i/>
          <w:iCs/>
          <w:color w:val="0D0D0D"/>
          <w:kern w:val="0"/>
          <w:sz w:val="24"/>
          <w:szCs w:val="24"/>
          <w:lang w:val="es-CO"/>
        </w:rPr>
        <w:t>correspondan a verdaderas deudas de la</w:t>
      </w:r>
      <w:r w:rsidR="00253135">
        <w:rPr>
          <w:rFonts w:ascii="BookmanOldStyle,BoldItalic" w:hAnsi="BookmanOldStyle,BoldItalic" w:cs="BookmanOldStyle,BoldItalic"/>
          <w:b/>
          <w:bCs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BoldItalic" w:hAnsi="BookmanOldStyle,BoldItalic" w:cs="BookmanOldStyle,BoldItalic"/>
          <w:b/>
          <w:bCs/>
          <w:i/>
          <w:iCs/>
          <w:color w:val="0D0D0D"/>
          <w:kern w:val="0"/>
          <w:sz w:val="24"/>
          <w:szCs w:val="24"/>
          <w:lang w:val="es-CO"/>
        </w:rPr>
        <w:t>administración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” (negrillas fuera de texto). Así las cosas, el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procedimiento de recobro, señaló el alto tribunal, se caracteriza por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ser un procedimiento administrativo reglamentado que involucra la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presentación de las respectivas facturas, de suerte que, con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posterioridad a su radicación, la administración realice la respectiva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verificación en un plazo razonable; verificación que consiste en una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revisión jurídica, médica, administrativa y financiera de los soportes.</w:t>
      </w:r>
    </w:p>
    <w:p w14:paraId="252E9914" w14:textId="77777777" w:rsidR="00253135" w:rsidRDefault="00253135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</w:pPr>
    </w:p>
    <w:p w14:paraId="62FBE5A3" w14:textId="2E8FC762" w:rsidR="0016704F" w:rsidRDefault="0016704F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</w:pP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lastRenderedPageBreak/>
        <w:t>39. Todo lo anterior demuestra que la ADRES no solamente se rige por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normas de derecho público, sino que la decisión de reconocer o no el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pago de obligaciones por concepto de prestación de servicios y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tecnologías en salud subyace a un conjunto de actuaciones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administrativas regladas. Esto último no es gratuito. La creación de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la Administradora de los Recursos del SGSSS, como se expuso en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líneas anteriores (supra 27), tuvo como orientación primordial que el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Estado jugara un papel más protagónico en la gestión y veeduría de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los recursos, de suerte que se pudiera lograr el saneamiento definitivo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de los recobros por concepto de servicios y tecnologías de salud no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financiados con cargo a la UPC.</w:t>
      </w:r>
    </w:p>
    <w:p w14:paraId="360F5E12" w14:textId="77777777" w:rsidR="00253135" w:rsidRDefault="00253135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</w:pPr>
    </w:p>
    <w:p w14:paraId="4B303020" w14:textId="257E0CDE" w:rsidR="0016704F" w:rsidRDefault="0016704F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</w:pP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40. Así las cosas, comoquiera que los procedimientos de recobro son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la expresión de actuaciones administrativas regladas en cabeza de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una entidad pública, es razonable que su control deba estar a cargo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de la jurisdicción contencioso administrativa, especialmente si se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tiene en cuenta que el artículo 104 de la Ley 1437 de 2011 dispone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expresamente que dicha jurisdicción “está instituida para conocer […]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de </w:t>
      </w:r>
      <w:r>
        <w:rPr>
          <w:rFonts w:ascii="BookmanOldStyle,BoldItalic" w:hAnsi="BookmanOldStyle,BoldItalic" w:cs="BookmanOldStyle,BoldItalic"/>
          <w:b/>
          <w:bCs/>
          <w:i/>
          <w:iCs/>
          <w:color w:val="0D0D0D"/>
          <w:kern w:val="0"/>
          <w:sz w:val="24"/>
          <w:szCs w:val="24"/>
          <w:lang w:val="es-CO"/>
        </w:rPr>
        <w:t>las controversias y litigios originados en actos, contratos,</w:t>
      </w:r>
      <w:r w:rsidR="00253135">
        <w:rPr>
          <w:rFonts w:ascii="BookmanOldStyle,BoldItalic" w:hAnsi="BookmanOldStyle,BoldItalic" w:cs="BookmanOldStyle,BoldItalic"/>
          <w:b/>
          <w:bCs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BoldItalic" w:hAnsi="BookmanOldStyle,BoldItalic" w:cs="BookmanOldStyle,BoldItalic"/>
          <w:b/>
          <w:bCs/>
          <w:i/>
          <w:iCs/>
          <w:color w:val="0D0D0D"/>
          <w:kern w:val="0"/>
          <w:sz w:val="24"/>
          <w:szCs w:val="24"/>
          <w:lang w:val="es-CO"/>
        </w:rPr>
        <w:t>hechos, omisiones y operaciones, sujetos al derecho</w:t>
      </w:r>
      <w:r w:rsidR="00253135">
        <w:rPr>
          <w:rFonts w:ascii="BookmanOldStyle,BoldItalic" w:hAnsi="BookmanOldStyle,BoldItalic" w:cs="BookmanOldStyle,BoldItalic"/>
          <w:b/>
          <w:bCs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BoldItalic" w:hAnsi="BookmanOldStyle,BoldItalic" w:cs="BookmanOldStyle,BoldItalic"/>
          <w:b/>
          <w:bCs/>
          <w:i/>
          <w:iCs/>
          <w:color w:val="0D0D0D"/>
          <w:kern w:val="0"/>
          <w:sz w:val="24"/>
          <w:szCs w:val="24"/>
          <w:lang w:val="es-CO"/>
        </w:rPr>
        <w:t>administrativo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, en los que estén involucradas las entidades</w:t>
      </w:r>
      <w:r w:rsidR="00253135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públicas” (negrillas fuera de texto).</w:t>
      </w:r>
    </w:p>
    <w:p w14:paraId="4156B690" w14:textId="77777777" w:rsidR="00253135" w:rsidRDefault="00253135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</w:pPr>
    </w:p>
    <w:p w14:paraId="684A7811" w14:textId="24CC5517" w:rsidR="0016704F" w:rsidRDefault="0016704F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</w:pP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Planteamiento que se refuerza en el hecho de que, por medio de la</w:t>
      </w:r>
      <w:r w:rsidR="00610561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demanda, también se busca el pago de perjuicios y las reparaciones</w:t>
      </w:r>
      <w:r w:rsidR="00610561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de daños causados por el hecho y la omisión de una entidad pública,</w:t>
      </w:r>
      <w:r w:rsidR="00610561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en las modalidades de daño emergente y lucro cesante (supra 1).</w:t>
      </w:r>
    </w:p>
    <w:p w14:paraId="025E4C89" w14:textId="77777777" w:rsidR="00610561" w:rsidRDefault="00610561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</w:pPr>
    </w:p>
    <w:p w14:paraId="2B9FCF4D" w14:textId="58ED602F" w:rsidR="0016704F" w:rsidRDefault="0016704F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</w:pP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41. Cabe concluir, con fundamento en las anteriores consideraciones,</w:t>
      </w:r>
      <w:r w:rsidR="00610561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que las controversias relativas a los recobros efectuados por las EPS</w:t>
      </w:r>
      <w:r w:rsidR="00610561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son de competencia de la jurisdicción de lo contencioso</w:t>
      </w:r>
      <w:r w:rsidR="00610561"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D0D0D"/>
          <w:kern w:val="0"/>
          <w:sz w:val="24"/>
          <w:szCs w:val="24"/>
          <w:lang w:val="es-CO"/>
        </w:rPr>
        <w:t>administrativo.”</w:t>
      </w:r>
    </w:p>
    <w:p w14:paraId="2EC8C0ED" w14:textId="77777777" w:rsidR="00253135" w:rsidRDefault="00253135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587680DC" w14:textId="45617D24" w:rsidR="0016704F" w:rsidRDefault="0016704F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Así mismo, se pronunció la Corte Suprema de Justicia en el proveído APL 1531</w:t>
      </w:r>
      <w:r w:rsidR="0061056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del 12 de abril de 2018, en el que se concluyó que los litigios surgidos con</w:t>
      </w:r>
      <w:r w:rsidR="0061056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ocasión de la devolución, rechazo o glosas de las facturas o cuentas de cobro</w:t>
      </w:r>
      <w:r w:rsidR="0061056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por servicios, insumos o medicamentos del servicio de salud NO incluidos en</w:t>
      </w:r>
      <w:r w:rsidR="0061056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el Plan Obligatorio de Salud –NO POS-, deben zanjarse en la jurisdicción de</w:t>
      </w:r>
      <w:r w:rsidR="0061056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los Contencioso Administrativo, por expresa competencia de la Ley 1437 de</w:t>
      </w:r>
      <w:r w:rsidR="0061056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2011.</w:t>
      </w:r>
    </w:p>
    <w:p w14:paraId="5A655811" w14:textId="77777777" w:rsidR="00253135" w:rsidRDefault="00253135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5CCFD0EC" w14:textId="2E851C62" w:rsidR="0016704F" w:rsidRDefault="0016704F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Lo aquí discutido fue objeto de estudio de forma más reciente por la Corte</w:t>
      </w:r>
      <w:r w:rsidR="0061056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Constitucional en Auto A-2245 de 2023, en donde nuevamente se reitera que</w:t>
      </w:r>
      <w:r w:rsidR="0061056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las controversias sobre recobros de prestaciones no incluidas en el plan de</w:t>
      </w:r>
      <w:r w:rsidR="0061056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beneficios de salud son competencia de la jurisdicción contencioso</w:t>
      </w:r>
      <w:r w:rsidR="0061056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administrativa, así:</w:t>
      </w:r>
    </w:p>
    <w:p w14:paraId="6362ED6B" w14:textId="77777777" w:rsidR="00253135" w:rsidRDefault="00253135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</w:pPr>
    </w:p>
    <w:p w14:paraId="556FE26E" w14:textId="40A885DE" w:rsidR="0016704F" w:rsidRDefault="0016704F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</w:pP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“La Sala Plena advierte que, de acuerdo con la regla de decisión fijada</w:t>
      </w:r>
      <w:r w:rsidR="00610561"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 xml:space="preserve">en el </w:t>
      </w:r>
      <w:r>
        <w:rPr>
          <w:rFonts w:ascii="BookmanOldStyle,BoldItalic" w:hAnsi="BookmanOldStyle,BoldItalic" w:cs="BookmanOldStyle,BoldItalic"/>
          <w:b/>
          <w:bCs/>
          <w:i/>
          <w:iCs/>
          <w:color w:val="000000"/>
          <w:kern w:val="0"/>
          <w:sz w:val="24"/>
          <w:szCs w:val="24"/>
          <w:lang w:val="es-CO"/>
        </w:rPr>
        <w:t>Auto 389 de 2021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,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17"/>
          <w:szCs w:val="17"/>
          <w:lang w:val="es-CO"/>
        </w:rPr>
        <w:t xml:space="preserve">[62] 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 xml:space="preserve">y reiterada en el </w:t>
      </w:r>
      <w:r>
        <w:rPr>
          <w:rFonts w:ascii="BookmanOldStyle,BoldItalic" w:hAnsi="BookmanOldStyle,BoldItalic" w:cs="BookmanOldStyle,BoldItalic"/>
          <w:b/>
          <w:bCs/>
          <w:i/>
          <w:iCs/>
          <w:color w:val="000000"/>
          <w:kern w:val="0"/>
          <w:sz w:val="24"/>
          <w:szCs w:val="24"/>
          <w:lang w:val="es-CO"/>
        </w:rPr>
        <w:t>Auto 862 de 2021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,</w:t>
      </w:r>
      <w:r w:rsidR="00610561"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aquellas controversias en las que (i) una EPS demande a la ADRES</w:t>
      </w:r>
      <w:r w:rsidR="00610561"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y/o al Ministerio de Salud; (</w:t>
      </w:r>
      <w:proofErr w:type="spellStart"/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ii</w:t>
      </w:r>
      <w:proofErr w:type="spellEnd"/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) con el propósito de obtener el</w:t>
      </w:r>
      <w:r w:rsidR="00610561"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reconocimiento y pago de recobros correspondientes a servicios o</w:t>
      </w:r>
      <w:r w:rsidR="00610561"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tecnologías en salud no incluidos en el extinto POS (hoy</w:t>
      </w:r>
      <w:r w:rsidR="00610561"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PBS), (</w:t>
      </w:r>
      <w:proofErr w:type="spellStart"/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iii</w:t>
      </w:r>
      <w:proofErr w:type="spellEnd"/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) serán competencia de la Jurisdicción de lo Contencioso</w:t>
      </w:r>
      <w:r w:rsidR="00610561"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Administrativo, de conformidad con el artículo 104 del CPACA y los</w:t>
      </w:r>
      <w:r w:rsidR="00610561"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autos 389 y 862 de 2021. Lo anterior, dado que esta circunstancia no</w:t>
      </w:r>
      <w:r w:rsidR="00610561"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 xml:space="preserve">se relaciona con la prestación de 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lastRenderedPageBreak/>
        <w:t>los servicios de la seguridad social,</w:t>
      </w:r>
      <w:r w:rsidR="00610561"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en donde se vean implicados los afiliados, beneficiarios, usuarios o</w:t>
      </w:r>
      <w:r w:rsidR="00610561"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empleadores, como lo prevé el artículo 622 del Código General del</w:t>
      </w:r>
      <w:r w:rsidR="00610561"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Proceso,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17"/>
          <w:szCs w:val="17"/>
          <w:lang w:val="es-CO"/>
        </w:rPr>
        <w:t xml:space="preserve">[63] 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sino con la financiación de estos.”</w:t>
      </w:r>
    </w:p>
    <w:p w14:paraId="140960B8" w14:textId="77777777" w:rsidR="00253135" w:rsidRDefault="00253135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404E7D23" w14:textId="25CBBC73" w:rsidR="0016704F" w:rsidRDefault="0016704F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Caso en concreto.</w:t>
      </w:r>
    </w:p>
    <w:p w14:paraId="3DD8E13E" w14:textId="77777777" w:rsidR="00253135" w:rsidRDefault="00253135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5C024A24" w14:textId="068DBB3A" w:rsidR="0016704F" w:rsidRDefault="0016704F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En el caso bajo estudio, es claro, que la EPS FAMISANAR demando</w:t>
      </w:r>
      <w:r w:rsidR="0061056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 ADRES, MINISTERIO DE SALUD Y PROTECCIÓN SOCIAL, CARVAJAL</w:t>
      </w:r>
      <w:r w:rsidR="0061056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TECNOLOGÍA Y SERVICIOS S.A.S., GRUPO ASESORIA EN</w:t>
      </w:r>
      <w:r w:rsidR="0061056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SISTEMATIZACIÓN DE DATOS SOCIEDAD DE ACCIONES SIMPLIFICADA –</w:t>
      </w:r>
      <w:r w:rsidR="0061056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GRUPO ASD S.A.S., SERVIS OUTSOURCING INFORMATICO SOCIEDAD POR</w:t>
      </w:r>
      <w:r w:rsidR="0061056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ACCIONES SIMPLIFICADA – SERVIS S.A.S., UNIÓN TEMPORAL NUEVO</w:t>
      </w:r>
      <w:r w:rsidR="0061056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FOSYGA, UNIÓN TEMPORAL FOSYGA 2014, CONSORCIO SAYP 2011 HOY</w:t>
      </w:r>
      <w:r w:rsidR="0061056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EN LIQUIDACIÓN, FIDUCIARIA LA PREVISORA S.A. FIDUCIARIA</w:t>
      </w:r>
      <w:r w:rsidR="0061056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COLOMBIANA DE COMERCIO EXTERIOR S.A. FIDUCOLDEX y CHUBB</w:t>
      </w:r>
      <w:r w:rsidR="0061056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SEGUROS COLOMBIA S.A., ante la SUPERINTENDENCIA NACIONAL DE</w:t>
      </w:r>
      <w:r w:rsidR="0061056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SALUD para que haciendo uso de la acción consagrada en el artículo 41 de la</w:t>
      </w:r>
      <w:r w:rsidR="0061056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Ley 1122 de 2007, adicionado por el artículo 126 de la Ley 1438 de 2011 literal</w:t>
      </w:r>
      <w:r w:rsidR="0061056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f se ordenará el pago de 2.298 cuentas de recobro, los intereses de mora e</w:t>
      </w:r>
      <w:r w:rsidR="0061056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indexación.</w:t>
      </w:r>
    </w:p>
    <w:p w14:paraId="45797A43" w14:textId="77777777" w:rsidR="00253135" w:rsidRDefault="00253135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75B0892D" w14:textId="5D2A0DB4" w:rsidR="0016704F" w:rsidRDefault="0016704F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 lo anterior, se concluye que los procedimientos de recobro son la expresión</w:t>
      </w:r>
      <w:r w:rsidR="0061056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 actuaciones administrativas regladas en cabeza de una entidad pública, su</w:t>
      </w:r>
      <w:r w:rsidR="0061056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control debe estar a cargo de la jurisdicción contencioso administrativa,</w:t>
      </w:r>
      <w:r w:rsidR="0061056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especialmente si se tiene en cuenta que el artículo 104 de la Ley 1437 de 2011</w:t>
      </w:r>
      <w:r w:rsidR="0061056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dispone expresamente que dicha jurisdicción 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“esta instituida para conocer (…)</w:t>
      </w:r>
      <w:r w:rsidR="00610561"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de las controversias y litigios originados en actos, contratos, hechos, omisiones</w:t>
      </w:r>
      <w:r w:rsidR="00610561"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y operaciones, sujetos al derecho administrativo, en los que están involucradas</w:t>
      </w:r>
      <w:r w:rsidR="00610561"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las entidades públicas”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, tal como se ha indicado por la Corte Constitucional,</w:t>
      </w:r>
      <w:r w:rsidR="0061056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por lo que la competencia para conocer de este asunto corresponde a la</w:t>
      </w:r>
      <w:r w:rsidR="0061056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jurisdicción Contencioso Administrativa, lo que impide continuar con el</w:t>
      </w:r>
      <w:r w:rsidR="0061056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conocimiento del presente asunto y en consecuencia se procederá a declarar</w:t>
      </w:r>
      <w:r w:rsidR="0061056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la falta de jurisdicción y competencia de este Tribunal y se ordenará por</w:t>
      </w:r>
      <w:r w:rsidR="0061056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secretaría remitir las presentes diligencias al TRIBUNAL ADMINISTRATIVO</w:t>
      </w:r>
      <w:r w:rsidR="0061056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 CUNDINAMARCA por tratarse del superior funcional de quien a</w:t>
      </w:r>
      <w:r w:rsidR="0061056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prevención, conoció del presente asunto en primera instancia, para que</w:t>
      </w:r>
      <w:r w:rsidR="0061056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continúe con el trámite correspondiente.</w:t>
      </w:r>
    </w:p>
    <w:p w14:paraId="70A53931" w14:textId="77777777" w:rsidR="00253135" w:rsidRDefault="00253135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108B6E33" w14:textId="5FE1B337" w:rsidR="0016704F" w:rsidRDefault="0016704F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DECISIÓN</w:t>
      </w:r>
    </w:p>
    <w:p w14:paraId="68BA636B" w14:textId="77777777" w:rsidR="00253135" w:rsidRDefault="00253135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7652CC7B" w14:textId="4870AE9A" w:rsidR="0016704F" w:rsidRDefault="0016704F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En mérito de lo expuesto, el TRIBUNAL SUPERIOR DEL DISTRITO</w:t>
      </w:r>
      <w:r w:rsidR="0061056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JUDICIAL DE BOGOTÁ, SALA LABORAL,</w:t>
      </w:r>
    </w:p>
    <w:p w14:paraId="737DEBCF" w14:textId="77777777" w:rsidR="00253135" w:rsidRDefault="00253135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617B7F58" w14:textId="5184ECD1" w:rsidR="0016704F" w:rsidRDefault="0016704F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RESUELVE</w:t>
      </w:r>
    </w:p>
    <w:p w14:paraId="79E18FDB" w14:textId="77777777" w:rsidR="00253135" w:rsidRDefault="00253135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2C18DF5B" w14:textId="75DCCD53" w:rsidR="0016704F" w:rsidRDefault="0016704F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PRIMERO: DECLARAR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la falta de jurisdicción y competencia de</w:t>
      </w:r>
      <w:r w:rsidR="0061056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este Tribunal para conocer la apelación presentada dentro del</w:t>
      </w:r>
      <w:r w:rsidR="0061056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proceso sumario adelantado por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FAMISANAR EPS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en contra de</w:t>
      </w:r>
      <w:r w:rsidR="0061056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ADRES, MINISTERIO DE SALUD Y PROTECCIÓN SOCIAL, CARVAJAL</w:t>
      </w:r>
      <w:r w:rsidR="00610561"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TECNOLOGÍA Y SERVICIOS S.A.S., GRUPO ASESORIA EN</w:t>
      </w:r>
      <w:r w:rsidR="00610561"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SISTEMATIZACIÓN DE DATOS SOCIEDAD DE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lastRenderedPageBreak/>
        <w:t>ACCIONES SIMPLIFICADA</w:t>
      </w:r>
      <w:r w:rsidR="00610561"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– GRUPO ASD S.A.S., SERVIS OUTSOURCING INFORMATICO SOCIEDAD</w:t>
      </w:r>
      <w:r w:rsidR="00610561"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POR ACCIONES SIMPLIFICADA – SERVIS S.A.S., UNIÓN TEMPORAL</w:t>
      </w:r>
      <w:r w:rsidR="00610561"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NUEVO FOSYGA, UNIÓN TEMPORAL FOSYGA 2014, CONSORCIO SAYP</w:t>
      </w:r>
      <w:r w:rsidR="00610561"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2011 HOY EN LIQUIDACIÓN, FIDUCIARIA LA PREVISORA S.A.</w:t>
      </w:r>
      <w:r w:rsidR="00610561"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FIDUCIARIA COLOMBIANA DE COMERCIO EXTERIOR S.A. FIDUCOLDEX</w:t>
      </w:r>
      <w:r w:rsidR="00610561"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y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CHUBB SEGUROS COLOMBIA S.A.,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 conformidad con lo anteriormente</w:t>
      </w:r>
      <w:r w:rsidR="0061056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expuesto.</w:t>
      </w:r>
    </w:p>
    <w:p w14:paraId="32CBCFCA" w14:textId="77777777" w:rsidR="00253135" w:rsidRDefault="00253135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30CCE5F7" w14:textId="3938DC74" w:rsidR="0016704F" w:rsidRDefault="0016704F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SEGUNDO: REMITIR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el proceso al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TRIBUNAL ADMINISTRATIVO</w:t>
      </w:r>
      <w:r w:rsidR="00610561"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DE CUNDINAMARCA,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para que sea repartido a la sección primera,</w:t>
      </w:r>
      <w:r w:rsidR="0061056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acorde con lo enunciado en la parte motiva de la presente decisión.</w:t>
      </w:r>
    </w:p>
    <w:p w14:paraId="2B2F4683" w14:textId="77777777" w:rsidR="00253135" w:rsidRDefault="00253135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3F9EF58B" w14:textId="4FEF5225" w:rsidR="0016704F" w:rsidRDefault="0016704F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Notifíquese y cúmplase.</w:t>
      </w:r>
    </w:p>
    <w:p w14:paraId="4BC50E83" w14:textId="77777777" w:rsidR="00253135" w:rsidRDefault="00253135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503EB3E8" w14:textId="4FB0C6BD" w:rsidR="0016704F" w:rsidRDefault="0016704F" w:rsidP="00D130C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JOSÉ WILLIAM GONZÁLEZ ZULUAGA</w:t>
      </w:r>
    </w:p>
    <w:p w14:paraId="34BA523D" w14:textId="1088A007" w:rsidR="00B9243D" w:rsidRDefault="0016704F" w:rsidP="00D130CE">
      <w:pPr>
        <w:jc w:val="both"/>
      </w:pPr>
      <w:r>
        <w:rPr>
          <w:rFonts w:ascii="BookmanOldStyle" w:hAnsi="BookmanOldStyle" w:cs="BookmanOldStyle"/>
          <w:color w:val="000000"/>
          <w:kern w:val="0"/>
          <w:sz w:val="23"/>
          <w:szCs w:val="23"/>
          <w:lang w:val="es-CO"/>
        </w:rPr>
        <w:t>Magistrado Ponente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OldStyle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4F"/>
    <w:rsid w:val="0016704F"/>
    <w:rsid w:val="00253135"/>
    <w:rsid w:val="004D7AC0"/>
    <w:rsid w:val="00610561"/>
    <w:rsid w:val="007127DF"/>
    <w:rsid w:val="00737460"/>
    <w:rsid w:val="00B36356"/>
    <w:rsid w:val="00B9243D"/>
    <w:rsid w:val="00D130CE"/>
    <w:rsid w:val="00DA03DC"/>
    <w:rsid w:val="00F8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9056"/>
  <w15:chartTrackingRefBased/>
  <w15:docId w15:val="{F7D21265-4B3F-4DBD-8651-ACC841D4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2771</Words>
  <Characters>15241</Characters>
  <Application>Microsoft Office Word</Application>
  <DocSecurity>0</DocSecurity>
  <Lines>127</Lines>
  <Paragraphs>35</Paragraphs>
  <ScaleCrop>false</ScaleCrop>
  <Company/>
  <LinksUpToDate>false</LinksUpToDate>
  <CharactersWithSpaces>17977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7</cp:revision>
  <dcterms:created xsi:type="dcterms:W3CDTF">2024-06-20T21:56:00Z</dcterms:created>
  <dcterms:modified xsi:type="dcterms:W3CDTF">2024-06-20T22:19:00Z</dcterms:modified>
</cp:coreProperties>
</file>