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4C" w:rsidRPr="004B4225" w:rsidRDefault="0093084E" w:rsidP="00331C6F">
      <w:pPr>
        <w:spacing w:after="0" w:line="360" w:lineRule="auto"/>
        <w:jc w:val="center"/>
        <w:rPr>
          <w:rFonts w:ascii="Arial" w:hAnsi="Arial" w:cs="Arial"/>
          <w:b/>
          <w:lang w:val="es-CO"/>
        </w:rPr>
      </w:pPr>
      <w:r w:rsidRPr="004B4225">
        <w:rPr>
          <w:rFonts w:ascii="Arial" w:hAnsi="Arial" w:cs="Arial"/>
          <w:b/>
          <w:lang w:val="es-CO"/>
        </w:rPr>
        <w:t>AN</w:t>
      </w:r>
      <w:r w:rsidR="000523E1" w:rsidRPr="004B4225">
        <w:rPr>
          <w:rFonts w:ascii="Arial" w:hAnsi="Arial" w:cs="Arial"/>
          <w:b/>
          <w:lang w:val="es-CO"/>
        </w:rPr>
        <w:t>Á</w:t>
      </w:r>
      <w:r w:rsidRPr="004B4225">
        <w:rPr>
          <w:rFonts w:ascii="Arial" w:hAnsi="Arial" w:cs="Arial"/>
          <w:b/>
          <w:lang w:val="es-CO"/>
        </w:rPr>
        <w:t>LISIS DE CALIFICACIÓN DE CONTIGENCIA</w:t>
      </w:r>
    </w:p>
    <w:p w:rsidR="0093084E" w:rsidRPr="004B4225" w:rsidRDefault="0093084E" w:rsidP="00331C6F">
      <w:pPr>
        <w:spacing w:after="0" w:line="360" w:lineRule="auto"/>
        <w:rPr>
          <w:rFonts w:ascii="Arial" w:hAnsi="Arial" w:cs="Arial"/>
          <w:b/>
          <w:lang w:val="es-CO"/>
        </w:rPr>
      </w:pPr>
    </w:p>
    <w:tbl>
      <w:tblPr>
        <w:tblStyle w:val="Tablaconcuadrcula"/>
        <w:tblW w:w="0" w:type="auto"/>
        <w:tblLook w:val="04A0" w:firstRow="1" w:lastRow="0" w:firstColumn="1" w:lastColumn="0" w:noHBand="0" w:noVBand="1"/>
      </w:tblPr>
      <w:tblGrid>
        <w:gridCol w:w="3256"/>
        <w:gridCol w:w="5572"/>
      </w:tblGrid>
      <w:tr w:rsidR="00174AF2" w:rsidRPr="004B4225" w:rsidTr="00174AF2">
        <w:tc>
          <w:tcPr>
            <w:tcW w:w="3256" w:type="dxa"/>
          </w:tcPr>
          <w:p w:rsidR="0093084E" w:rsidRPr="004B4225" w:rsidRDefault="00174AF2" w:rsidP="00331C6F">
            <w:pPr>
              <w:spacing w:line="360" w:lineRule="auto"/>
              <w:rPr>
                <w:rFonts w:ascii="Arial" w:hAnsi="Arial" w:cs="Arial"/>
                <w:b/>
                <w:lang w:val="es-CO"/>
              </w:rPr>
            </w:pPr>
            <w:r w:rsidRPr="004B4225">
              <w:rPr>
                <w:rFonts w:ascii="Arial" w:hAnsi="Arial" w:cs="Arial"/>
                <w:b/>
                <w:lang w:val="es-CO"/>
              </w:rPr>
              <w:t>DEMANDANTE</w:t>
            </w:r>
          </w:p>
        </w:tc>
        <w:tc>
          <w:tcPr>
            <w:tcW w:w="5572" w:type="dxa"/>
          </w:tcPr>
          <w:p w:rsidR="0093084E" w:rsidRPr="004B4225" w:rsidRDefault="00174AF2" w:rsidP="00331C6F">
            <w:pPr>
              <w:spacing w:line="360" w:lineRule="auto"/>
              <w:rPr>
                <w:rFonts w:ascii="Arial" w:hAnsi="Arial" w:cs="Arial"/>
                <w:lang w:val="es-CO"/>
              </w:rPr>
            </w:pPr>
            <w:r w:rsidRPr="004B4225">
              <w:rPr>
                <w:rFonts w:ascii="Arial" w:hAnsi="Arial" w:cs="Arial"/>
                <w:lang w:val="es-CO"/>
              </w:rPr>
              <w:t>1. ROCÍO CORTÉS CAPOTE</w:t>
            </w:r>
          </w:p>
          <w:p w:rsidR="0093084E" w:rsidRPr="004B4225" w:rsidRDefault="00174AF2" w:rsidP="00331C6F">
            <w:pPr>
              <w:spacing w:line="360" w:lineRule="auto"/>
              <w:rPr>
                <w:rFonts w:ascii="Arial" w:hAnsi="Arial" w:cs="Arial"/>
                <w:lang w:val="es-CO"/>
              </w:rPr>
            </w:pPr>
            <w:r w:rsidRPr="004B4225">
              <w:rPr>
                <w:rFonts w:ascii="Arial" w:hAnsi="Arial" w:cs="Arial"/>
                <w:lang w:val="es-CO"/>
              </w:rPr>
              <w:t xml:space="preserve">2. DILAN ANDRÉS CORTÉS </w:t>
            </w:r>
            <w:proofErr w:type="spellStart"/>
            <w:r w:rsidRPr="004B4225">
              <w:rPr>
                <w:rFonts w:ascii="Arial" w:hAnsi="Arial" w:cs="Arial"/>
                <w:lang w:val="es-CO"/>
              </w:rPr>
              <w:t>CORTÉS</w:t>
            </w:r>
            <w:proofErr w:type="spellEnd"/>
          </w:p>
          <w:p w:rsidR="0093084E" w:rsidRPr="004B4225" w:rsidRDefault="00174AF2" w:rsidP="00331C6F">
            <w:pPr>
              <w:spacing w:line="360" w:lineRule="auto"/>
              <w:rPr>
                <w:rFonts w:ascii="Arial" w:hAnsi="Arial" w:cs="Arial"/>
                <w:lang w:val="es-CO"/>
              </w:rPr>
            </w:pPr>
            <w:r w:rsidRPr="004B4225">
              <w:rPr>
                <w:rFonts w:ascii="Arial" w:hAnsi="Arial" w:cs="Arial"/>
                <w:lang w:val="es-CO"/>
              </w:rPr>
              <w:t xml:space="preserve">3. YOSTIN DAVID CORTÉS </w:t>
            </w:r>
            <w:proofErr w:type="spellStart"/>
            <w:r w:rsidRPr="004B4225">
              <w:rPr>
                <w:rFonts w:ascii="Arial" w:hAnsi="Arial" w:cs="Arial"/>
                <w:lang w:val="es-CO"/>
              </w:rPr>
              <w:t>CORTÉS</w:t>
            </w:r>
            <w:proofErr w:type="spellEnd"/>
          </w:p>
        </w:tc>
      </w:tr>
      <w:tr w:rsidR="00174AF2" w:rsidRPr="004B4225" w:rsidTr="00174AF2">
        <w:tc>
          <w:tcPr>
            <w:tcW w:w="3256" w:type="dxa"/>
          </w:tcPr>
          <w:p w:rsidR="0093084E" w:rsidRPr="004B4225" w:rsidRDefault="00174AF2" w:rsidP="00331C6F">
            <w:pPr>
              <w:spacing w:line="360" w:lineRule="auto"/>
              <w:rPr>
                <w:rFonts w:ascii="Arial" w:hAnsi="Arial" w:cs="Arial"/>
                <w:b/>
                <w:lang w:val="es-CO"/>
              </w:rPr>
            </w:pPr>
            <w:r w:rsidRPr="004B4225">
              <w:rPr>
                <w:rFonts w:ascii="Arial" w:hAnsi="Arial" w:cs="Arial"/>
                <w:b/>
                <w:lang w:val="es-CO"/>
              </w:rPr>
              <w:t>DEMANDADO</w:t>
            </w:r>
          </w:p>
        </w:tc>
        <w:tc>
          <w:tcPr>
            <w:tcW w:w="5572" w:type="dxa"/>
          </w:tcPr>
          <w:p w:rsidR="0093084E" w:rsidRPr="004B4225" w:rsidRDefault="00174AF2" w:rsidP="00331C6F">
            <w:pPr>
              <w:spacing w:line="360" w:lineRule="auto"/>
              <w:rPr>
                <w:rFonts w:ascii="Arial" w:hAnsi="Arial" w:cs="Arial"/>
                <w:lang w:val="es-CO"/>
              </w:rPr>
            </w:pPr>
            <w:r w:rsidRPr="004B4225">
              <w:rPr>
                <w:rFonts w:ascii="Arial" w:hAnsi="Arial" w:cs="Arial"/>
                <w:spacing w:val="2"/>
                <w:shd w:val="clear" w:color="auto" w:fill="FFFFFF"/>
                <w:lang w:val="es-CO"/>
              </w:rPr>
              <w:t>BBVA SEGUROS DE VIDA S.A.</w:t>
            </w:r>
          </w:p>
        </w:tc>
      </w:tr>
      <w:tr w:rsidR="00174AF2" w:rsidRPr="004B4225" w:rsidTr="00174AF2">
        <w:tc>
          <w:tcPr>
            <w:tcW w:w="3256" w:type="dxa"/>
          </w:tcPr>
          <w:p w:rsidR="0093084E" w:rsidRPr="004B4225" w:rsidRDefault="00174AF2" w:rsidP="00331C6F">
            <w:pPr>
              <w:spacing w:line="360" w:lineRule="auto"/>
              <w:rPr>
                <w:rFonts w:ascii="Arial" w:hAnsi="Arial" w:cs="Arial"/>
                <w:b/>
                <w:lang w:val="es-CO"/>
              </w:rPr>
            </w:pPr>
            <w:r w:rsidRPr="004B4225">
              <w:rPr>
                <w:rFonts w:ascii="Arial" w:hAnsi="Arial" w:cs="Arial"/>
                <w:b/>
                <w:lang w:val="es-CO"/>
              </w:rPr>
              <w:t>LITISCONSORTE</w:t>
            </w:r>
          </w:p>
        </w:tc>
        <w:tc>
          <w:tcPr>
            <w:tcW w:w="5572" w:type="dxa"/>
          </w:tcPr>
          <w:p w:rsidR="0093084E" w:rsidRPr="004B4225" w:rsidRDefault="00174AF2" w:rsidP="00331C6F">
            <w:pPr>
              <w:spacing w:line="360" w:lineRule="auto"/>
              <w:rPr>
                <w:rFonts w:ascii="Arial" w:hAnsi="Arial" w:cs="Arial"/>
                <w:spacing w:val="2"/>
                <w:shd w:val="clear" w:color="auto" w:fill="FFFFFF"/>
                <w:lang w:val="es-CO"/>
              </w:rPr>
            </w:pPr>
            <w:r w:rsidRPr="004B4225">
              <w:rPr>
                <w:rFonts w:ascii="Arial" w:hAnsi="Arial" w:cs="Arial"/>
                <w:lang w:val="es-CO"/>
              </w:rPr>
              <w:t xml:space="preserve">BANCO BBVA COLOMBIA S.A.  </w:t>
            </w:r>
          </w:p>
        </w:tc>
      </w:tr>
      <w:tr w:rsidR="00174AF2" w:rsidRPr="004B4225" w:rsidTr="00174AF2">
        <w:tc>
          <w:tcPr>
            <w:tcW w:w="3256" w:type="dxa"/>
          </w:tcPr>
          <w:p w:rsidR="0093084E" w:rsidRPr="004B4225" w:rsidRDefault="00174AF2" w:rsidP="00331C6F">
            <w:pPr>
              <w:spacing w:line="360" w:lineRule="auto"/>
              <w:rPr>
                <w:rFonts w:ascii="Arial" w:hAnsi="Arial" w:cs="Arial"/>
                <w:b/>
                <w:lang w:val="es-CO"/>
              </w:rPr>
            </w:pPr>
            <w:r w:rsidRPr="004B4225">
              <w:rPr>
                <w:rFonts w:ascii="Arial" w:hAnsi="Arial" w:cs="Arial"/>
                <w:b/>
                <w:lang w:val="es-CO"/>
              </w:rPr>
              <w:t>JUZGADO</w:t>
            </w:r>
          </w:p>
        </w:tc>
        <w:tc>
          <w:tcPr>
            <w:tcW w:w="5572" w:type="dxa"/>
          </w:tcPr>
          <w:p w:rsidR="0093084E" w:rsidRPr="004B4225" w:rsidRDefault="00174AF2" w:rsidP="00331C6F">
            <w:pPr>
              <w:spacing w:line="360" w:lineRule="auto"/>
              <w:rPr>
                <w:rFonts w:ascii="Arial" w:hAnsi="Arial" w:cs="Arial"/>
                <w:lang w:val="es-CO"/>
              </w:rPr>
            </w:pPr>
            <w:r w:rsidRPr="004B4225">
              <w:rPr>
                <w:rFonts w:ascii="Arial" w:hAnsi="Arial" w:cs="Arial"/>
                <w:spacing w:val="2"/>
                <w:shd w:val="clear" w:color="auto" w:fill="FFFFFF"/>
                <w:lang w:val="es-CO"/>
              </w:rPr>
              <w:t>JUZGADO 031 CIVIL MUNICIPAL DE CALI</w:t>
            </w:r>
          </w:p>
        </w:tc>
      </w:tr>
      <w:tr w:rsidR="00174AF2" w:rsidRPr="004B4225" w:rsidTr="00174AF2">
        <w:tc>
          <w:tcPr>
            <w:tcW w:w="3256" w:type="dxa"/>
          </w:tcPr>
          <w:p w:rsidR="0093084E" w:rsidRPr="004B4225" w:rsidRDefault="00174AF2" w:rsidP="00331C6F">
            <w:pPr>
              <w:spacing w:line="360" w:lineRule="auto"/>
              <w:rPr>
                <w:rFonts w:ascii="Arial" w:hAnsi="Arial" w:cs="Arial"/>
                <w:b/>
                <w:lang w:val="es-CO"/>
              </w:rPr>
            </w:pPr>
            <w:r w:rsidRPr="004B4225">
              <w:rPr>
                <w:rFonts w:ascii="Arial" w:hAnsi="Arial" w:cs="Arial"/>
                <w:b/>
                <w:lang w:val="es-CO"/>
              </w:rPr>
              <w:t>RADICADO</w:t>
            </w:r>
          </w:p>
        </w:tc>
        <w:tc>
          <w:tcPr>
            <w:tcW w:w="5572" w:type="dxa"/>
          </w:tcPr>
          <w:p w:rsidR="0093084E" w:rsidRPr="004B4225" w:rsidRDefault="00174AF2" w:rsidP="00331C6F">
            <w:pPr>
              <w:spacing w:line="360" w:lineRule="auto"/>
              <w:rPr>
                <w:rFonts w:ascii="Arial" w:hAnsi="Arial" w:cs="Arial"/>
                <w:lang w:val="es-CO"/>
              </w:rPr>
            </w:pPr>
            <w:r w:rsidRPr="004B4225">
              <w:rPr>
                <w:rFonts w:ascii="Arial" w:hAnsi="Arial" w:cs="Arial"/>
                <w:bCs/>
                <w:spacing w:val="2"/>
                <w:shd w:val="clear" w:color="auto" w:fill="F9FAFB"/>
              </w:rPr>
              <w:t>760014003031</w:t>
            </w:r>
            <w:r w:rsidR="00D9688A" w:rsidRPr="004B4225">
              <w:rPr>
                <w:rFonts w:ascii="Arial" w:hAnsi="Arial" w:cs="Arial"/>
                <w:bCs/>
                <w:spacing w:val="2"/>
                <w:shd w:val="clear" w:color="auto" w:fill="F9FAFB"/>
              </w:rPr>
              <w:t>-</w:t>
            </w:r>
            <w:r w:rsidRPr="004B4225">
              <w:rPr>
                <w:rFonts w:ascii="Arial" w:hAnsi="Arial" w:cs="Arial"/>
                <w:bCs/>
                <w:spacing w:val="2"/>
                <w:shd w:val="clear" w:color="auto" w:fill="F9FAFB"/>
              </w:rPr>
              <w:t>2023</w:t>
            </w:r>
            <w:r w:rsidR="00D9688A" w:rsidRPr="004B4225">
              <w:rPr>
                <w:rFonts w:ascii="Arial" w:hAnsi="Arial" w:cs="Arial"/>
                <w:bCs/>
                <w:spacing w:val="2"/>
                <w:shd w:val="clear" w:color="auto" w:fill="F9FAFB"/>
              </w:rPr>
              <w:t>-</w:t>
            </w:r>
            <w:r w:rsidRPr="004B4225">
              <w:rPr>
                <w:rFonts w:ascii="Arial" w:hAnsi="Arial" w:cs="Arial"/>
                <w:bCs/>
                <w:spacing w:val="2"/>
                <w:shd w:val="clear" w:color="auto" w:fill="F9FAFB"/>
              </w:rPr>
              <w:t>00151</w:t>
            </w:r>
            <w:r w:rsidR="00D9688A" w:rsidRPr="004B4225">
              <w:rPr>
                <w:rFonts w:ascii="Arial" w:hAnsi="Arial" w:cs="Arial"/>
                <w:bCs/>
                <w:spacing w:val="2"/>
                <w:shd w:val="clear" w:color="auto" w:fill="F9FAFB"/>
              </w:rPr>
              <w:t>-</w:t>
            </w:r>
            <w:r w:rsidRPr="004B4225">
              <w:rPr>
                <w:rFonts w:ascii="Arial" w:hAnsi="Arial" w:cs="Arial"/>
                <w:bCs/>
                <w:spacing w:val="2"/>
                <w:shd w:val="clear" w:color="auto" w:fill="F9FAFB"/>
              </w:rPr>
              <w:t>00</w:t>
            </w:r>
          </w:p>
        </w:tc>
      </w:tr>
      <w:tr w:rsidR="00174AF2" w:rsidRPr="004B4225" w:rsidTr="00174AF2">
        <w:tc>
          <w:tcPr>
            <w:tcW w:w="3256" w:type="dxa"/>
          </w:tcPr>
          <w:p w:rsidR="0093084E" w:rsidRPr="004B4225" w:rsidRDefault="00174AF2" w:rsidP="00331C6F">
            <w:pPr>
              <w:spacing w:line="360" w:lineRule="auto"/>
              <w:rPr>
                <w:rFonts w:ascii="Arial" w:hAnsi="Arial" w:cs="Arial"/>
                <w:b/>
                <w:lang w:val="es-CO"/>
              </w:rPr>
            </w:pPr>
            <w:r w:rsidRPr="004B4225">
              <w:rPr>
                <w:rFonts w:ascii="Arial" w:hAnsi="Arial" w:cs="Arial"/>
                <w:b/>
                <w:lang w:val="es-CO"/>
              </w:rPr>
              <w:t>CASE</w:t>
            </w:r>
          </w:p>
        </w:tc>
        <w:tc>
          <w:tcPr>
            <w:tcW w:w="5572" w:type="dxa"/>
          </w:tcPr>
          <w:p w:rsidR="0093084E" w:rsidRPr="004B4225" w:rsidRDefault="00174AF2" w:rsidP="00331C6F">
            <w:pPr>
              <w:pStyle w:val="Ttulo3"/>
              <w:shd w:val="clear" w:color="auto" w:fill="F9FAFB"/>
              <w:spacing w:before="0" w:beforeAutospacing="0" w:after="0" w:afterAutospacing="0" w:line="360" w:lineRule="auto"/>
              <w:ind w:right="300"/>
              <w:outlineLvl w:val="2"/>
              <w:rPr>
                <w:rFonts w:ascii="Arial" w:hAnsi="Arial" w:cs="Arial"/>
                <w:b w:val="0"/>
                <w:bCs w:val="0"/>
                <w:spacing w:val="2"/>
                <w:sz w:val="22"/>
                <w:szCs w:val="22"/>
              </w:rPr>
            </w:pPr>
            <w:r w:rsidRPr="004B4225">
              <w:rPr>
                <w:rFonts w:ascii="Arial" w:hAnsi="Arial" w:cs="Arial"/>
                <w:b w:val="0"/>
                <w:bCs w:val="0"/>
                <w:spacing w:val="2"/>
                <w:sz w:val="22"/>
                <w:szCs w:val="22"/>
              </w:rPr>
              <w:t>20381</w:t>
            </w:r>
          </w:p>
        </w:tc>
      </w:tr>
    </w:tbl>
    <w:p w:rsidR="0093084E" w:rsidRPr="004B4225" w:rsidRDefault="0093084E" w:rsidP="00331C6F">
      <w:pPr>
        <w:spacing w:after="0" w:line="360" w:lineRule="auto"/>
        <w:rPr>
          <w:rFonts w:ascii="Arial" w:hAnsi="Arial" w:cs="Arial"/>
          <w:b/>
          <w:lang w:val="es-CO"/>
        </w:rPr>
      </w:pPr>
    </w:p>
    <w:p w:rsidR="0093084E" w:rsidRPr="004B4225" w:rsidRDefault="0093084E">
      <w:pPr>
        <w:pStyle w:val="Prrafodelista"/>
        <w:numPr>
          <w:ilvl w:val="0"/>
          <w:numId w:val="4"/>
        </w:numPr>
        <w:spacing w:after="0" w:line="360" w:lineRule="auto"/>
        <w:jc w:val="both"/>
        <w:rPr>
          <w:rFonts w:ascii="Arial" w:eastAsia="Times New Roman" w:hAnsi="Arial" w:cs="Arial"/>
          <w:b/>
          <w:bCs/>
          <w:lang w:val="es-CO" w:eastAsia="es-CO"/>
        </w:rPr>
      </w:pPr>
      <w:r w:rsidRPr="004B4225">
        <w:rPr>
          <w:rFonts w:ascii="Arial" w:hAnsi="Arial" w:cs="Arial"/>
          <w:b/>
          <w:lang w:val="es-CO"/>
        </w:rPr>
        <w:t xml:space="preserve">Hechos de la demanda: </w:t>
      </w:r>
    </w:p>
    <w:p w:rsidR="0093084E" w:rsidRPr="004B4225" w:rsidRDefault="0093084E">
      <w:pPr>
        <w:pStyle w:val="Prrafodelista"/>
        <w:spacing w:after="0" w:line="360" w:lineRule="auto"/>
        <w:jc w:val="both"/>
        <w:rPr>
          <w:rFonts w:ascii="Arial" w:eastAsia="Times New Roman" w:hAnsi="Arial" w:cs="Arial"/>
          <w:b/>
          <w:bCs/>
          <w:lang w:val="es-CO" w:eastAsia="es-CO"/>
        </w:rPr>
      </w:pPr>
    </w:p>
    <w:p w:rsidR="0093084E" w:rsidRPr="004B4225" w:rsidRDefault="0093084E">
      <w:pPr>
        <w:spacing w:after="0" w:line="360" w:lineRule="auto"/>
        <w:jc w:val="both"/>
        <w:rPr>
          <w:rFonts w:ascii="Arial" w:hAnsi="Arial" w:cs="Arial"/>
          <w:lang w:val="es-CO"/>
        </w:rPr>
      </w:pPr>
      <w:r w:rsidRPr="004B4225">
        <w:rPr>
          <w:rFonts w:ascii="Arial" w:hAnsi="Arial" w:cs="Arial"/>
          <w:lang w:val="es-CO"/>
        </w:rPr>
        <w:t xml:space="preserve">Según los hechos de la demanda y de la reforma, el señor Andrés Felipe Cortés </w:t>
      </w:r>
      <w:proofErr w:type="spellStart"/>
      <w:r w:rsidRPr="004B4225">
        <w:rPr>
          <w:rFonts w:ascii="Arial" w:hAnsi="Arial" w:cs="Arial"/>
          <w:lang w:val="es-CO"/>
        </w:rPr>
        <w:t>Cortés</w:t>
      </w:r>
      <w:proofErr w:type="spellEnd"/>
      <w:r w:rsidRPr="004B4225">
        <w:rPr>
          <w:rFonts w:ascii="Arial" w:hAnsi="Arial" w:cs="Arial"/>
          <w:lang w:val="es-CO"/>
        </w:rPr>
        <w:t xml:space="preserve"> (q.e.p.d.) falleció el 1 de julio de 2021. El causante amortizaba mes a mes el Crédito Hipotecario 00130072529600140007, del cual es acreedor el Banco BBVA Colombia S.A., quedando un saldo pendiente de pago por valor de $ 66.885.000, por concepto de saldo insoluto de capital que consta en el pagaré No. 072-9600140007 a corte del 28 de julio del 2021. </w:t>
      </w:r>
    </w:p>
    <w:p w:rsidR="0093084E" w:rsidRPr="004B4225" w:rsidRDefault="0093084E">
      <w:pPr>
        <w:spacing w:after="0" w:line="360" w:lineRule="auto"/>
        <w:jc w:val="both"/>
        <w:rPr>
          <w:rFonts w:ascii="Arial" w:hAnsi="Arial" w:cs="Arial"/>
          <w:lang w:val="es-CO"/>
        </w:rPr>
      </w:pPr>
    </w:p>
    <w:p w:rsidR="0093084E" w:rsidRPr="004B4225" w:rsidRDefault="0093084E">
      <w:pPr>
        <w:spacing w:after="0" w:line="360" w:lineRule="auto"/>
        <w:jc w:val="both"/>
        <w:rPr>
          <w:rFonts w:ascii="Arial" w:hAnsi="Arial" w:cs="Arial"/>
          <w:lang w:val="es-CO"/>
        </w:rPr>
      </w:pPr>
      <w:r w:rsidRPr="004B4225">
        <w:rPr>
          <w:rFonts w:ascii="Arial" w:hAnsi="Arial" w:cs="Arial"/>
          <w:lang w:val="es-CO"/>
        </w:rPr>
        <w:t>Al momento del deceso, se encontraba vigente la póliza colectiva de seguro vida No. VICD 22353, como también, la póliza de seguro vida grupo deudores No. M026300110236200729600140007 del 28 de abril año 2016, expedidas por la aseguradora BBVA Seguros De Vida Colombia S.A.</w:t>
      </w:r>
    </w:p>
    <w:p w:rsidR="0093084E" w:rsidRPr="004B4225" w:rsidRDefault="0093084E">
      <w:pPr>
        <w:spacing w:after="0" w:line="360" w:lineRule="auto"/>
        <w:jc w:val="both"/>
        <w:rPr>
          <w:rFonts w:ascii="Arial" w:hAnsi="Arial" w:cs="Arial"/>
          <w:lang w:val="es-CO"/>
        </w:rPr>
      </w:pPr>
    </w:p>
    <w:p w:rsidR="0093084E" w:rsidRPr="004B4225" w:rsidRDefault="0093084E">
      <w:pPr>
        <w:spacing w:after="0" w:line="360" w:lineRule="auto"/>
        <w:jc w:val="both"/>
        <w:rPr>
          <w:rFonts w:ascii="Arial" w:hAnsi="Arial" w:cs="Arial"/>
          <w:lang w:val="es-CO"/>
        </w:rPr>
      </w:pPr>
      <w:r w:rsidRPr="004B4225">
        <w:rPr>
          <w:rFonts w:ascii="Arial" w:hAnsi="Arial" w:cs="Arial"/>
          <w:lang w:val="es-CO"/>
        </w:rPr>
        <w:t xml:space="preserve">El causante estaba casado con Roció Cortés Capote y ambos eran padres de </w:t>
      </w:r>
      <w:proofErr w:type="spellStart"/>
      <w:r w:rsidRPr="004B4225">
        <w:rPr>
          <w:rFonts w:ascii="Arial" w:hAnsi="Arial" w:cs="Arial"/>
          <w:lang w:val="es-CO"/>
        </w:rPr>
        <w:t>Dilan</w:t>
      </w:r>
      <w:proofErr w:type="spellEnd"/>
      <w:r w:rsidRPr="004B4225">
        <w:rPr>
          <w:rFonts w:ascii="Arial" w:hAnsi="Arial" w:cs="Arial"/>
          <w:lang w:val="es-CO"/>
        </w:rPr>
        <w:t xml:space="preserve"> Andrés Cortés y </w:t>
      </w:r>
      <w:proofErr w:type="spellStart"/>
      <w:r w:rsidRPr="004B4225">
        <w:rPr>
          <w:rFonts w:ascii="Arial" w:hAnsi="Arial" w:cs="Arial"/>
          <w:lang w:val="es-CO"/>
        </w:rPr>
        <w:t>Yostin</w:t>
      </w:r>
      <w:proofErr w:type="spellEnd"/>
      <w:r w:rsidRPr="004B4225">
        <w:rPr>
          <w:rFonts w:ascii="Arial" w:hAnsi="Arial" w:cs="Arial"/>
          <w:lang w:val="es-CO"/>
        </w:rPr>
        <w:t xml:space="preserve"> David Cortés. </w:t>
      </w:r>
    </w:p>
    <w:p w:rsidR="0093084E" w:rsidRPr="004B4225" w:rsidRDefault="0093084E">
      <w:pPr>
        <w:spacing w:after="0" w:line="360" w:lineRule="auto"/>
        <w:jc w:val="both"/>
        <w:rPr>
          <w:rFonts w:ascii="Arial" w:hAnsi="Arial" w:cs="Arial"/>
          <w:lang w:val="es-CO"/>
        </w:rPr>
      </w:pPr>
    </w:p>
    <w:p w:rsidR="0093084E" w:rsidRPr="004B4225" w:rsidRDefault="0093084E">
      <w:pPr>
        <w:spacing w:after="0" w:line="360" w:lineRule="auto"/>
        <w:jc w:val="both"/>
        <w:rPr>
          <w:rFonts w:ascii="Arial" w:hAnsi="Arial" w:cs="Arial"/>
          <w:lang w:val="es-CO"/>
        </w:rPr>
      </w:pPr>
      <w:r w:rsidRPr="004B4225">
        <w:rPr>
          <w:rFonts w:ascii="Arial" w:hAnsi="Arial" w:cs="Arial"/>
          <w:lang w:val="es-CO"/>
        </w:rPr>
        <w:t xml:space="preserve">El 9 de julio de 2021, la cónyuge del causante pidió a BBVA Seguros De Vida Colombia S.A. pagar la obligación que consta en el pagaré No. 072-9600140007. El 13 de julio de 2021 BBVA Seguros De Vida Colombia S.A. responde indicando que procederá con el pago. </w:t>
      </w:r>
    </w:p>
    <w:p w:rsidR="0093084E" w:rsidRPr="004B4225" w:rsidRDefault="0093084E">
      <w:pPr>
        <w:spacing w:after="0" w:line="360" w:lineRule="auto"/>
        <w:jc w:val="both"/>
        <w:rPr>
          <w:rFonts w:ascii="Arial" w:hAnsi="Arial" w:cs="Arial"/>
          <w:lang w:val="es-CO"/>
        </w:rPr>
      </w:pPr>
    </w:p>
    <w:p w:rsidR="0093084E" w:rsidRPr="004B4225" w:rsidRDefault="0093084E">
      <w:pPr>
        <w:spacing w:after="0" w:line="360" w:lineRule="auto"/>
        <w:jc w:val="both"/>
        <w:rPr>
          <w:rFonts w:ascii="Arial" w:hAnsi="Arial" w:cs="Arial"/>
          <w:lang w:val="es-CO"/>
        </w:rPr>
      </w:pPr>
      <w:r w:rsidRPr="004B4225">
        <w:rPr>
          <w:rFonts w:ascii="Arial" w:hAnsi="Arial" w:cs="Arial"/>
          <w:lang w:val="es-CO"/>
        </w:rPr>
        <w:lastRenderedPageBreak/>
        <w:t xml:space="preserve">El 28 de julio de 2021 BBVA Seguros De Vida Colombia S.A. objetó el pago de las indemnizaciones pues en historia clínica del 8 de agosto de 2013 encuentran que el señor Andrés Felipe Cortés </w:t>
      </w:r>
      <w:proofErr w:type="spellStart"/>
      <w:r w:rsidRPr="004B4225">
        <w:rPr>
          <w:rFonts w:ascii="Arial" w:hAnsi="Arial" w:cs="Arial"/>
          <w:lang w:val="es-CO"/>
        </w:rPr>
        <w:t>Cortés</w:t>
      </w:r>
      <w:proofErr w:type="spellEnd"/>
      <w:r w:rsidRPr="004B4225">
        <w:rPr>
          <w:rFonts w:ascii="Arial" w:hAnsi="Arial" w:cs="Arial"/>
          <w:lang w:val="es-CO"/>
        </w:rPr>
        <w:t xml:space="preserve"> (q.e.p.d.), presentó diagnóstico confirmado repetido de hipertensión esencial (primaria) y que este es un hecho relevante que no fue declarado al momento de solicitar los seguros. </w:t>
      </w:r>
    </w:p>
    <w:p w:rsidR="0093084E" w:rsidRPr="004B4225" w:rsidRDefault="0093084E">
      <w:pPr>
        <w:spacing w:after="0" w:line="360" w:lineRule="auto"/>
        <w:jc w:val="both"/>
        <w:rPr>
          <w:rFonts w:ascii="Arial" w:hAnsi="Arial" w:cs="Arial"/>
          <w:lang w:val="es-CO"/>
        </w:rPr>
      </w:pPr>
    </w:p>
    <w:p w:rsidR="0093084E" w:rsidRPr="004B4225" w:rsidRDefault="0093084E">
      <w:pPr>
        <w:spacing w:after="0" w:line="360" w:lineRule="auto"/>
        <w:jc w:val="both"/>
        <w:rPr>
          <w:rFonts w:ascii="Arial" w:hAnsi="Arial" w:cs="Arial"/>
          <w:lang w:val="es-CO"/>
        </w:rPr>
      </w:pPr>
      <w:r w:rsidRPr="004B4225">
        <w:rPr>
          <w:rFonts w:ascii="Arial" w:hAnsi="Arial" w:cs="Arial"/>
          <w:lang w:val="es-CO"/>
        </w:rPr>
        <w:t xml:space="preserve">La causa de la muerte del señor Andrés Felipe Cortés </w:t>
      </w:r>
      <w:proofErr w:type="spellStart"/>
      <w:r w:rsidRPr="004B4225">
        <w:rPr>
          <w:rFonts w:ascii="Arial" w:hAnsi="Arial" w:cs="Arial"/>
          <w:lang w:val="es-CO"/>
        </w:rPr>
        <w:t>Cortés</w:t>
      </w:r>
      <w:proofErr w:type="spellEnd"/>
      <w:r w:rsidRPr="004B4225">
        <w:rPr>
          <w:rFonts w:ascii="Arial" w:hAnsi="Arial" w:cs="Arial"/>
          <w:lang w:val="es-CO"/>
        </w:rPr>
        <w:t xml:space="preserve"> (q.e.p.d.) es diferente a la enfermedad conocida. </w:t>
      </w:r>
    </w:p>
    <w:p w:rsidR="0093084E" w:rsidRPr="004B4225" w:rsidRDefault="0093084E">
      <w:pPr>
        <w:spacing w:after="0" w:line="360" w:lineRule="auto"/>
        <w:jc w:val="both"/>
        <w:rPr>
          <w:rFonts w:ascii="Arial" w:hAnsi="Arial" w:cs="Arial"/>
          <w:lang w:val="es-CO"/>
        </w:rPr>
      </w:pPr>
    </w:p>
    <w:p w:rsidR="0093084E" w:rsidRPr="004B4225" w:rsidRDefault="0093084E">
      <w:pPr>
        <w:pStyle w:val="Prrafodelista"/>
        <w:numPr>
          <w:ilvl w:val="0"/>
          <w:numId w:val="4"/>
        </w:numPr>
        <w:spacing w:after="0" w:line="360" w:lineRule="auto"/>
        <w:jc w:val="both"/>
        <w:rPr>
          <w:rFonts w:ascii="Arial" w:hAnsi="Arial" w:cs="Arial"/>
          <w:b/>
          <w:lang w:val="es-CO"/>
        </w:rPr>
      </w:pPr>
      <w:r w:rsidRPr="004B4225">
        <w:rPr>
          <w:rFonts w:ascii="Arial" w:hAnsi="Arial" w:cs="Arial"/>
          <w:b/>
          <w:lang w:val="es-CO"/>
        </w:rPr>
        <w:t>Pretensiones:</w:t>
      </w:r>
    </w:p>
    <w:p w:rsidR="0093084E" w:rsidRPr="004B4225" w:rsidRDefault="0093084E">
      <w:pPr>
        <w:spacing w:after="0" w:line="360" w:lineRule="auto"/>
        <w:jc w:val="both"/>
        <w:rPr>
          <w:rFonts w:ascii="Arial" w:hAnsi="Arial" w:cs="Arial"/>
          <w:b/>
          <w:lang w:val="es-CO"/>
        </w:rPr>
      </w:pPr>
    </w:p>
    <w:p w:rsidR="0093084E" w:rsidRPr="004B4225" w:rsidRDefault="0093084E">
      <w:pPr>
        <w:spacing w:after="0" w:line="360" w:lineRule="auto"/>
        <w:jc w:val="both"/>
        <w:rPr>
          <w:rFonts w:ascii="Arial" w:hAnsi="Arial" w:cs="Arial"/>
          <w:b/>
          <w:lang w:val="es-CO"/>
        </w:rPr>
      </w:pPr>
      <w:r w:rsidRPr="004B4225">
        <w:rPr>
          <w:rFonts w:ascii="Arial" w:hAnsi="Arial" w:cs="Arial"/>
          <w:b/>
          <w:lang w:val="es-CO"/>
        </w:rPr>
        <w:t>Condenatorias:</w:t>
      </w:r>
    </w:p>
    <w:p w:rsidR="0093084E" w:rsidRPr="004B4225" w:rsidRDefault="0093084E">
      <w:pPr>
        <w:spacing w:after="0" w:line="360" w:lineRule="auto"/>
        <w:jc w:val="both"/>
        <w:rPr>
          <w:rFonts w:ascii="Arial" w:hAnsi="Arial" w:cs="Arial"/>
          <w:lang w:val="es-CO"/>
        </w:rPr>
      </w:pPr>
      <w:r w:rsidRPr="004B4225">
        <w:rPr>
          <w:rFonts w:ascii="Arial" w:hAnsi="Arial" w:cs="Arial"/>
          <w:lang w:val="es-CO"/>
        </w:rPr>
        <w:t xml:space="preserve">Que BBVA Seguros De Vida Colombia S.A. pague el valor de la obligación insoluta del causante por la suma de $ 66.885.000 al Banco BBVA Colombia S.A. </w:t>
      </w:r>
    </w:p>
    <w:p w:rsidR="0093084E" w:rsidRPr="004B4225" w:rsidRDefault="0093084E">
      <w:pPr>
        <w:spacing w:after="0" w:line="360" w:lineRule="auto"/>
        <w:jc w:val="both"/>
        <w:rPr>
          <w:rFonts w:ascii="Arial" w:hAnsi="Arial" w:cs="Arial"/>
          <w:lang w:val="es-CO"/>
        </w:rPr>
      </w:pPr>
    </w:p>
    <w:p w:rsidR="0093084E" w:rsidRPr="004B4225" w:rsidRDefault="0093084E">
      <w:pPr>
        <w:spacing w:after="0" w:line="360" w:lineRule="auto"/>
        <w:jc w:val="both"/>
        <w:rPr>
          <w:rFonts w:ascii="Arial" w:hAnsi="Arial" w:cs="Arial"/>
          <w:b/>
          <w:lang w:val="es-CO"/>
        </w:rPr>
      </w:pPr>
      <w:r w:rsidRPr="004B4225">
        <w:rPr>
          <w:rFonts w:ascii="Arial" w:hAnsi="Arial" w:cs="Arial"/>
          <w:b/>
          <w:lang w:val="es-CO"/>
        </w:rPr>
        <w:t xml:space="preserve">TOTAL: $ </w:t>
      </w:r>
      <w:r w:rsidRPr="004B4225">
        <w:rPr>
          <w:rFonts w:ascii="Arial" w:hAnsi="Arial" w:cs="Arial"/>
          <w:b/>
          <w:bCs/>
          <w:lang w:val="es-CO"/>
        </w:rPr>
        <w:t>66.885.000</w:t>
      </w:r>
      <w:r w:rsidRPr="004B4225">
        <w:rPr>
          <w:rFonts w:ascii="Arial" w:hAnsi="Arial" w:cs="Arial"/>
          <w:lang w:val="es-CO"/>
        </w:rPr>
        <w:t xml:space="preserve">. </w:t>
      </w:r>
    </w:p>
    <w:p w:rsidR="0093084E" w:rsidRPr="004B4225" w:rsidRDefault="0093084E" w:rsidP="00331C6F">
      <w:pPr>
        <w:spacing w:after="0" w:line="360" w:lineRule="auto"/>
        <w:jc w:val="both"/>
        <w:rPr>
          <w:rFonts w:ascii="Arial" w:hAnsi="Arial" w:cs="Arial"/>
          <w:b/>
          <w:lang w:val="es-CO"/>
        </w:rPr>
      </w:pPr>
    </w:p>
    <w:p w:rsidR="0093084E" w:rsidRPr="004B4225" w:rsidRDefault="0093084E" w:rsidP="00331C6F">
      <w:pPr>
        <w:pStyle w:val="Prrafodelista"/>
        <w:numPr>
          <w:ilvl w:val="0"/>
          <w:numId w:val="4"/>
        </w:numPr>
        <w:spacing w:after="0" w:line="360" w:lineRule="auto"/>
        <w:jc w:val="both"/>
        <w:rPr>
          <w:rFonts w:ascii="Arial" w:hAnsi="Arial" w:cs="Arial"/>
          <w:b/>
          <w:lang w:val="es-CO"/>
        </w:rPr>
      </w:pPr>
      <w:r w:rsidRPr="004B4225">
        <w:rPr>
          <w:rFonts w:ascii="Arial" w:hAnsi="Arial" w:cs="Arial"/>
          <w:b/>
          <w:lang w:val="es-CO"/>
        </w:rPr>
        <w:t xml:space="preserve">Modificación de calificación de contingencia a PROBABLE: </w:t>
      </w:r>
    </w:p>
    <w:p w:rsidR="00503AA7" w:rsidRPr="004B4225" w:rsidRDefault="00503AA7" w:rsidP="00331C6F">
      <w:pPr>
        <w:pStyle w:val="Prrafodelista"/>
        <w:spacing w:after="0" w:line="360" w:lineRule="auto"/>
        <w:rPr>
          <w:rFonts w:ascii="Arial" w:hAnsi="Arial" w:cs="Arial"/>
          <w:b/>
          <w:lang w:val="es-CO"/>
        </w:rPr>
      </w:pPr>
    </w:p>
    <w:p w:rsidR="00503AA7" w:rsidRPr="004B4225" w:rsidRDefault="00503AA7">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4B4225">
        <w:rPr>
          <w:rFonts w:ascii="Arial" w:hAnsi="Arial" w:cs="Arial"/>
          <w:sz w:val="22"/>
          <w:szCs w:val="22"/>
          <w:bdr w:val="none" w:sz="0" w:space="0" w:color="auto" w:frame="1"/>
          <w:lang w:val="es-CO"/>
        </w:rPr>
        <w:t xml:space="preserve">La contingencia se califica como </w:t>
      </w:r>
      <w:r w:rsidRPr="004B4225">
        <w:rPr>
          <w:rFonts w:ascii="Arial" w:hAnsi="Arial" w:cs="Arial"/>
          <w:b/>
          <w:sz w:val="22"/>
          <w:szCs w:val="22"/>
          <w:bdr w:val="none" w:sz="0" w:space="0" w:color="auto" w:frame="1"/>
          <w:lang w:val="es-CO"/>
        </w:rPr>
        <w:t>PROBABLE</w:t>
      </w:r>
      <w:r w:rsidRPr="004B4225">
        <w:rPr>
          <w:rFonts w:ascii="Arial" w:hAnsi="Arial" w:cs="Arial"/>
          <w:sz w:val="22"/>
          <w:szCs w:val="22"/>
          <w:bdr w:val="none" w:sz="0" w:space="0" w:color="auto" w:frame="1"/>
          <w:lang w:val="es-CO"/>
        </w:rPr>
        <w:t xml:space="preserve"> toda vez que, la póliza presta cobertura temporal y material y si bien,</w:t>
      </w:r>
      <w:r w:rsidR="00F64D5F" w:rsidRPr="004B4225">
        <w:rPr>
          <w:rFonts w:ascii="Arial" w:hAnsi="Arial" w:cs="Arial"/>
          <w:sz w:val="22"/>
          <w:szCs w:val="22"/>
          <w:bdr w:val="none" w:sz="0" w:space="0" w:color="auto" w:frame="1"/>
          <w:lang w:val="es-CO"/>
        </w:rPr>
        <w:t xml:space="preserve"> se formuló en opor</w:t>
      </w:r>
      <w:bookmarkStart w:id="0" w:name="_GoBack"/>
      <w:bookmarkEnd w:id="0"/>
      <w:r w:rsidR="00F64D5F" w:rsidRPr="004B4225">
        <w:rPr>
          <w:rFonts w:ascii="Arial" w:hAnsi="Arial" w:cs="Arial"/>
          <w:sz w:val="22"/>
          <w:szCs w:val="22"/>
          <w:bdr w:val="none" w:sz="0" w:space="0" w:color="auto" w:frame="1"/>
          <w:lang w:val="es-CO"/>
        </w:rPr>
        <w:t>tunidad la solicitud de la nulidad relativa del contrato de seguro por reticencia, no se encuentran acreditados los presupuestos jurisprudenciales para que dicho fenómeno jurídico sea declarado.</w:t>
      </w:r>
      <w:r w:rsidRPr="004B4225">
        <w:rPr>
          <w:rFonts w:ascii="Arial" w:hAnsi="Arial" w:cs="Arial"/>
          <w:sz w:val="22"/>
          <w:szCs w:val="22"/>
          <w:bdr w:val="none" w:sz="0" w:space="0" w:color="auto" w:frame="1"/>
          <w:lang w:val="es-CO"/>
        </w:rPr>
        <w:t xml:space="preserve"> </w:t>
      </w:r>
    </w:p>
    <w:p w:rsidR="0093084E" w:rsidRPr="004B4225" w:rsidRDefault="0093084E">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p>
    <w:p w:rsidR="0093084E" w:rsidRPr="004B4225" w:rsidRDefault="0093084E">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4B4225">
        <w:rPr>
          <w:rFonts w:ascii="Arial" w:hAnsi="Arial" w:cs="Arial"/>
          <w:sz w:val="22"/>
          <w:szCs w:val="22"/>
          <w:bdr w:val="none" w:sz="0" w:space="0" w:color="auto" w:frame="1"/>
          <w:lang w:val="es-CO"/>
        </w:rPr>
        <w:t xml:space="preserve">La Póliza de Seguro Grupo Vida Deudores No. 22353 que garantizaba el pago de la obligación financiera No. 0013-0072-52-9600140007, presta cobertura material y temporal, de conformidad con los hechos y pretensiones expuestas en el líbelo de la demanda. Frente a la cobertura temporal, debe señalarse que la muerte del asegurado ocurrió el día 1 de julio de 2021, esto es, dentro de la vigencia de la póliza de Seguro Grupo Vida Deudores, pues la misma fue </w:t>
      </w:r>
      <w:r w:rsidR="00B86702" w:rsidRPr="004B4225">
        <w:rPr>
          <w:rFonts w:ascii="Arial" w:hAnsi="Arial" w:cs="Arial"/>
          <w:sz w:val="22"/>
          <w:szCs w:val="22"/>
          <w:bdr w:val="none" w:sz="0" w:space="0" w:color="auto" w:frame="1"/>
          <w:lang w:val="es-CO"/>
        </w:rPr>
        <w:t xml:space="preserve">emitida </w:t>
      </w:r>
      <w:r w:rsidRPr="004B4225">
        <w:rPr>
          <w:rFonts w:ascii="Arial" w:hAnsi="Arial" w:cs="Arial"/>
          <w:sz w:val="22"/>
          <w:szCs w:val="22"/>
          <w:bdr w:val="none" w:sz="0" w:space="0" w:color="auto" w:frame="1"/>
          <w:lang w:val="es-CO"/>
        </w:rPr>
        <w:t>el 28 de abril de 2016 y actualmente está vigente. Aunado a ello, presta cobertura material en tanto ampara la “</w:t>
      </w:r>
      <w:r w:rsidRPr="004B4225">
        <w:rPr>
          <w:rFonts w:ascii="Arial" w:hAnsi="Arial" w:cs="Arial"/>
          <w:i/>
          <w:sz w:val="22"/>
          <w:szCs w:val="22"/>
          <w:bdr w:val="none" w:sz="0" w:space="0" w:color="auto" w:frame="1"/>
          <w:lang w:val="es-CO"/>
        </w:rPr>
        <w:t>muerte por cualquier causa</w:t>
      </w:r>
      <w:r w:rsidRPr="004B4225">
        <w:rPr>
          <w:rFonts w:ascii="Arial" w:hAnsi="Arial" w:cs="Arial"/>
          <w:sz w:val="22"/>
          <w:szCs w:val="22"/>
          <w:bdr w:val="none" w:sz="0" w:space="0" w:color="auto" w:frame="1"/>
          <w:lang w:val="es-CO"/>
        </w:rPr>
        <w:t xml:space="preserve">” del asegurado, riesgo que se encuentra amparado en las coberturas de la póliza.  </w:t>
      </w:r>
    </w:p>
    <w:p w:rsidR="000732B8" w:rsidRPr="004B4225" w:rsidRDefault="000732B8">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p>
    <w:p w:rsidR="00503AA7" w:rsidRPr="004B4225" w:rsidRDefault="00503AA7">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4B4225">
        <w:rPr>
          <w:rFonts w:ascii="Arial" w:hAnsi="Arial" w:cs="Arial"/>
          <w:sz w:val="22"/>
          <w:szCs w:val="22"/>
          <w:bdr w:val="none" w:sz="0" w:space="0" w:color="auto" w:frame="1"/>
          <w:lang w:val="es-CO"/>
        </w:rPr>
        <w:t>Ahora bien, respecto de la obligación indemnizatoria de la compañía debe indicarse</w:t>
      </w:r>
      <w:r w:rsidR="00023193" w:rsidRPr="004B4225">
        <w:rPr>
          <w:rFonts w:ascii="Arial" w:hAnsi="Arial" w:cs="Arial"/>
          <w:sz w:val="22"/>
          <w:szCs w:val="22"/>
          <w:bdr w:val="none" w:sz="0" w:space="0" w:color="auto" w:frame="1"/>
          <w:lang w:val="es-CO"/>
        </w:rPr>
        <w:t xml:space="preserve"> que esta estaría probada por cuanto, si bien se alegó en oportunidad (no está prescrita) la solicitud de nulidad relativa del contrato por reticencia, no se puede desconocer que para la declaración judicial de dicho fenómeno jurídico, el precedente jurisprudencial de los Tribunales y de la Corte se ha vuelto cada vez más exigente, requiriendo a las aseguradoras la acreditación de una serie de requisitos que en este caso no están enteramente probados, como se pasa a explicar</w:t>
      </w:r>
      <w:r w:rsidRPr="004B4225">
        <w:rPr>
          <w:rFonts w:ascii="Arial" w:hAnsi="Arial" w:cs="Arial"/>
          <w:sz w:val="22"/>
          <w:szCs w:val="22"/>
          <w:bdr w:val="none" w:sz="0" w:space="0" w:color="auto" w:frame="1"/>
          <w:lang w:val="es-CO"/>
        </w:rPr>
        <w:t xml:space="preserve">: </w:t>
      </w:r>
    </w:p>
    <w:p w:rsidR="000140F0" w:rsidRPr="004B4225" w:rsidRDefault="000140F0" w:rsidP="00331C6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p>
    <w:p w:rsidR="000140F0" w:rsidRPr="004B4225" w:rsidRDefault="000140F0" w:rsidP="00331C6F">
      <w:pPr>
        <w:pStyle w:val="NormalWeb"/>
        <w:numPr>
          <w:ilvl w:val="0"/>
          <w:numId w:val="9"/>
        </w:numPr>
        <w:shd w:val="clear" w:color="auto" w:fill="FFFFFF"/>
        <w:spacing w:before="0" w:beforeAutospacing="0" w:after="0" w:afterAutospacing="0" w:line="360" w:lineRule="auto"/>
        <w:jc w:val="both"/>
        <w:rPr>
          <w:rFonts w:ascii="Arial" w:hAnsi="Arial" w:cs="Arial"/>
          <w:b/>
          <w:sz w:val="22"/>
          <w:szCs w:val="22"/>
          <w:bdr w:val="none" w:sz="0" w:space="0" w:color="auto" w:frame="1"/>
          <w:lang w:val="es-CO"/>
        </w:rPr>
      </w:pPr>
      <w:r w:rsidRPr="004B4225">
        <w:rPr>
          <w:rFonts w:ascii="Arial" w:hAnsi="Arial" w:cs="Arial"/>
          <w:b/>
          <w:sz w:val="22"/>
          <w:szCs w:val="22"/>
          <w:bdr w:val="none" w:sz="0" w:space="0" w:color="auto" w:frame="1"/>
          <w:lang w:val="es-CO"/>
        </w:rPr>
        <w:t xml:space="preserve">El nexo de causalidad entre el siniestro y los hechos no declarados: </w:t>
      </w:r>
      <w:r w:rsidRPr="004B4225">
        <w:rPr>
          <w:rFonts w:ascii="Arial" w:hAnsi="Arial" w:cs="Arial"/>
          <w:sz w:val="22"/>
          <w:szCs w:val="22"/>
          <w:bdr w:val="none" w:sz="0" w:space="0" w:color="auto" w:frame="1"/>
          <w:lang w:val="es-CO"/>
        </w:rPr>
        <w:t>Los últimos postulados jurisprudenciales establecen</w:t>
      </w:r>
      <w:r w:rsidRPr="004B4225">
        <w:rPr>
          <w:rFonts w:ascii="Arial" w:hAnsi="Arial" w:cs="Arial"/>
          <w:b/>
          <w:sz w:val="22"/>
          <w:szCs w:val="22"/>
          <w:bdr w:val="none" w:sz="0" w:space="0" w:color="auto" w:frame="1"/>
          <w:lang w:val="es-CO"/>
        </w:rPr>
        <w:t xml:space="preserve"> </w:t>
      </w:r>
      <w:r w:rsidRPr="004B4225">
        <w:rPr>
          <w:rFonts w:ascii="Arial" w:hAnsi="Arial" w:cs="Arial"/>
          <w:sz w:val="22"/>
          <w:szCs w:val="22"/>
          <w:bdr w:val="none" w:sz="0" w:space="0" w:color="auto" w:frame="1"/>
          <w:lang w:val="es-CO"/>
        </w:rPr>
        <w:t>l</w:t>
      </w:r>
      <w:r w:rsidRPr="004B4225">
        <w:rPr>
          <w:rFonts w:ascii="Arial" w:hAnsi="Arial" w:cs="Arial"/>
          <w:sz w:val="22"/>
          <w:szCs w:val="22"/>
          <w:lang w:val="es-CO"/>
        </w:rPr>
        <w:t xml:space="preserve">a necesidad de que la reticencia o inexactitud tenga relación de causalidad con el siniestro que haya podido sobrevenir, justamente porque lo que se pretende es restablecer o tutelar un equilibrio contractual roto ab initio, en el momento de celebrar el contrato de seguro, y no al acaecer el siniestro. La relación causal que importa y que, para estos efectos, ata el error o el dolo con el consentimiento del asegurador. En relación a ello es indispensable establecer que la causa de muerte del asegurado fue el COVID-19. </w:t>
      </w:r>
      <w:r w:rsidRPr="004B4225">
        <w:rPr>
          <w:rFonts w:ascii="Arial" w:hAnsi="Arial" w:cs="Arial"/>
          <w:sz w:val="22"/>
          <w:szCs w:val="22"/>
          <w:bdr w:val="none" w:sz="0" w:space="0" w:color="auto" w:frame="1"/>
          <w:lang w:val="es-CO"/>
        </w:rPr>
        <w:t xml:space="preserve">De manera que, si bien el señor Andrés al momento de realizar la declaración de </w:t>
      </w:r>
      <w:proofErr w:type="spellStart"/>
      <w:r w:rsidRPr="004B4225">
        <w:rPr>
          <w:rFonts w:ascii="Arial" w:hAnsi="Arial" w:cs="Arial"/>
          <w:sz w:val="22"/>
          <w:szCs w:val="22"/>
          <w:bdr w:val="none" w:sz="0" w:space="0" w:color="auto" w:frame="1"/>
          <w:lang w:val="es-CO"/>
        </w:rPr>
        <w:t>asegurabilidad</w:t>
      </w:r>
      <w:proofErr w:type="spellEnd"/>
      <w:r w:rsidRPr="004B4225">
        <w:rPr>
          <w:rFonts w:ascii="Arial" w:hAnsi="Arial" w:cs="Arial"/>
          <w:b/>
          <w:sz w:val="22"/>
          <w:szCs w:val="22"/>
          <w:bdr w:val="none" w:sz="0" w:space="0" w:color="auto" w:frame="1"/>
          <w:lang w:val="es-CO"/>
        </w:rPr>
        <w:t xml:space="preserve"> </w:t>
      </w:r>
      <w:r w:rsidRPr="004B4225">
        <w:rPr>
          <w:rFonts w:ascii="Arial" w:hAnsi="Arial" w:cs="Arial"/>
          <w:sz w:val="22"/>
          <w:szCs w:val="22"/>
          <w:lang w:val="es-CO"/>
        </w:rPr>
        <w:t xml:space="preserve">negó la existencia de sus enfermedades y en especial el diagnóstico confirmado repetido de hipertensión especial (primaria), que padecía y conocía, lo cierto es que esta patología no tiene nexo de causalidad directo con la causa del siniestro que es la enfermedad respiratoria por COVID – 19. </w:t>
      </w:r>
    </w:p>
    <w:p w:rsidR="005E428B" w:rsidRPr="004B4225" w:rsidRDefault="005E428B" w:rsidP="00331C6F">
      <w:pPr>
        <w:pStyle w:val="NormalWeb"/>
        <w:shd w:val="clear" w:color="auto" w:fill="FFFFFF"/>
        <w:spacing w:before="0" w:beforeAutospacing="0" w:after="0" w:afterAutospacing="0" w:line="360" w:lineRule="auto"/>
        <w:ind w:left="360"/>
        <w:jc w:val="both"/>
        <w:rPr>
          <w:rFonts w:ascii="Arial" w:hAnsi="Arial" w:cs="Arial"/>
          <w:b/>
          <w:sz w:val="22"/>
          <w:szCs w:val="22"/>
          <w:bdr w:val="none" w:sz="0" w:space="0" w:color="auto" w:frame="1"/>
          <w:lang w:val="es-CO"/>
        </w:rPr>
      </w:pPr>
    </w:p>
    <w:p w:rsidR="005E428B" w:rsidRPr="004B4225" w:rsidRDefault="00D64FDA" w:rsidP="00331C6F">
      <w:pPr>
        <w:pStyle w:val="NormalWeb"/>
        <w:numPr>
          <w:ilvl w:val="0"/>
          <w:numId w:val="9"/>
        </w:numPr>
        <w:shd w:val="clear" w:color="auto" w:fill="FFFFFF"/>
        <w:spacing w:before="0" w:beforeAutospacing="0" w:after="0" w:afterAutospacing="0" w:line="360" w:lineRule="auto"/>
        <w:jc w:val="both"/>
        <w:rPr>
          <w:rFonts w:ascii="Arial" w:hAnsi="Arial" w:cs="Arial"/>
          <w:b/>
          <w:sz w:val="22"/>
          <w:szCs w:val="22"/>
          <w:bdr w:val="none" w:sz="0" w:space="0" w:color="auto" w:frame="1"/>
          <w:lang w:val="es-CO"/>
        </w:rPr>
      </w:pPr>
      <w:r w:rsidRPr="004B4225">
        <w:rPr>
          <w:rFonts w:ascii="Arial" w:hAnsi="Arial" w:cs="Arial"/>
          <w:b/>
          <w:sz w:val="22"/>
          <w:szCs w:val="22"/>
          <w:lang w:val="es-CO"/>
        </w:rPr>
        <w:t>Respecto de la mala fe</w:t>
      </w:r>
      <w:r w:rsidR="005E428B" w:rsidRPr="004B4225">
        <w:rPr>
          <w:rFonts w:ascii="Arial" w:hAnsi="Arial" w:cs="Arial"/>
          <w:b/>
          <w:sz w:val="22"/>
          <w:szCs w:val="22"/>
          <w:lang w:val="es-CO"/>
        </w:rPr>
        <w:t xml:space="preserve"> y su prueba: </w:t>
      </w:r>
      <w:r w:rsidR="005E428B" w:rsidRPr="004B4225">
        <w:rPr>
          <w:rFonts w:ascii="Arial" w:hAnsi="Arial" w:cs="Arial"/>
          <w:sz w:val="22"/>
          <w:szCs w:val="22"/>
          <w:lang w:val="es-CO"/>
        </w:rPr>
        <w:t>en relación a lo anterior</w:t>
      </w:r>
      <w:r w:rsidR="005E428B" w:rsidRPr="004B4225">
        <w:rPr>
          <w:rFonts w:ascii="Arial" w:hAnsi="Arial" w:cs="Arial"/>
          <w:b/>
          <w:sz w:val="22"/>
          <w:szCs w:val="22"/>
          <w:lang w:val="es-CO"/>
        </w:rPr>
        <w:t xml:space="preserve"> </w:t>
      </w:r>
      <w:r w:rsidR="005E428B" w:rsidRPr="004B4225">
        <w:rPr>
          <w:rFonts w:ascii="Arial" w:hAnsi="Arial" w:cs="Arial"/>
          <w:sz w:val="22"/>
          <w:szCs w:val="22"/>
          <w:lang w:val="es-CO"/>
        </w:rPr>
        <w:t xml:space="preserve">es de recordar que tanto la Corte Constitucional como la Corte Suprema de Justicia </w:t>
      </w:r>
      <w:r w:rsidR="005E428B" w:rsidRPr="004B4225">
        <w:rPr>
          <w:rFonts w:ascii="Arial" w:hAnsi="Arial" w:cs="Arial"/>
          <w:b/>
          <w:sz w:val="22"/>
          <w:szCs w:val="22"/>
          <w:lang w:val="es-CO"/>
        </w:rPr>
        <w:t xml:space="preserve"> </w:t>
      </w:r>
      <w:r w:rsidR="005E428B" w:rsidRPr="004B4225">
        <w:rPr>
          <w:rFonts w:ascii="Arial" w:hAnsi="Arial" w:cs="Arial"/>
          <w:sz w:val="22"/>
          <w:szCs w:val="22"/>
          <w:lang w:val="es-CO"/>
        </w:rPr>
        <w:t>han afirmado la existencia de una regla según la cual las aseguradoras tienen que demostrar la mala fe de la tomadora para que proceda la objeción por reticencia</w:t>
      </w:r>
      <w:r w:rsidR="005E428B" w:rsidRPr="004B4225">
        <w:rPr>
          <w:rStyle w:val="Refdenotaalpie"/>
          <w:rFonts w:ascii="Arial" w:hAnsi="Arial" w:cs="Arial"/>
          <w:sz w:val="22"/>
          <w:szCs w:val="22"/>
          <w:lang w:val="es-CO"/>
        </w:rPr>
        <w:footnoteReference w:id="1"/>
      </w:r>
      <w:r w:rsidR="005E428B" w:rsidRPr="004B4225">
        <w:rPr>
          <w:rFonts w:ascii="Arial" w:hAnsi="Arial" w:cs="Arial"/>
          <w:sz w:val="22"/>
          <w:szCs w:val="22"/>
          <w:lang w:val="es-CO"/>
        </w:rPr>
        <w:t xml:space="preserve">, además de que ante la duda sobre el conocimiento de una preexistencia por parte de la peticionaria al momento de declarar, debe adoptarse la posibilidad hermenéutica de la situación fáctica que le conceda un mayor rango de eficacia a sus derechos (principio pro </w:t>
      </w:r>
      <w:proofErr w:type="spellStart"/>
      <w:r w:rsidR="005E428B" w:rsidRPr="004B4225">
        <w:rPr>
          <w:rFonts w:ascii="Arial" w:hAnsi="Arial" w:cs="Arial"/>
          <w:sz w:val="22"/>
          <w:szCs w:val="22"/>
          <w:lang w:val="es-CO"/>
        </w:rPr>
        <w:t>homine</w:t>
      </w:r>
      <w:proofErr w:type="spellEnd"/>
      <w:r w:rsidR="005E428B" w:rsidRPr="004B4225">
        <w:rPr>
          <w:rFonts w:ascii="Arial" w:hAnsi="Arial" w:cs="Arial"/>
          <w:sz w:val="22"/>
          <w:szCs w:val="22"/>
          <w:lang w:val="es-CO"/>
        </w:rPr>
        <w:t>). Como la nulidad relativa del contrato pretende castigar la mala fe en el comportamiento del tomador, motivo por el cual la relación contractual no podrá ser declarada nula por la sola omisión en el suministro de cualquier información, pues lo que se exige es que la inexactitud en la declaratoria se origine en un actuar contrario a los postulados de la buena fe, que tenga la entidad de retraer el negocio celebrado o que, de ser conocida por el asegurador, hubiese llevado a estipular condiciones más onerosas.</w:t>
      </w:r>
      <w:r w:rsidRPr="004B4225">
        <w:rPr>
          <w:rFonts w:ascii="Arial" w:hAnsi="Arial" w:cs="Arial"/>
          <w:b/>
          <w:sz w:val="22"/>
          <w:szCs w:val="22"/>
          <w:bdr w:val="none" w:sz="0" w:space="0" w:color="auto" w:frame="1"/>
          <w:lang w:val="es-CO"/>
        </w:rPr>
        <w:t xml:space="preserve"> </w:t>
      </w:r>
      <w:r w:rsidR="005E428B" w:rsidRPr="004B4225">
        <w:rPr>
          <w:rFonts w:ascii="Arial" w:hAnsi="Arial" w:cs="Arial"/>
          <w:sz w:val="22"/>
          <w:szCs w:val="22"/>
          <w:lang w:val="es-CO"/>
        </w:rPr>
        <w:t>En el presente caso, no es posible establecer que el tomador h</w:t>
      </w:r>
      <w:r w:rsidRPr="004B4225">
        <w:rPr>
          <w:rFonts w:ascii="Arial" w:hAnsi="Arial" w:cs="Arial"/>
          <w:sz w:val="22"/>
          <w:szCs w:val="22"/>
          <w:lang w:val="es-CO"/>
        </w:rPr>
        <w:t>aya actuado de mala fe</w:t>
      </w:r>
      <w:r w:rsidR="005E428B" w:rsidRPr="004B4225">
        <w:rPr>
          <w:rFonts w:ascii="Arial" w:hAnsi="Arial" w:cs="Arial"/>
          <w:sz w:val="22"/>
          <w:szCs w:val="22"/>
          <w:lang w:val="es-CO"/>
        </w:rPr>
        <w:t xml:space="preserve"> ya que es claro que para el día 28 de abril de 2016 cuando el señor Andrés suscribió el seguro no existía la virosis causa del deceso del mismo.</w:t>
      </w:r>
    </w:p>
    <w:p w:rsidR="005E522A" w:rsidRPr="004B4225" w:rsidRDefault="005E522A" w:rsidP="00331C6F">
      <w:pPr>
        <w:pStyle w:val="NormalWeb"/>
        <w:shd w:val="clear" w:color="auto" w:fill="FFFFFF"/>
        <w:spacing w:before="0" w:beforeAutospacing="0" w:after="0" w:afterAutospacing="0" w:line="360" w:lineRule="auto"/>
        <w:ind w:left="360"/>
        <w:jc w:val="both"/>
        <w:rPr>
          <w:rFonts w:ascii="Arial" w:hAnsi="Arial" w:cs="Arial"/>
          <w:b/>
          <w:sz w:val="22"/>
          <w:szCs w:val="22"/>
          <w:bdr w:val="none" w:sz="0" w:space="0" w:color="auto" w:frame="1"/>
          <w:lang w:val="es-CO"/>
        </w:rPr>
      </w:pPr>
    </w:p>
    <w:p w:rsidR="005E522A" w:rsidRPr="004B4225" w:rsidRDefault="005E522A" w:rsidP="005E522A">
      <w:pPr>
        <w:pStyle w:val="NormalWeb"/>
        <w:numPr>
          <w:ilvl w:val="0"/>
          <w:numId w:val="9"/>
        </w:numPr>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4B4225">
        <w:rPr>
          <w:rFonts w:ascii="Arial" w:hAnsi="Arial" w:cs="Arial"/>
          <w:b/>
          <w:sz w:val="22"/>
          <w:szCs w:val="22"/>
          <w:bdr w:val="none" w:sz="0" w:space="0" w:color="auto" w:frame="1"/>
          <w:lang w:val="es-CO"/>
        </w:rPr>
        <w:t>Respecto de la realización de exámenes médicos por parte de la compañía aseguradora:</w:t>
      </w:r>
      <w:r w:rsidRPr="004B4225">
        <w:rPr>
          <w:rFonts w:ascii="Arial" w:hAnsi="Arial" w:cs="Arial"/>
          <w:sz w:val="22"/>
          <w:szCs w:val="22"/>
          <w:bdr w:val="none" w:sz="0" w:space="0" w:color="auto" w:frame="1"/>
          <w:lang w:val="es-CO"/>
        </w:rPr>
        <w:t xml:space="preserve"> es de recordar que las sentencias de la Corte Constitucional han establecido que la compañía aseguradora </w:t>
      </w:r>
      <w:r w:rsidRPr="004B4225">
        <w:rPr>
          <w:rFonts w:ascii="Arial" w:hAnsi="Arial" w:cs="Arial"/>
          <w:sz w:val="22"/>
          <w:szCs w:val="22"/>
          <w:lang w:val="es-CO"/>
        </w:rPr>
        <w:t>tiene un deber de diligencia superior por ser la experta en seguros y quien ostenta la posición dominante en la relación jurídica por lo que debe verificar la información entregada por las tomadoras, y que, tratándose de seguros de personas, a estas debe practicarles exámenes médicos o solicitarlos y revisar sus historias clínicas, con el fin de que prosperen las excepciones de nulidad relativa por reticencia o inexactitud.</w:t>
      </w:r>
      <w:r w:rsidRPr="004B4225">
        <w:rPr>
          <w:rStyle w:val="Refdenotaalpie"/>
          <w:rFonts w:ascii="Arial" w:hAnsi="Arial" w:cs="Arial"/>
          <w:sz w:val="22"/>
          <w:szCs w:val="22"/>
          <w:lang w:val="es-CO"/>
        </w:rPr>
        <w:footnoteReference w:id="2"/>
      </w:r>
      <w:r w:rsidRPr="004B4225">
        <w:rPr>
          <w:rFonts w:ascii="Arial" w:hAnsi="Arial" w:cs="Arial"/>
          <w:sz w:val="22"/>
          <w:szCs w:val="22"/>
          <w:bdr w:val="none" w:sz="0" w:space="0" w:color="auto" w:frame="1"/>
          <w:lang w:val="es-CO"/>
        </w:rPr>
        <w:t xml:space="preserve">, sin que en el presente caso se encuentre probado que la compañía aseguradora haya solicitado exámenes médicos. </w:t>
      </w:r>
    </w:p>
    <w:p w:rsidR="00E44C15" w:rsidRPr="004B4225" w:rsidRDefault="00E44C15" w:rsidP="00331C6F">
      <w:pPr>
        <w:pStyle w:val="NormalWeb"/>
        <w:shd w:val="clear" w:color="auto" w:fill="FFFFFF"/>
        <w:spacing w:before="0" w:beforeAutospacing="0" w:after="0" w:afterAutospacing="0" w:line="360" w:lineRule="auto"/>
        <w:jc w:val="both"/>
        <w:rPr>
          <w:rFonts w:ascii="Arial" w:hAnsi="Arial" w:cs="Arial"/>
          <w:sz w:val="22"/>
          <w:szCs w:val="22"/>
          <w:lang w:val="es-CO"/>
        </w:rPr>
      </w:pPr>
    </w:p>
    <w:p w:rsidR="00E44C15" w:rsidRPr="004B4225" w:rsidRDefault="00E44C15">
      <w:pPr>
        <w:pStyle w:val="NormalWeb"/>
        <w:numPr>
          <w:ilvl w:val="0"/>
          <w:numId w:val="6"/>
        </w:numPr>
        <w:shd w:val="clear" w:color="auto" w:fill="FFFFFF"/>
        <w:spacing w:before="0" w:beforeAutospacing="0" w:after="0" w:afterAutospacing="0" w:line="360" w:lineRule="auto"/>
        <w:jc w:val="both"/>
        <w:rPr>
          <w:rFonts w:ascii="Arial" w:hAnsi="Arial" w:cs="Arial"/>
          <w:b/>
          <w:sz w:val="22"/>
          <w:szCs w:val="22"/>
          <w:bdr w:val="none" w:sz="0" w:space="0" w:color="auto" w:frame="1"/>
          <w:lang w:val="es-CO"/>
        </w:rPr>
      </w:pPr>
      <w:r w:rsidRPr="004B4225">
        <w:rPr>
          <w:rFonts w:ascii="Arial" w:hAnsi="Arial" w:cs="Arial"/>
          <w:b/>
          <w:sz w:val="22"/>
          <w:szCs w:val="22"/>
          <w:lang w:val="es-CO"/>
        </w:rPr>
        <w:t xml:space="preserve">Elemento subjetivo – relevancia de lo no declarado: </w:t>
      </w:r>
      <w:r w:rsidR="00174AF2" w:rsidRPr="004B4225">
        <w:rPr>
          <w:rFonts w:ascii="Arial" w:hAnsi="Arial" w:cs="Arial"/>
          <w:sz w:val="22"/>
          <w:szCs w:val="22"/>
          <w:lang w:val="es-CO"/>
        </w:rPr>
        <w:t>la Corte Suprema de Justicia</w:t>
      </w:r>
      <w:r w:rsidR="00174AF2" w:rsidRPr="004B4225">
        <w:rPr>
          <w:rStyle w:val="Refdenotaalpie"/>
          <w:rFonts w:ascii="Arial" w:hAnsi="Arial" w:cs="Arial"/>
          <w:sz w:val="22"/>
          <w:szCs w:val="22"/>
          <w:lang w:val="es-CO"/>
        </w:rPr>
        <w:footnoteReference w:id="3"/>
      </w:r>
      <w:r w:rsidR="000732B8" w:rsidRPr="004B4225">
        <w:rPr>
          <w:rFonts w:ascii="Arial" w:hAnsi="Arial" w:cs="Arial"/>
          <w:sz w:val="22"/>
          <w:szCs w:val="22"/>
          <w:lang w:val="es-CO"/>
        </w:rPr>
        <w:t xml:space="preserve"> ha establecido que le</w:t>
      </w:r>
      <w:r w:rsidR="00174AF2" w:rsidRPr="004B4225">
        <w:rPr>
          <w:rFonts w:ascii="Arial" w:hAnsi="Arial" w:cs="Arial"/>
          <w:b/>
          <w:sz w:val="22"/>
          <w:szCs w:val="22"/>
          <w:lang w:val="es-CO"/>
        </w:rPr>
        <w:t xml:space="preserve"> </w:t>
      </w:r>
      <w:r w:rsidR="00174AF2" w:rsidRPr="004B4225">
        <w:rPr>
          <w:rFonts w:ascii="Arial" w:hAnsi="Arial" w:cs="Arial"/>
          <w:sz w:val="22"/>
          <w:szCs w:val="22"/>
          <w:lang w:val="es-CO"/>
        </w:rPr>
        <w:t xml:space="preserve">incumbe a las partes probar los supuestos de hecho de las normas que consagran el efecto jurídico que ellas persiguen en virtud del artículo 167 </w:t>
      </w:r>
      <w:r w:rsidR="000732B8" w:rsidRPr="004B4225">
        <w:rPr>
          <w:rFonts w:ascii="Arial" w:hAnsi="Arial" w:cs="Arial"/>
          <w:sz w:val="22"/>
          <w:szCs w:val="22"/>
          <w:lang w:val="es-CO"/>
        </w:rPr>
        <w:t xml:space="preserve">del Código General del Proceso, es de mencionar que en el presente caso se considera que BBVA Seguros de Vida S.A. SI podrá lograr probar este elemento subjetivo a través de los siguientes: </w:t>
      </w:r>
    </w:p>
    <w:p w:rsidR="000732B8" w:rsidRPr="004B4225" w:rsidRDefault="000732B8">
      <w:pPr>
        <w:pStyle w:val="NormalWeb"/>
        <w:shd w:val="clear" w:color="auto" w:fill="FFFFFF"/>
        <w:spacing w:before="0" w:beforeAutospacing="0" w:after="0" w:afterAutospacing="0" w:line="360" w:lineRule="auto"/>
        <w:ind w:left="720"/>
        <w:jc w:val="both"/>
        <w:rPr>
          <w:rFonts w:ascii="Arial" w:hAnsi="Arial" w:cs="Arial"/>
          <w:sz w:val="22"/>
          <w:szCs w:val="22"/>
          <w:lang w:val="es-CO"/>
        </w:rPr>
      </w:pPr>
    </w:p>
    <w:p w:rsidR="000A7340" w:rsidRPr="004B4225" w:rsidRDefault="000732B8" w:rsidP="00331C6F">
      <w:pPr>
        <w:pStyle w:val="NormalWeb"/>
        <w:numPr>
          <w:ilvl w:val="0"/>
          <w:numId w:val="7"/>
        </w:numPr>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4B4225">
        <w:rPr>
          <w:rFonts w:ascii="Arial" w:hAnsi="Arial" w:cs="Arial"/>
          <w:sz w:val="22"/>
          <w:szCs w:val="22"/>
          <w:bdr w:val="none" w:sz="0" w:space="0" w:color="auto" w:frame="1"/>
          <w:lang w:val="es-CO"/>
        </w:rPr>
        <w:t xml:space="preserve">KATHERINE CÁRDENAS, miembro del equipo Técnico de Suscripción de </w:t>
      </w:r>
      <w:proofErr w:type="spellStart"/>
      <w:r w:rsidRPr="004B4225">
        <w:rPr>
          <w:rFonts w:ascii="Arial" w:hAnsi="Arial" w:cs="Arial"/>
          <w:sz w:val="22"/>
          <w:szCs w:val="22"/>
          <w:bdr w:val="none" w:sz="0" w:space="0" w:color="auto" w:frame="1"/>
          <w:lang w:val="es-CO"/>
        </w:rPr>
        <w:t>Bancaseguros</w:t>
      </w:r>
      <w:proofErr w:type="spellEnd"/>
      <w:r w:rsidRPr="004B4225">
        <w:rPr>
          <w:rFonts w:ascii="Arial" w:hAnsi="Arial" w:cs="Arial"/>
          <w:sz w:val="22"/>
          <w:szCs w:val="22"/>
          <w:bdr w:val="none" w:sz="0" w:space="0" w:color="auto" w:frame="1"/>
          <w:lang w:val="es-CO"/>
        </w:rPr>
        <w:t xml:space="preserve"> de la Compañía Aseguradora.</w:t>
      </w:r>
    </w:p>
    <w:p w:rsidR="000732B8" w:rsidRPr="004B4225" w:rsidRDefault="000732B8" w:rsidP="00331C6F">
      <w:pPr>
        <w:pStyle w:val="NormalWeb"/>
        <w:numPr>
          <w:ilvl w:val="0"/>
          <w:numId w:val="7"/>
        </w:numPr>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4B4225">
        <w:rPr>
          <w:rFonts w:ascii="Arial" w:hAnsi="Arial" w:cs="Arial"/>
          <w:sz w:val="22"/>
          <w:szCs w:val="22"/>
          <w:bdr w:val="none" w:sz="0" w:space="0" w:color="auto" w:frame="1"/>
          <w:lang w:val="es-CO"/>
        </w:rPr>
        <w:t xml:space="preserve">YEIMY ALEXANDRA QUECANO, miembro del equipo Técnico de Suscripción de </w:t>
      </w:r>
      <w:proofErr w:type="spellStart"/>
      <w:r w:rsidRPr="004B4225">
        <w:rPr>
          <w:rFonts w:ascii="Arial" w:hAnsi="Arial" w:cs="Arial"/>
          <w:sz w:val="22"/>
          <w:szCs w:val="22"/>
          <w:bdr w:val="none" w:sz="0" w:space="0" w:color="auto" w:frame="1"/>
          <w:lang w:val="es-CO"/>
        </w:rPr>
        <w:t>Bancaseguros</w:t>
      </w:r>
      <w:proofErr w:type="spellEnd"/>
      <w:r w:rsidRPr="004B4225">
        <w:rPr>
          <w:rFonts w:ascii="Arial" w:hAnsi="Arial" w:cs="Arial"/>
          <w:sz w:val="22"/>
          <w:szCs w:val="22"/>
          <w:bdr w:val="none" w:sz="0" w:space="0" w:color="auto" w:frame="1"/>
          <w:lang w:val="es-CO"/>
        </w:rPr>
        <w:t xml:space="preserve"> de la Compañía Aseguradora.</w:t>
      </w:r>
    </w:p>
    <w:p w:rsidR="000732B8" w:rsidRPr="004B4225" w:rsidRDefault="000732B8" w:rsidP="00331C6F">
      <w:pPr>
        <w:pStyle w:val="NormalWeb"/>
        <w:numPr>
          <w:ilvl w:val="0"/>
          <w:numId w:val="7"/>
        </w:numPr>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4B4225">
        <w:rPr>
          <w:rFonts w:ascii="Arial" w:hAnsi="Arial" w:cs="Arial"/>
          <w:sz w:val="22"/>
          <w:szCs w:val="22"/>
          <w:bdr w:val="none" w:sz="0" w:space="0" w:color="auto" w:frame="1"/>
          <w:lang w:val="es-CO"/>
        </w:rPr>
        <w:t>DICTAMEN PERICIAL médico con énfasis en tarifación del riesgo para Compañías de Seguros de personas.</w:t>
      </w:r>
    </w:p>
    <w:p w:rsidR="000732B8" w:rsidRPr="004B4225" w:rsidRDefault="000732B8" w:rsidP="00331C6F">
      <w:pPr>
        <w:pStyle w:val="NormalWeb"/>
        <w:numPr>
          <w:ilvl w:val="0"/>
          <w:numId w:val="7"/>
        </w:numPr>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4B4225">
        <w:rPr>
          <w:rFonts w:ascii="Arial" w:hAnsi="Arial" w:cs="Arial"/>
          <w:sz w:val="22"/>
          <w:szCs w:val="22"/>
          <w:bdr w:val="none" w:sz="0" w:space="0" w:color="auto" w:frame="1"/>
          <w:lang w:val="es-CO"/>
        </w:rPr>
        <w:t xml:space="preserve">Si bien en el condicionado no se establece un valor de </w:t>
      </w:r>
      <w:proofErr w:type="spellStart"/>
      <w:r w:rsidRPr="004B4225">
        <w:rPr>
          <w:rFonts w:ascii="Arial" w:hAnsi="Arial" w:cs="Arial"/>
          <w:sz w:val="22"/>
          <w:szCs w:val="22"/>
          <w:bdr w:val="none" w:sz="0" w:space="0" w:color="auto" w:frame="1"/>
          <w:lang w:val="es-CO"/>
        </w:rPr>
        <w:t>extraprima</w:t>
      </w:r>
      <w:proofErr w:type="spellEnd"/>
      <w:r w:rsidRPr="004B4225">
        <w:rPr>
          <w:rFonts w:ascii="Arial" w:hAnsi="Arial" w:cs="Arial"/>
          <w:sz w:val="22"/>
          <w:szCs w:val="22"/>
          <w:bdr w:val="none" w:sz="0" w:space="0" w:color="auto" w:frame="1"/>
          <w:lang w:val="es-CO"/>
        </w:rPr>
        <w:t xml:space="preserve"> por las patologías de </w:t>
      </w:r>
      <w:r w:rsidR="000A7340" w:rsidRPr="004B4225">
        <w:rPr>
          <w:rFonts w:ascii="Arial" w:hAnsi="Arial" w:cs="Arial"/>
          <w:sz w:val="22"/>
          <w:szCs w:val="22"/>
          <w:bdr w:val="none" w:sz="0" w:space="0" w:color="auto" w:frame="1"/>
          <w:lang w:val="es-CO"/>
        </w:rPr>
        <w:t>trastorno</w:t>
      </w:r>
      <w:r w:rsidRPr="004B4225">
        <w:rPr>
          <w:rFonts w:ascii="Arial" w:hAnsi="Arial" w:cs="Arial"/>
          <w:sz w:val="22"/>
          <w:szCs w:val="22"/>
          <w:bdr w:val="none" w:sz="0" w:space="0" w:color="auto" w:frame="1"/>
          <w:lang w:val="es-CO"/>
        </w:rPr>
        <w:t xml:space="preserve"> metal y/o hipertensión </w:t>
      </w:r>
      <w:r w:rsidR="000A7340" w:rsidRPr="004B4225">
        <w:rPr>
          <w:rFonts w:ascii="Arial" w:hAnsi="Arial" w:cs="Arial"/>
          <w:sz w:val="22"/>
          <w:szCs w:val="22"/>
          <w:bdr w:val="none" w:sz="0" w:space="0" w:color="auto" w:frame="1"/>
          <w:lang w:val="es-CO"/>
        </w:rPr>
        <w:t>arterial</w:t>
      </w:r>
      <w:r w:rsidRPr="004B4225">
        <w:rPr>
          <w:rFonts w:ascii="Arial" w:hAnsi="Arial" w:cs="Arial"/>
          <w:sz w:val="22"/>
          <w:szCs w:val="22"/>
          <w:bdr w:val="none" w:sz="0" w:space="0" w:color="auto" w:frame="1"/>
          <w:lang w:val="es-CO"/>
        </w:rPr>
        <w:t xml:space="preserve">, si es cierto que en la declaración de </w:t>
      </w:r>
      <w:proofErr w:type="spellStart"/>
      <w:r w:rsidRPr="004B4225">
        <w:rPr>
          <w:rFonts w:ascii="Arial" w:hAnsi="Arial" w:cs="Arial"/>
          <w:sz w:val="22"/>
          <w:szCs w:val="22"/>
          <w:bdr w:val="none" w:sz="0" w:space="0" w:color="auto" w:frame="1"/>
          <w:lang w:val="es-CO"/>
        </w:rPr>
        <w:t>asegurabilidad</w:t>
      </w:r>
      <w:proofErr w:type="spellEnd"/>
      <w:r w:rsidRPr="004B4225">
        <w:rPr>
          <w:rFonts w:ascii="Arial" w:hAnsi="Arial" w:cs="Arial"/>
          <w:sz w:val="22"/>
          <w:szCs w:val="22"/>
          <w:bdr w:val="none" w:sz="0" w:space="0" w:color="auto" w:frame="1"/>
          <w:lang w:val="es-CO"/>
        </w:rPr>
        <w:t xml:space="preserve"> sobre las patologías denominadas: “</w:t>
      </w:r>
      <w:r w:rsidRPr="004B4225">
        <w:rPr>
          <w:rFonts w:ascii="Arial" w:hAnsi="Arial" w:cs="Arial"/>
          <w:i/>
          <w:sz w:val="22"/>
          <w:szCs w:val="22"/>
          <w:bdr w:val="none" w:sz="0" w:space="0" w:color="auto" w:frame="1"/>
          <w:lang w:val="es-CO"/>
        </w:rPr>
        <w:t>Dolor en el pecho, tensión arterial alta, infarto o cualquier enfermedad del corazón</w:t>
      </w:r>
      <w:r w:rsidRPr="004B4225">
        <w:rPr>
          <w:rFonts w:ascii="Arial" w:hAnsi="Arial" w:cs="Arial"/>
          <w:sz w:val="22"/>
          <w:szCs w:val="22"/>
          <w:bdr w:val="none" w:sz="0" w:space="0" w:color="auto" w:frame="1"/>
          <w:lang w:val="es-CO"/>
        </w:rPr>
        <w:t>” y/o “</w:t>
      </w:r>
      <w:r w:rsidRPr="004B4225">
        <w:rPr>
          <w:rFonts w:ascii="Arial" w:hAnsi="Arial" w:cs="Arial"/>
          <w:i/>
          <w:sz w:val="22"/>
          <w:szCs w:val="22"/>
          <w:bdr w:val="none" w:sz="0" w:space="0" w:color="auto" w:frame="1"/>
          <w:lang w:val="es-CO"/>
        </w:rPr>
        <w:t>Tras</w:t>
      </w:r>
      <w:r w:rsidR="000A7340" w:rsidRPr="004B4225">
        <w:rPr>
          <w:rFonts w:ascii="Arial" w:hAnsi="Arial" w:cs="Arial"/>
          <w:i/>
          <w:sz w:val="22"/>
          <w:szCs w:val="22"/>
          <w:bdr w:val="none" w:sz="0" w:space="0" w:color="auto" w:frame="1"/>
          <w:lang w:val="es-CO"/>
        </w:rPr>
        <w:t>tornos mentales o psiquiátricos</w:t>
      </w:r>
      <w:r w:rsidRPr="004B4225">
        <w:rPr>
          <w:rFonts w:ascii="Arial" w:hAnsi="Arial" w:cs="Arial"/>
          <w:i/>
          <w:sz w:val="22"/>
          <w:szCs w:val="22"/>
          <w:bdr w:val="none" w:sz="0" w:space="0" w:color="auto" w:frame="1"/>
          <w:lang w:val="es-CO"/>
        </w:rPr>
        <w:t>”</w:t>
      </w:r>
      <w:r w:rsidR="000A7340" w:rsidRPr="004B4225">
        <w:rPr>
          <w:rFonts w:ascii="Arial" w:hAnsi="Arial" w:cs="Arial"/>
          <w:i/>
          <w:sz w:val="22"/>
          <w:szCs w:val="22"/>
          <w:bdr w:val="none" w:sz="0" w:space="0" w:color="auto" w:frame="1"/>
          <w:lang w:val="es-CO"/>
        </w:rPr>
        <w:t xml:space="preserve"> las cuales fueron respondidas negativamente</w:t>
      </w:r>
      <w:r w:rsidR="000A7340" w:rsidRPr="004B4225">
        <w:rPr>
          <w:rFonts w:ascii="Arial" w:hAnsi="Arial" w:cs="Arial"/>
          <w:sz w:val="22"/>
          <w:szCs w:val="22"/>
          <w:bdr w:val="none" w:sz="0" w:space="0" w:color="auto" w:frame="1"/>
          <w:lang w:val="es-CO"/>
        </w:rPr>
        <w:t xml:space="preserve">. </w:t>
      </w:r>
    </w:p>
    <w:p w:rsidR="003C3A30" w:rsidRPr="004B4225" w:rsidRDefault="003C3A30" w:rsidP="00331C6F">
      <w:pPr>
        <w:pStyle w:val="NormalWeb"/>
        <w:shd w:val="clear" w:color="auto" w:fill="FFFFFF"/>
        <w:spacing w:before="0" w:beforeAutospacing="0" w:after="0" w:afterAutospacing="0" w:line="360" w:lineRule="auto"/>
        <w:ind w:left="360"/>
        <w:jc w:val="both"/>
        <w:rPr>
          <w:rFonts w:ascii="Arial" w:hAnsi="Arial" w:cs="Arial"/>
          <w:sz w:val="22"/>
          <w:szCs w:val="22"/>
          <w:lang w:val="es-CO"/>
        </w:rPr>
      </w:pPr>
    </w:p>
    <w:p w:rsidR="000A7340" w:rsidRPr="004B4225" w:rsidRDefault="000A7340" w:rsidP="00331C6F">
      <w:pPr>
        <w:pStyle w:val="NormalWeb"/>
        <w:shd w:val="clear" w:color="auto" w:fill="FFFFFF"/>
        <w:spacing w:before="0" w:beforeAutospacing="0" w:after="0" w:afterAutospacing="0" w:line="360" w:lineRule="auto"/>
        <w:ind w:left="360"/>
        <w:jc w:val="both"/>
        <w:rPr>
          <w:rFonts w:ascii="Arial" w:hAnsi="Arial" w:cs="Arial"/>
          <w:sz w:val="22"/>
          <w:szCs w:val="22"/>
          <w:bdr w:val="none" w:sz="0" w:space="0" w:color="auto" w:frame="1"/>
          <w:lang w:val="es-CO"/>
        </w:rPr>
      </w:pPr>
      <w:r w:rsidRPr="004B4225">
        <w:rPr>
          <w:rFonts w:ascii="Arial" w:hAnsi="Arial" w:cs="Arial"/>
          <w:sz w:val="22"/>
          <w:szCs w:val="22"/>
          <w:lang w:val="es-CO"/>
        </w:rPr>
        <w:t xml:space="preserve">En relación a lo anterior la Corte Suprema sí sostuvo que se presumía relevante aquello por lo que preguntara la aseguradora en la declaración de </w:t>
      </w:r>
      <w:proofErr w:type="spellStart"/>
      <w:r w:rsidRPr="004B4225">
        <w:rPr>
          <w:rFonts w:ascii="Arial" w:hAnsi="Arial" w:cs="Arial"/>
          <w:sz w:val="22"/>
          <w:szCs w:val="22"/>
          <w:lang w:val="es-CO"/>
        </w:rPr>
        <w:t>asegurabilidad</w:t>
      </w:r>
      <w:proofErr w:type="spellEnd"/>
      <w:r w:rsidRPr="004B4225">
        <w:rPr>
          <w:rFonts w:ascii="Arial" w:hAnsi="Arial" w:cs="Arial"/>
          <w:sz w:val="22"/>
          <w:szCs w:val="22"/>
          <w:lang w:val="es-CO"/>
        </w:rPr>
        <w:t xml:space="preserve">, y que procedía anular el contrato cuando la respuesta de la parte tomadora era inexacta o reticente. </w:t>
      </w:r>
    </w:p>
    <w:p w:rsidR="000F1413" w:rsidRPr="004B4225" w:rsidRDefault="000F1413">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p>
    <w:p w:rsidR="000F1413" w:rsidRPr="004B4225" w:rsidRDefault="00D76E55">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4B4225">
        <w:rPr>
          <w:rFonts w:ascii="Arial" w:hAnsi="Arial" w:cs="Arial"/>
          <w:sz w:val="22"/>
          <w:szCs w:val="22"/>
          <w:bdr w:val="none" w:sz="0" w:space="0" w:color="auto" w:frame="1"/>
          <w:lang w:val="es-CO"/>
        </w:rPr>
        <w:t xml:space="preserve">Con fundamento en lo anterior, </w:t>
      </w:r>
      <w:r w:rsidR="000F1413" w:rsidRPr="004B4225">
        <w:rPr>
          <w:rFonts w:ascii="Arial" w:hAnsi="Arial" w:cs="Arial"/>
          <w:sz w:val="22"/>
          <w:szCs w:val="22"/>
          <w:bdr w:val="none" w:sz="0" w:space="0" w:color="auto" w:frame="1"/>
          <w:lang w:val="es-CO"/>
        </w:rPr>
        <w:t xml:space="preserve">se concluye, de conformidad a la sentencia SC3791 de 2021 </w:t>
      </w:r>
      <w:r w:rsidRPr="004B4225">
        <w:rPr>
          <w:rFonts w:ascii="Arial" w:hAnsi="Arial" w:cs="Arial"/>
          <w:sz w:val="22"/>
          <w:szCs w:val="22"/>
          <w:bdr w:val="none" w:sz="0" w:space="0" w:color="auto" w:frame="1"/>
          <w:lang w:val="es-CO"/>
        </w:rPr>
        <w:t>con ponencia del</w:t>
      </w:r>
      <w:r w:rsidR="000F1413" w:rsidRPr="004B4225">
        <w:rPr>
          <w:rFonts w:ascii="Arial" w:hAnsi="Arial" w:cs="Arial"/>
          <w:sz w:val="22"/>
          <w:szCs w:val="22"/>
          <w:bdr w:val="none" w:sz="0" w:space="0" w:color="auto" w:frame="1"/>
          <w:lang w:val="es-CO"/>
        </w:rPr>
        <w:t xml:space="preserve"> Magistrado Luis Armando Tolosa </w:t>
      </w:r>
      <w:r w:rsidRPr="004B4225">
        <w:rPr>
          <w:rFonts w:ascii="Arial" w:hAnsi="Arial" w:cs="Arial"/>
          <w:sz w:val="22"/>
          <w:szCs w:val="22"/>
          <w:bdr w:val="none" w:sz="0" w:space="0" w:color="auto" w:frame="1"/>
          <w:lang w:val="es-CO"/>
        </w:rPr>
        <w:t xml:space="preserve">(en el cual se discutió </w:t>
      </w:r>
      <w:r w:rsidR="000F1413" w:rsidRPr="004B4225">
        <w:rPr>
          <w:rFonts w:ascii="Arial" w:hAnsi="Arial" w:cs="Arial"/>
          <w:sz w:val="22"/>
          <w:szCs w:val="22"/>
          <w:bdr w:val="none" w:sz="0" w:space="0" w:color="auto" w:frame="1"/>
          <w:lang w:val="es-CO"/>
        </w:rPr>
        <w:t xml:space="preserve">un caso muy similar al de objeto de debate y </w:t>
      </w:r>
      <w:r w:rsidRPr="004B4225">
        <w:rPr>
          <w:rFonts w:ascii="Arial" w:hAnsi="Arial" w:cs="Arial"/>
          <w:sz w:val="22"/>
          <w:szCs w:val="22"/>
          <w:bdr w:val="none" w:sz="0" w:space="0" w:color="auto" w:frame="1"/>
          <w:lang w:val="es-CO"/>
        </w:rPr>
        <w:t xml:space="preserve">en el </w:t>
      </w:r>
      <w:r w:rsidR="000F1413" w:rsidRPr="004B4225">
        <w:rPr>
          <w:rFonts w:ascii="Arial" w:hAnsi="Arial" w:cs="Arial"/>
          <w:sz w:val="22"/>
          <w:szCs w:val="22"/>
          <w:bdr w:val="none" w:sz="0" w:space="0" w:color="auto" w:frame="1"/>
          <w:lang w:val="es-CO"/>
        </w:rPr>
        <w:t>que</w:t>
      </w:r>
      <w:r w:rsidRPr="004B4225">
        <w:rPr>
          <w:rFonts w:ascii="Arial" w:hAnsi="Arial" w:cs="Arial"/>
          <w:sz w:val="22"/>
          <w:szCs w:val="22"/>
          <w:bdr w:val="none" w:sz="0" w:space="0" w:color="auto" w:frame="1"/>
          <w:lang w:val="es-CO"/>
        </w:rPr>
        <w:t xml:space="preserve"> se</w:t>
      </w:r>
      <w:r w:rsidR="000F1413" w:rsidRPr="004B4225">
        <w:rPr>
          <w:rFonts w:ascii="Arial" w:hAnsi="Arial" w:cs="Arial"/>
          <w:sz w:val="22"/>
          <w:szCs w:val="22"/>
          <w:bdr w:val="none" w:sz="0" w:space="0" w:color="auto" w:frame="1"/>
          <w:lang w:val="es-CO"/>
        </w:rPr>
        <w:t xml:space="preserve"> condena a la BBVA Seguros de Vida S.A. al reconocimiento y pago del saldo insoluto de la deuda en virtud de las </w:t>
      </w:r>
      <w:r w:rsidR="004B6DC4" w:rsidRPr="004B4225">
        <w:rPr>
          <w:rFonts w:ascii="Arial" w:hAnsi="Arial" w:cs="Arial"/>
          <w:sz w:val="22"/>
          <w:szCs w:val="22"/>
          <w:bdr w:val="none" w:sz="0" w:space="0" w:color="auto" w:frame="1"/>
          <w:lang w:val="es-CO"/>
        </w:rPr>
        <w:t>pólizas</w:t>
      </w:r>
      <w:r w:rsidR="000F1413" w:rsidRPr="004B4225">
        <w:rPr>
          <w:rFonts w:ascii="Arial" w:hAnsi="Arial" w:cs="Arial"/>
          <w:sz w:val="22"/>
          <w:szCs w:val="22"/>
          <w:bdr w:val="none" w:sz="0" w:space="0" w:color="auto" w:frame="1"/>
          <w:lang w:val="es-CO"/>
        </w:rPr>
        <w:t xml:space="preserve"> de vida grupo</w:t>
      </w:r>
      <w:r w:rsidRPr="004B4225">
        <w:rPr>
          <w:rFonts w:ascii="Arial" w:hAnsi="Arial" w:cs="Arial"/>
          <w:sz w:val="22"/>
          <w:szCs w:val="22"/>
          <w:bdr w:val="none" w:sz="0" w:space="0" w:color="auto" w:frame="1"/>
          <w:lang w:val="es-CO"/>
        </w:rPr>
        <w:t>)</w:t>
      </w:r>
      <w:r w:rsidR="000F1413" w:rsidRPr="004B4225">
        <w:rPr>
          <w:rFonts w:ascii="Arial" w:hAnsi="Arial" w:cs="Arial"/>
          <w:sz w:val="22"/>
          <w:szCs w:val="22"/>
          <w:bdr w:val="none" w:sz="0" w:space="0" w:color="auto" w:frame="1"/>
          <w:lang w:val="es-CO"/>
        </w:rPr>
        <w:t xml:space="preserve">, </w:t>
      </w:r>
      <w:r w:rsidR="004B6DC4" w:rsidRPr="004B4225">
        <w:rPr>
          <w:rFonts w:ascii="Arial" w:hAnsi="Arial" w:cs="Arial"/>
          <w:sz w:val="22"/>
          <w:szCs w:val="22"/>
          <w:bdr w:val="none" w:sz="0" w:space="0" w:color="auto" w:frame="1"/>
          <w:lang w:val="es-CO"/>
        </w:rPr>
        <w:t>que en el presente caso el riesgo de condena es alto</w:t>
      </w:r>
      <w:r w:rsidRPr="004B4225">
        <w:rPr>
          <w:rFonts w:ascii="Arial" w:hAnsi="Arial" w:cs="Arial"/>
          <w:sz w:val="22"/>
          <w:szCs w:val="22"/>
          <w:bdr w:val="none" w:sz="0" w:space="0" w:color="auto" w:frame="1"/>
          <w:lang w:val="es-CO"/>
        </w:rPr>
        <w:t>, por cuanto no tenemos acreditados la totalidad de los requisitos que ha decantado la jurisprudencia para la viabilidad de la declaración de nulidad relativa del aseguramiento por reticencia. Lo cual conlleva a mutar l</w:t>
      </w:r>
      <w:r w:rsidR="004B6DC4" w:rsidRPr="004B4225">
        <w:rPr>
          <w:rFonts w:ascii="Arial" w:hAnsi="Arial" w:cs="Arial"/>
          <w:sz w:val="22"/>
          <w:szCs w:val="22"/>
          <w:bdr w:val="none" w:sz="0" w:space="0" w:color="auto" w:frame="1"/>
          <w:lang w:val="es-CO"/>
        </w:rPr>
        <w:t xml:space="preserve">a calificación de contingencia </w:t>
      </w:r>
      <w:r w:rsidRPr="004B4225">
        <w:rPr>
          <w:rFonts w:ascii="Arial" w:hAnsi="Arial" w:cs="Arial"/>
          <w:sz w:val="22"/>
          <w:szCs w:val="22"/>
          <w:bdr w:val="none" w:sz="0" w:space="0" w:color="auto" w:frame="1"/>
          <w:lang w:val="es-CO"/>
        </w:rPr>
        <w:t>a</w:t>
      </w:r>
      <w:r w:rsidR="004B6DC4" w:rsidRPr="004B4225">
        <w:rPr>
          <w:rFonts w:ascii="Arial" w:hAnsi="Arial" w:cs="Arial"/>
          <w:sz w:val="22"/>
          <w:szCs w:val="22"/>
          <w:bdr w:val="none" w:sz="0" w:space="0" w:color="auto" w:frame="1"/>
          <w:lang w:val="es-CO"/>
        </w:rPr>
        <w:t xml:space="preserve"> </w:t>
      </w:r>
      <w:r w:rsidR="004B6DC4" w:rsidRPr="004B4225">
        <w:rPr>
          <w:rFonts w:ascii="Arial" w:hAnsi="Arial" w:cs="Arial"/>
          <w:b/>
          <w:sz w:val="22"/>
          <w:szCs w:val="22"/>
          <w:bdr w:val="none" w:sz="0" w:space="0" w:color="auto" w:frame="1"/>
          <w:lang w:val="es-CO"/>
        </w:rPr>
        <w:t>PROBABLE.</w:t>
      </w:r>
      <w:r w:rsidR="004B6DC4" w:rsidRPr="004B4225">
        <w:rPr>
          <w:rFonts w:ascii="Arial" w:hAnsi="Arial" w:cs="Arial"/>
          <w:sz w:val="22"/>
          <w:szCs w:val="22"/>
          <w:bdr w:val="none" w:sz="0" w:space="0" w:color="auto" w:frame="1"/>
          <w:lang w:val="es-CO"/>
        </w:rPr>
        <w:t xml:space="preserve"> </w:t>
      </w:r>
    </w:p>
    <w:p w:rsidR="00E44C15" w:rsidRPr="004B4225" w:rsidRDefault="00E44C15">
      <w:pPr>
        <w:pStyle w:val="NormalWeb"/>
        <w:shd w:val="clear" w:color="auto" w:fill="FFFFFF"/>
        <w:spacing w:before="0" w:beforeAutospacing="0" w:after="0" w:afterAutospacing="0" w:line="360" w:lineRule="auto"/>
        <w:ind w:left="1080"/>
        <w:jc w:val="both"/>
        <w:rPr>
          <w:rFonts w:ascii="Arial" w:hAnsi="Arial" w:cs="Arial"/>
          <w:sz w:val="22"/>
          <w:szCs w:val="22"/>
          <w:bdr w:val="none" w:sz="0" w:space="0" w:color="auto" w:frame="1"/>
          <w:lang w:val="es-CO"/>
        </w:rPr>
      </w:pPr>
    </w:p>
    <w:p w:rsidR="0093084E" w:rsidRPr="004B4225" w:rsidRDefault="00766242" w:rsidP="00331C6F">
      <w:pPr>
        <w:pStyle w:val="Prrafodelista"/>
        <w:numPr>
          <w:ilvl w:val="0"/>
          <w:numId w:val="4"/>
        </w:numPr>
        <w:spacing w:after="0" w:line="360" w:lineRule="auto"/>
        <w:jc w:val="both"/>
        <w:rPr>
          <w:rFonts w:ascii="Arial" w:hAnsi="Arial" w:cs="Arial"/>
          <w:b/>
          <w:lang w:val="es-CO"/>
        </w:rPr>
      </w:pPr>
      <w:r w:rsidRPr="004B4225">
        <w:rPr>
          <w:rFonts w:ascii="Arial" w:hAnsi="Arial" w:cs="Arial"/>
          <w:b/>
          <w:lang w:val="es-CO"/>
        </w:rPr>
        <w:t xml:space="preserve">Actualización de la liquidación objetivada: </w:t>
      </w:r>
    </w:p>
    <w:p w:rsidR="00900CE4" w:rsidRPr="004B4225" w:rsidRDefault="00900CE4" w:rsidP="00331C6F">
      <w:pPr>
        <w:spacing w:after="0" w:line="360" w:lineRule="auto"/>
        <w:jc w:val="both"/>
        <w:rPr>
          <w:rFonts w:ascii="Arial" w:hAnsi="Arial" w:cs="Arial"/>
          <w:b/>
          <w:lang w:val="es-CO"/>
        </w:rPr>
      </w:pPr>
    </w:p>
    <w:p w:rsidR="00655DFE" w:rsidRPr="004B4225" w:rsidRDefault="00900CE4">
      <w:pPr>
        <w:pStyle w:val="NormalWeb"/>
        <w:shd w:val="clear" w:color="auto" w:fill="FFFFFF"/>
        <w:spacing w:before="0" w:beforeAutospacing="0" w:after="0" w:afterAutospacing="0" w:line="360" w:lineRule="auto"/>
        <w:jc w:val="both"/>
        <w:rPr>
          <w:rFonts w:ascii="Arial" w:hAnsi="Arial" w:cs="Arial"/>
          <w:sz w:val="22"/>
          <w:szCs w:val="22"/>
          <w:lang w:val="es-CO"/>
        </w:rPr>
      </w:pPr>
      <w:r w:rsidRPr="004B4225">
        <w:rPr>
          <w:rFonts w:ascii="Arial" w:hAnsi="Arial" w:cs="Arial"/>
          <w:color w:val="000000" w:themeColor="text1"/>
          <w:sz w:val="22"/>
          <w:szCs w:val="22"/>
          <w:bdr w:val="none" w:sz="0" w:space="0" w:color="auto" w:frame="1"/>
          <w:lang w:val="es-CO"/>
        </w:rPr>
        <w:t xml:space="preserve">Como liquidación objetiva de perjuicios se tiene la suma de </w:t>
      </w:r>
      <w:r w:rsidRPr="004B4225">
        <w:rPr>
          <w:rFonts w:ascii="Arial" w:hAnsi="Arial" w:cs="Arial"/>
          <w:b/>
          <w:color w:val="000000" w:themeColor="text1"/>
          <w:sz w:val="22"/>
          <w:szCs w:val="22"/>
          <w:u w:val="single"/>
          <w:bdr w:val="none" w:sz="0" w:space="0" w:color="auto" w:frame="1"/>
          <w:lang w:val="es-CO"/>
        </w:rPr>
        <w:t>$</w:t>
      </w:r>
      <w:r w:rsidR="008E7C61" w:rsidRPr="004B4225">
        <w:rPr>
          <w:rFonts w:ascii="Arial" w:hAnsi="Arial" w:cs="Arial"/>
          <w:b/>
          <w:color w:val="000000" w:themeColor="text1"/>
          <w:sz w:val="22"/>
          <w:szCs w:val="22"/>
          <w:u w:val="single"/>
          <w:bdr w:val="none" w:sz="0" w:space="0" w:color="auto" w:frame="1"/>
          <w:lang w:val="es-CO"/>
        </w:rPr>
        <w:t>126.296.130</w:t>
      </w:r>
      <w:r w:rsidRPr="004B4225">
        <w:rPr>
          <w:rFonts w:ascii="Arial" w:hAnsi="Arial" w:cs="Arial"/>
          <w:color w:val="000000" w:themeColor="text1"/>
          <w:sz w:val="22"/>
          <w:szCs w:val="22"/>
          <w:bdr w:val="none" w:sz="0" w:space="0" w:color="auto" w:frame="1"/>
          <w:lang w:val="es-CO"/>
        </w:rPr>
        <w:t>, teniendo en cuenta que el valor solicitado en la reforma de la demanda es $</w:t>
      </w:r>
      <w:r w:rsidRPr="004B4225">
        <w:rPr>
          <w:rFonts w:ascii="Arial" w:hAnsi="Arial" w:cs="Arial"/>
          <w:sz w:val="22"/>
          <w:szCs w:val="22"/>
          <w:lang w:val="es-CO"/>
        </w:rPr>
        <w:t xml:space="preserve">66.885.000 y la liquidación adjunta. </w:t>
      </w:r>
    </w:p>
    <w:p w:rsidR="00900CE4" w:rsidRPr="004B4225" w:rsidRDefault="00900CE4" w:rsidP="00331C6F">
      <w:pPr>
        <w:spacing w:after="0" w:line="360" w:lineRule="auto"/>
        <w:jc w:val="both"/>
        <w:rPr>
          <w:rFonts w:ascii="Arial" w:hAnsi="Arial" w:cs="Arial"/>
          <w:b/>
          <w:lang w:val="es-CO"/>
        </w:rPr>
      </w:pPr>
    </w:p>
    <w:p w:rsidR="008E7C61" w:rsidRPr="004B4225" w:rsidRDefault="008E7C61" w:rsidP="00331C6F">
      <w:pPr>
        <w:spacing w:after="0" w:line="360" w:lineRule="auto"/>
        <w:jc w:val="both"/>
        <w:rPr>
          <w:rFonts w:ascii="Arial" w:hAnsi="Arial" w:cs="Arial"/>
          <w:b/>
          <w:lang w:val="es-CO"/>
        </w:rPr>
      </w:pPr>
      <w:r w:rsidRPr="004B4225">
        <w:rPr>
          <w:rFonts w:ascii="Arial" w:hAnsi="Arial" w:cs="Arial"/>
          <w:noProof/>
        </w:rPr>
        <w:drawing>
          <wp:inline distT="0" distB="0" distL="0" distR="0" wp14:anchorId="47C4B9AF" wp14:editId="61144809">
            <wp:extent cx="5352757" cy="5709952"/>
            <wp:effectExtent l="0" t="0" r="63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5744" cy="5713139"/>
                    </a:xfrm>
                    <a:prstGeom prst="rect">
                      <a:avLst/>
                    </a:prstGeom>
                    <a:noFill/>
                    <a:ln>
                      <a:noFill/>
                    </a:ln>
                  </pic:spPr>
                </pic:pic>
              </a:graphicData>
            </a:graphic>
          </wp:inline>
        </w:drawing>
      </w:r>
    </w:p>
    <w:p w:rsidR="00900CE4" w:rsidRPr="004B4225" w:rsidRDefault="00900CE4">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p>
    <w:p w:rsidR="00900CE4" w:rsidRPr="004B4225" w:rsidRDefault="00900CE4">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r w:rsidRPr="004B4225">
        <w:rPr>
          <w:rFonts w:ascii="Arial" w:hAnsi="Arial" w:cs="Arial"/>
          <w:color w:val="000000" w:themeColor="text1"/>
          <w:sz w:val="22"/>
          <w:szCs w:val="22"/>
          <w:bdr w:val="none" w:sz="0" w:space="0" w:color="auto" w:frame="1"/>
          <w:lang w:val="es-CO"/>
        </w:rPr>
        <w:t>De acuerdo con los datos anteriores, la liquidación objetiva de las pretensiones totalizaría una suma de $</w:t>
      </w:r>
      <w:r w:rsidR="008E7C61" w:rsidRPr="004B4225">
        <w:rPr>
          <w:rFonts w:ascii="Arial" w:hAnsi="Arial" w:cs="Arial"/>
          <w:b/>
          <w:bCs/>
          <w:color w:val="000000" w:themeColor="text1"/>
          <w:sz w:val="22"/>
          <w:szCs w:val="22"/>
          <w:bdr w:val="none" w:sz="0" w:space="0" w:color="auto" w:frame="1"/>
          <w:lang w:val="es-CO"/>
        </w:rPr>
        <w:t>126.296.130</w:t>
      </w:r>
      <w:r w:rsidRPr="004B4225">
        <w:rPr>
          <w:rFonts w:ascii="Arial" w:hAnsi="Arial" w:cs="Arial"/>
          <w:color w:val="000000" w:themeColor="text1"/>
          <w:sz w:val="22"/>
          <w:szCs w:val="22"/>
          <w:bdr w:val="none" w:sz="0" w:space="0" w:color="auto" w:frame="1"/>
          <w:lang w:val="es-CO"/>
        </w:rPr>
        <w:t xml:space="preserve">, teniendo en cuenta el valor solicitado y los intereses moratorios tomando como fecha inicial un mes después de la fecha en la cual se presentó la reclamación, y, como fecha final, el día de hoy, 12 de marzo de 2023.  </w:t>
      </w:r>
    </w:p>
    <w:p w:rsidR="008E7C61" w:rsidRPr="004B4225" w:rsidRDefault="008E7C61">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p>
    <w:p w:rsidR="008E7C61" w:rsidRPr="004B4225" w:rsidRDefault="008E7C61">
      <w:pPr>
        <w:pStyle w:val="NormalWeb"/>
        <w:numPr>
          <w:ilvl w:val="0"/>
          <w:numId w:val="4"/>
        </w:numPr>
        <w:shd w:val="clear" w:color="auto" w:fill="FFFFFF"/>
        <w:spacing w:before="0" w:beforeAutospacing="0" w:after="0" w:afterAutospacing="0" w:line="360" w:lineRule="auto"/>
        <w:jc w:val="both"/>
        <w:rPr>
          <w:rFonts w:ascii="Arial" w:hAnsi="Arial" w:cs="Arial"/>
          <w:b/>
          <w:color w:val="000000" w:themeColor="text1"/>
          <w:sz w:val="22"/>
          <w:szCs w:val="22"/>
          <w:bdr w:val="none" w:sz="0" w:space="0" w:color="auto" w:frame="1"/>
          <w:lang w:val="es-CO"/>
        </w:rPr>
      </w:pPr>
      <w:r w:rsidRPr="004B4225">
        <w:rPr>
          <w:rFonts w:ascii="Arial" w:hAnsi="Arial" w:cs="Arial"/>
          <w:b/>
          <w:color w:val="000000" w:themeColor="text1"/>
          <w:sz w:val="22"/>
          <w:szCs w:val="22"/>
          <w:bdr w:val="none" w:sz="0" w:space="0" w:color="auto" w:frame="1"/>
          <w:lang w:val="es-CO"/>
        </w:rPr>
        <w:t>Propuesta conciliatoria</w:t>
      </w:r>
    </w:p>
    <w:p w:rsidR="008E7C61" w:rsidRPr="004B4225" w:rsidRDefault="008E7C61">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p>
    <w:p w:rsidR="008E7C61" w:rsidRPr="004B4225" w:rsidRDefault="008E7C61">
      <w:pPr>
        <w:pStyle w:val="NormalWeb"/>
        <w:shd w:val="clear" w:color="auto" w:fill="FFFFFF"/>
        <w:spacing w:before="0" w:beforeAutospacing="0" w:after="0" w:afterAutospacing="0" w:line="360" w:lineRule="auto"/>
        <w:jc w:val="both"/>
        <w:rPr>
          <w:rFonts w:ascii="Arial" w:hAnsi="Arial" w:cs="Arial"/>
          <w:sz w:val="22"/>
          <w:szCs w:val="22"/>
          <w:lang w:val="es-CO"/>
        </w:rPr>
      </w:pPr>
      <w:r w:rsidRPr="004B4225">
        <w:rPr>
          <w:rFonts w:ascii="Arial" w:hAnsi="Arial" w:cs="Arial"/>
          <w:color w:val="000000" w:themeColor="text1"/>
          <w:sz w:val="22"/>
          <w:szCs w:val="22"/>
          <w:bdr w:val="none" w:sz="0" w:space="0" w:color="auto" w:frame="1"/>
          <w:lang w:val="es-CO"/>
        </w:rPr>
        <w:t xml:space="preserve">En la instancia se recomienda el valor máximo del saldo insoluto de la obligación, que de acuerdo a lo relacionado en la demanda corresponde a </w:t>
      </w:r>
      <w:r w:rsidRPr="004B4225">
        <w:rPr>
          <w:rFonts w:ascii="Arial" w:hAnsi="Arial" w:cs="Arial"/>
          <w:b/>
          <w:color w:val="000000" w:themeColor="text1"/>
          <w:sz w:val="22"/>
          <w:szCs w:val="22"/>
          <w:bdr w:val="none" w:sz="0" w:space="0" w:color="auto" w:frame="1"/>
          <w:lang w:val="es-CO"/>
        </w:rPr>
        <w:t>$</w:t>
      </w:r>
      <w:r w:rsidRPr="004B4225">
        <w:rPr>
          <w:rFonts w:ascii="Arial" w:hAnsi="Arial" w:cs="Arial"/>
          <w:b/>
          <w:sz w:val="22"/>
          <w:szCs w:val="22"/>
          <w:lang w:val="es-CO"/>
        </w:rPr>
        <w:t>66.885.000</w:t>
      </w:r>
      <w:r w:rsidR="008561CB" w:rsidRPr="004B4225">
        <w:rPr>
          <w:rFonts w:ascii="Arial" w:hAnsi="Arial" w:cs="Arial"/>
          <w:b/>
          <w:sz w:val="22"/>
          <w:szCs w:val="22"/>
          <w:lang w:val="es-CO"/>
        </w:rPr>
        <w:t xml:space="preserve">. </w:t>
      </w:r>
      <w:r w:rsidR="008561CB" w:rsidRPr="004B4225">
        <w:rPr>
          <w:rFonts w:ascii="Arial" w:hAnsi="Arial" w:cs="Arial"/>
          <w:sz w:val="22"/>
          <w:szCs w:val="22"/>
          <w:lang w:val="es-CO"/>
        </w:rPr>
        <w:t xml:space="preserve">Lo cual evitaría a la Compañía el pago de intereses que a la fecha ascienden a $59.411.130 y el pago de costas procesales. </w:t>
      </w:r>
    </w:p>
    <w:p w:rsidR="00655DFE" w:rsidRPr="004B4225" w:rsidRDefault="00655DFE">
      <w:pPr>
        <w:pStyle w:val="NormalWeb"/>
        <w:shd w:val="clear" w:color="auto" w:fill="FFFFFF"/>
        <w:spacing w:before="0" w:beforeAutospacing="0" w:after="0" w:afterAutospacing="0" w:line="360" w:lineRule="auto"/>
        <w:jc w:val="both"/>
        <w:rPr>
          <w:rFonts w:ascii="Arial" w:hAnsi="Arial" w:cs="Arial"/>
          <w:sz w:val="22"/>
          <w:szCs w:val="22"/>
          <w:lang w:val="es-CO"/>
        </w:rPr>
      </w:pPr>
    </w:p>
    <w:p w:rsidR="00655DFE" w:rsidRPr="004B4225" w:rsidRDefault="00655DFE">
      <w:pPr>
        <w:pStyle w:val="NormalWeb"/>
        <w:numPr>
          <w:ilvl w:val="0"/>
          <w:numId w:val="4"/>
        </w:numPr>
        <w:shd w:val="clear" w:color="auto" w:fill="FFFFFF"/>
        <w:spacing w:before="0" w:beforeAutospacing="0" w:after="0" w:afterAutospacing="0" w:line="360" w:lineRule="auto"/>
        <w:jc w:val="both"/>
        <w:rPr>
          <w:rFonts w:ascii="Arial" w:hAnsi="Arial" w:cs="Arial"/>
          <w:b/>
          <w:color w:val="000000" w:themeColor="text1"/>
          <w:sz w:val="22"/>
          <w:szCs w:val="22"/>
          <w:bdr w:val="none" w:sz="0" w:space="0" w:color="auto" w:frame="1"/>
          <w:lang w:val="es-CO"/>
        </w:rPr>
      </w:pPr>
      <w:r w:rsidRPr="004B4225">
        <w:rPr>
          <w:rFonts w:ascii="Arial" w:hAnsi="Arial" w:cs="Arial"/>
          <w:b/>
          <w:sz w:val="22"/>
          <w:szCs w:val="22"/>
          <w:lang w:val="es-CO"/>
        </w:rPr>
        <w:t>Sobre la caución</w:t>
      </w:r>
    </w:p>
    <w:p w:rsidR="00655DFE" w:rsidRPr="004B4225" w:rsidRDefault="00655DFE">
      <w:pPr>
        <w:pStyle w:val="NormalWeb"/>
        <w:shd w:val="clear" w:color="auto" w:fill="FFFFFF"/>
        <w:spacing w:before="0" w:beforeAutospacing="0" w:after="0" w:afterAutospacing="0" w:line="360" w:lineRule="auto"/>
        <w:jc w:val="both"/>
        <w:rPr>
          <w:rFonts w:ascii="Arial" w:hAnsi="Arial" w:cs="Arial"/>
          <w:b/>
          <w:sz w:val="22"/>
          <w:szCs w:val="22"/>
          <w:lang w:val="es-CO"/>
        </w:rPr>
      </w:pPr>
    </w:p>
    <w:p w:rsidR="00655DFE" w:rsidRPr="004B4225" w:rsidRDefault="00655DFE">
      <w:pPr>
        <w:pStyle w:val="NormalWeb"/>
        <w:shd w:val="clear" w:color="auto" w:fill="FFFFFF"/>
        <w:spacing w:before="0" w:beforeAutospacing="0" w:after="0" w:afterAutospacing="0" w:line="360" w:lineRule="auto"/>
        <w:jc w:val="both"/>
        <w:rPr>
          <w:rFonts w:ascii="Arial" w:hAnsi="Arial" w:cs="Arial"/>
          <w:b/>
          <w:color w:val="000000" w:themeColor="text1"/>
          <w:sz w:val="22"/>
          <w:szCs w:val="22"/>
          <w:bdr w:val="none" w:sz="0" w:space="0" w:color="auto" w:frame="1"/>
          <w:lang w:val="es-CO"/>
        </w:rPr>
      </w:pPr>
      <w:r w:rsidRPr="004B4225">
        <w:rPr>
          <w:rFonts w:ascii="Arial" w:hAnsi="Arial" w:cs="Arial"/>
          <w:color w:val="000000"/>
          <w:sz w:val="22"/>
          <w:szCs w:val="22"/>
          <w:shd w:val="clear" w:color="auto" w:fill="FFFFFF"/>
          <w:lang w:val="es-CO"/>
        </w:rPr>
        <w:t>Consider</w:t>
      </w:r>
      <w:r w:rsidR="008561CB" w:rsidRPr="004B4225">
        <w:rPr>
          <w:rFonts w:ascii="Arial" w:hAnsi="Arial" w:cs="Arial"/>
          <w:color w:val="000000"/>
          <w:sz w:val="22"/>
          <w:szCs w:val="22"/>
          <w:shd w:val="clear" w:color="auto" w:fill="FFFFFF"/>
          <w:lang w:val="es-CO"/>
        </w:rPr>
        <w:t>amos</w:t>
      </w:r>
      <w:r w:rsidRPr="004B4225">
        <w:rPr>
          <w:rFonts w:ascii="Arial" w:hAnsi="Arial" w:cs="Arial"/>
          <w:color w:val="000000"/>
          <w:sz w:val="22"/>
          <w:szCs w:val="22"/>
          <w:shd w:val="clear" w:color="auto" w:fill="FFFFFF"/>
          <w:lang w:val="es-CO"/>
        </w:rPr>
        <w:t xml:space="preserve"> que no es necesario pagar la caución toda vez que la medida cautelar adoptada en el auto notificado por estados el día 26-02-2024 consiste en la inscripción de la demanda y no en la retención de dineros</w:t>
      </w:r>
      <w:r w:rsidR="008561CB" w:rsidRPr="004B4225">
        <w:rPr>
          <w:rFonts w:ascii="Arial" w:hAnsi="Arial" w:cs="Arial"/>
          <w:color w:val="000000"/>
          <w:sz w:val="22"/>
          <w:szCs w:val="22"/>
          <w:shd w:val="clear" w:color="auto" w:fill="FFFFFF"/>
          <w:lang w:val="es-CO"/>
        </w:rPr>
        <w:t xml:space="preserve">. Además, que el dinero que se destine para una eventual caución podría preferiblemente redirigirse a una autorización para conciliar.  No obstante, si la Compañía considera que por temas reputaciones conviene solicitar fijar caución, procederemos con lo pertinente. </w:t>
      </w:r>
    </w:p>
    <w:p w:rsidR="00900CE4" w:rsidRPr="004B4225" w:rsidRDefault="00900CE4" w:rsidP="00331C6F">
      <w:pPr>
        <w:spacing w:after="0" w:line="360" w:lineRule="auto"/>
        <w:jc w:val="both"/>
        <w:rPr>
          <w:rFonts w:ascii="Arial" w:hAnsi="Arial" w:cs="Arial"/>
          <w:b/>
          <w:lang w:val="es-CO"/>
        </w:rPr>
      </w:pPr>
    </w:p>
    <w:sectPr w:rsidR="00900CE4" w:rsidRPr="004B42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5F" w:rsidRDefault="00215A5F" w:rsidP="00E44C15">
      <w:pPr>
        <w:spacing w:after="0" w:line="240" w:lineRule="auto"/>
      </w:pPr>
      <w:r>
        <w:separator/>
      </w:r>
    </w:p>
  </w:endnote>
  <w:endnote w:type="continuationSeparator" w:id="0">
    <w:p w:rsidR="00215A5F" w:rsidRDefault="00215A5F" w:rsidP="00E4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5F" w:rsidRDefault="00215A5F" w:rsidP="00E44C15">
      <w:pPr>
        <w:spacing w:after="0" w:line="240" w:lineRule="auto"/>
      </w:pPr>
      <w:r>
        <w:separator/>
      </w:r>
    </w:p>
  </w:footnote>
  <w:footnote w:type="continuationSeparator" w:id="0">
    <w:p w:rsidR="00215A5F" w:rsidRDefault="00215A5F" w:rsidP="00E44C15">
      <w:pPr>
        <w:spacing w:after="0" w:line="240" w:lineRule="auto"/>
      </w:pPr>
      <w:r>
        <w:continuationSeparator/>
      </w:r>
    </w:p>
  </w:footnote>
  <w:footnote w:id="1">
    <w:p w:rsidR="005E428B" w:rsidRPr="00E44C15" w:rsidRDefault="005E428B" w:rsidP="005E428B">
      <w:pPr>
        <w:pStyle w:val="Textonotapie"/>
        <w:rPr>
          <w:lang w:val="es-CO"/>
        </w:rPr>
      </w:pPr>
      <w:r>
        <w:rPr>
          <w:rStyle w:val="Refdenotaalpie"/>
        </w:rPr>
        <w:footnoteRef/>
      </w:r>
      <w:r w:rsidRPr="00E44C15">
        <w:rPr>
          <w:lang w:val="es-CO"/>
        </w:rPr>
        <w:t xml:space="preserve"> T-830 de 2014, T-919 de 2014, T-393 de 2015, T-316 de 2015, T-684 de 2015, T-570 de 2015, T-058 de 2016, T-240 de 2016, T-609 de 2016, T-501 de 2016, T-670 de 2016, T-282 de 2016, T-571 de 2017, T-658 de 2017, T-027 de 2019 y T-061 de 2020.</w:t>
      </w:r>
    </w:p>
  </w:footnote>
  <w:footnote w:id="2">
    <w:p w:rsidR="005E522A" w:rsidRPr="00E44C15" w:rsidRDefault="005E522A" w:rsidP="005E522A">
      <w:pPr>
        <w:pStyle w:val="Textonotapie"/>
        <w:rPr>
          <w:lang w:val="es-CO"/>
        </w:rPr>
      </w:pPr>
      <w:r>
        <w:rPr>
          <w:rStyle w:val="Refdenotaalpie"/>
        </w:rPr>
        <w:footnoteRef/>
      </w:r>
      <w:r w:rsidRPr="00E44C15">
        <w:rPr>
          <w:lang w:val="es-CO"/>
        </w:rPr>
        <w:t xml:space="preserve"> T-533 de 1996, la T-117 de 1997 y la T-290 de 1998.</w:t>
      </w:r>
    </w:p>
  </w:footnote>
  <w:footnote w:id="3">
    <w:p w:rsidR="00174AF2" w:rsidRPr="00174AF2" w:rsidRDefault="00174AF2">
      <w:pPr>
        <w:pStyle w:val="Textonotapie"/>
        <w:rPr>
          <w:lang w:val="es-CO"/>
        </w:rPr>
      </w:pPr>
      <w:r>
        <w:rPr>
          <w:rStyle w:val="Refdenotaalpie"/>
        </w:rPr>
        <w:footnoteRef/>
      </w:r>
      <w:r w:rsidRPr="000A7340">
        <w:rPr>
          <w:lang w:val="es-CO"/>
        </w:rPr>
        <w:t xml:space="preserve"> SC3791-2021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57D"/>
    <w:multiLevelType w:val="hybridMultilevel"/>
    <w:tmpl w:val="9FCE08BC"/>
    <w:lvl w:ilvl="0" w:tplc="04A6A2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198F"/>
    <w:multiLevelType w:val="hybridMultilevel"/>
    <w:tmpl w:val="47A015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97B5C48"/>
    <w:multiLevelType w:val="hybridMultilevel"/>
    <w:tmpl w:val="9B2C9734"/>
    <w:lvl w:ilvl="0" w:tplc="081A13DE">
      <w:start w:val="5"/>
      <w:numFmt w:val="bullet"/>
      <w:lvlText w:val="-"/>
      <w:lvlJc w:val="left"/>
      <w:pPr>
        <w:ind w:left="786" w:hanging="360"/>
      </w:pPr>
      <w:rPr>
        <w:rFonts w:ascii="Arial" w:eastAsia="Times New Roman" w:hAnsi="Arial" w:cs="Aria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76F3A26"/>
    <w:multiLevelType w:val="hybridMultilevel"/>
    <w:tmpl w:val="8A3E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1C8F"/>
    <w:multiLevelType w:val="hybridMultilevel"/>
    <w:tmpl w:val="887687D8"/>
    <w:lvl w:ilvl="0" w:tplc="153E5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227B4"/>
    <w:multiLevelType w:val="hybridMultilevel"/>
    <w:tmpl w:val="21A40470"/>
    <w:lvl w:ilvl="0" w:tplc="5A96A1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64331"/>
    <w:multiLevelType w:val="hybridMultilevel"/>
    <w:tmpl w:val="58005874"/>
    <w:lvl w:ilvl="0" w:tplc="240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1D2CD0"/>
    <w:multiLevelType w:val="hybridMultilevel"/>
    <w:tmpl w:val="D1E4B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FED581B"/>
    <w:multiLevelType w:val="hybridMultilevel"/>
    <w:tmpl w:val="109ECAE6"/>
    <w:lvl w:ilvl="0" w:tplc="72A0CBE2">
      <w:start w:val="1"/>
      <w:numFmt w:val="upperRoman"/>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0"/>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4E"/>
    <w:rsid w:val="000140F0"/>
    <w:rsid w:val="00023193"/>
    <w:rsid w:val="000523E1"/>
    <w:rsid w:val="000732B8"/>
    <w:rsid w:val="000A7340"/>
    <w:rsid w:val="000F1413"/>
    <w:rsid w:val="00132AD6"/>
    <w:rsid w:val="00174AF2"/>
    <w:rsid w:val="001A4A4B"/>
    <w:rsid w:val="00215A5F"/>
    <w:rsid w:val="00331C6F"/>
    <w:rsid w:val="00390840"/>
    <w:rsid w:val="003C3A30"/>
    <w:rsid w:val="00414C98"/>
    <w:rsid w:val="004B4225"/>
    <w:rsid w:val="004B6DC4"/>
    <w:rsid w:val="00503AA7"/>
    <w:rsid w:val="005B719B"/>
    <w:rsid w:val="005E428B"/>
    <w:rsid w:val="005E522A"/>
    <w:rsid w:val="00600B42"/>
    <w:rsid w:val="00655DFE"/>
    <w:rsid w:val="006804DD"/>
    <w:rsid w:val="00766242"/>
    <w:rsid w:val="00811C4B"/>
    <w:rsid w:val="008561CB"/>
    <w:rsid w:val="008941BB"/>
    <w:rsid w:val="008E4D7F"/>
    <w:rsid w:val="008E7C61"/>
    <w:rsid w:val="00900CE4"/>
    <w:rsid w:val="0093084E"/>
    <w:rsid w:val="00A70347"/>
    <w:rsid w:val="00AE4BE7"/>
    <w:rsid w:val="00B86702"/>
    <w:rsid w:val="00C97D2E"/>
    <w:rsid w:val="00CA1B29"/>
    <w:rsid w:val="00D64FDA"/>
    <w:rsid w:val="00D76E55"/>
    <w:rsid w:val="00D9688A"/>
    <w:rsid w:val="00DC2FB3"/>
    <w:rsid w:val="00E44C15"/>
    <w:rsid w:val="00F6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7D767-D5BB-4CD2-8414-359F82C5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9308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3084E"/>
    <w:rPr>
      <w:rFonts w:ascii="Times New Roman" w:eastAsia="Times New Roman" w:hAnsi="Times New Roman" w:cs="Times New Roman"/>
      <w:b/>
      <w:bCs/>
      <w:sz w:val="27"/>
      <w:szCs w:val="27"/>
    </w:rPr>
  </w:style>
  <w:style w:type="paragraph" w:styleId="Prrafodelista">
    <w:name w:val="List Paragraph"/>
    <w:basedOn w:val="Normal"/>
    <w:uiPriority w:val="34"/>
    <w:qFormat/>
    <w:rsid w:val="0093084E"/>
    <w:pPr>
      <w:ind w:left="720"/>
      <w:contextualSpacing/>
    </w:pPr>
  </w:style>
  <w:style w:type="paragraph" w:styleId="NormalWeb">
    <w:name w:val="Normal (Web)"/>
    <w:basedOn w:val="Normal"/>
    <w:uiPriority w:val="99"/>
    <w:unhideWhenUsed/>
    <w:rsid w:val="0093084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E44C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4C15"/>
    <w:rPr>
      <w:sz w:val="20"/>
      <w:szCs w:val="20"/>
    </w:rPr>
  </w:style>
  <w:style w:type="character" w:styleId="Refdenotaalpie">
    <w:name w:val="footnote reference"/>
    <w:basedOn w:val="Fuentedeprrafopredeter"/>
    <w:uiPriority w:val="99"/>
    <w:semiHidden/>
    <w:unhideWhenUsed/>
    <w:rsid w:val="00E44C15"/>
    <w:rPr>
      <w:vertAlign w:val="superscript"/>
    </w:rPr>
  </w:style>
  <w:style w:type="paragraph" w:styleId="Textodeglobo">
    <w:name w:val="Balloon Text"/>
    <w:basedOn w:val="Normal"/>
    <w:link w:val="TextodegloboCar"/>
    <w:uiPriority w:val="99"/>
    <w:semiHidden/>
    <w:unhideWhenUsed/>
    <w:rsid w:val="00331C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364466">
      <w:bodyDiv w:val="1"/>
      <w:marLeft w:val="0"/>
      <w:marRight w:val="0"/>
      <w:marTop w:val="0"/>
      <w:marBottom w:val="0"/>
      <w:divBdr>
        <w:top w:val="none" w:sz="0" w:space="0" w:color="auto"/>
        <w:left w:val="none" w:sz="0" w:space="0" w:color="auto"/>
        <w:bottom w:val="none" w:sz="0" w:space="0" w:color="auto"/>
        <w:right w:val="none" w:sz="0" w:space="0" w:color="auto"/>
      </w:divBdr>
    </w:div>
    <w:div w:id="1028680683">
      <w:bodyDiv w:val="1"/>
      <w:marLeft w:val="0"/>
      <w:marRight w:val="0"/>
      <w:marTop w:val="0"/>
      <w:marBottom w:val="0"/>
      <w:divBdr>
        <w:top w:val="none" w:sz="0" w:space="0" w:color="auto"/>
        <w:left w:val="none" w:sz="0" w:space="0" w:color="auto"/>
        <w:bottom w:val="none" w:sz="0" w:space="0" w:color="auto"/>
        <w:right w:val="none" w:sz="0" w:space="0" w:color="auto"/>
      </w:divBdr>
    </w:div>
    <w:div w:id="10952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926AB-4FF4-405F-9535-0218B266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1541</Words>
  <Characters>8785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2024-03-12T19:57:00Z</cp:lastPrinted>
  <dcterms:created xsi:type="dcterms:W3CDTF">2024-03-12T17:08:00Z</dcterms:created>
  <dcterms:modified xsi:type="dcterms:W3CDTF">2024-03-12T20:03:00Z</dcterms:modified>
</cp:coreProperties>
</file>