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Pr="009D1D02" w:rsidRDefault="00C3016C" w:rsidP="00C3016C">
      <w:pPr>
        <w:spacing w:line="254" w:lineRule="auto"/>
        <w:jc w:val="both"/>
        <w:rPr>
          <w:rFonts w:asciiTheme="minorHAnsi" w:hAnsiTheme="minorHAnsi" w:cstheme="minorHAnsi"/>
          <w:sz w:val="20"/>
          <w:szCs w:val="20"/>
        </w:rPr>
      </w:pPr>
      <w:r w:rsidRPr="009D1D02">
        <w:rPr>
          <w:rFonts w:asciiTheme="minorHAnsi" w:hAnsiTheme="minorHAnsi" w:cstheme="minorHAnsi"/>
          <w:sz w:val="20"/>
          <w:szCs w:val="20"/>
        </w:rPr>
        <w:t> </w:t>
      </w:r>
    </w:p>
    <w:tbl>
      <w:tblPr>
        <w:tblStyle w:val="Tablaconcuadrcula"/>
        <w:tblW w:w="9983" w:type="dxa"/>
        <w:tblLook w:val="04A0" w:firstRow="1" w:lastRow="0" w:firstColumn="1" w:lastColumn="0" w:noHBand="0" w:noVBand="1"/>
      </w:tblPr>
      <w:tblGrid>
        <w:gridCol w:w="2518"/>
        <w:gridCol w:w="7465"/>
      </w:tblGrid>
      <w:tr w:rsidR="004E706E" w:rsidRPr="009D1D02" w14:paraId="680EB41E" w14:textId="77777777" w:rsidTr="3452EF96">
        <w:tc>
          <w:tcPr>
            <w:tcW w:w="9983" w:type="dxa"/>
            <w:gridSpan w:val="2"/>
            <w:shd w:val="clear" w:color="auto" w:fill="1F3864" w:themeFill="accent1" w:themeFillShade="80"/>
          </w:tcPr>
          <w:p w14:paraId="2A6B0E42" w14:textId="09A01D5F" w:rsidR="00C3016C" w:rsidRPr="009D1D02" w:rsidRDefault="00C3016C" w:rsidP="00C3016C">
            <w:pPr>
              <w:jc w:val="cente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INFORME INICIAL DEL PROCESO</w:t>
            </w:r>
          </w:p>
        </w:tc>
      </w:tr>
      <w:tr w:rsidR="004E706E" w:rsidRPr="009D1D02" w14:paraId="4BC558F4" w14:textId="77777777" w:rsidTr="3452EF96">
        <w:tc>
          <w:tcPr>
            <w:tcW w:w="2518" w:type="dxa"/>
            <w:shd w:val="clear" w:color="auto" w:fill="D9D9D9" w:themeFill="background1" w:themeFillShade="D9"/>
          </w:tcPr>
          <w:p w14:paraId="28F99CFA" w14:textId="77777777" w:rsidR="00C3016C" w:rsidRPr="009D1D02" w:rsidRDefault="00C3016C" w:rsidP="00C359FA">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Apoderado:</w:t>
            </w:r>
          </w:p>
        </w:tc>
        <w:tc>
          <w:tcPr>
            <w:tcW w:w="7465" w:type="dxa"/>
          </w:tcPr>
          <w:p w14:paraId="0B07F818" w14:textId="37A1CABC" w:rsidR="00C3016C" w:rsidRPr="009D1D02" w:rsidRDefault="0088054F" w:rsidP="00C359FA">
            <w:pPr>
              <w:jc w:val="both"/>
              <w:rPr>
                <w:rFonts w:asciiTheme="minorHAnsi" w:hAnsiTheme="minorHAnsi" w:cstheme="minorHAnsi"/>
                <w:sz w:val="20"/>
                <w:szCs w:val="20"/>
                <w:lang w:val="es-ES_tradnl"/>
              </w:rPr>
            </w:pPr>
            <w:r w:rsidRPr="009D1D02">
              <w:rPr>
                <w:rFonts w:asciiTheme="minorHAnsi" w:hAnsiTheme="minorHAnsi" w:cstheme="minorHAnsi"/>
                <w:sz w:val="20"/>
                <w:szCs w:val="20"/>
              </w:rPr>
              <w:t>Gustavo Alberto Herrera Ávila</w:t>
            </w:r>
          </w:p>
        </w:tc>
      </w:tr>
      <w:tr w:rsidR="004E706E" w:rsidRPr="009D1D02" w14:paraId="05CE423E" w14:textId="77777777" w:rsidTr="3452EF96">
        <w:tc>
          <w:tcPr>
            <w:tcW w:w="2518" w:type="dxa"/>
            <w:shd w:val="clear" w:color="auto" w:fill="D9D9D9" w:themeFill="background1" w:themeFillShade="D9"/>
          </w:tcPr>
          <w:p w14:paraId="6CF2773B" w14:textId="77777777" w:rsidR="00C3016C" w:rsidRPr="009D1D02" w:rsidRDefault="00C3016C" w:rsidP="00C359FA">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Tipo y # de Póliza:</w:t>
            </w:r>
          </w:p>
        </w:tc>
        <w:tc>
          <w:tcPr>
            <w:tcW w:w="7465" w:type="dxa"/>
          </w:tcPr>
          <w:p w14:paraId="2CD51689" w14:textId="3C1A2B0C" w:rsidR="00C3016C" w:rsidRPr="009D1D02" w:rsidRDefault="0088054F" w:rsidP="00C359FA">
            <w:pPr>
              <w:jc w:val="both"/>
              <w:rPr>
                <w:rFonts w:asciiTheme="minorHAnsi" w:hAnsiTheme="minorHAnsi" w:cstheme="minorHAnsi"/>
                <w:sz w:val="20"/>
                <w:szCs w:val="20"/>
                <w:lang w:val="es-ES_tradnl"/>
              </w:rPr>
            </w:pPr>
            <w:r w:rsidRPr="009D1D02">
              <w:rPr>
                <w:rFonts w:asciiTheme="minorHAnsi" w:hAnsiTheme="minorHAnsi" w:cstheme="minorHAnsi"/>
                <w:bCs/>
                <w:sz w:val="20"/>
                <w:szCs w:val="20"/>
              </w:rPr>
              <w:t>RCE No. 420-80-994000000054</w:t>
            </w:r>
          </w:p>
        </w:tc>
      </w:tr>
      <w:tr w:rsidR="004E706E" w:rsidRPr="009D1D02" w14:paraId="3EA02A2A" w14:textId="77777777" w:rsidTr="3452EF96">
        <w:tc>
          <w:tcPr>
            <w:tcW w:w="2518" w:type="dxa"/>
            <w:shd w:val="clear" w:color="auto" w:fill="D9D9D9" w:themeFill="background1" w:themeFillShade="D9"/>
          </w:tcPr>
          <w:p w14:paraId="54CFE80A" w14:textId="77777777" w:rsidR="00C3016C" w:rsidRPr="009D1D02" w:rsidRDefault="00C3016C" w:rsidP="00C359FA">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Amparos afectados:</w:t>
            </w:r>
          </w:p>
        </w:tc>
        <w:tc>
          <w:tcPr>
            <w:tcW w:w="7465" w:type="dxa"/>
          </w:tcPr>
          <w:p w14:paraId="4705A538" w14:textId="10310E68" w:rsidR="00C3016C" w:rsidRPr="009D1D02" w:rsidRDefault="005C5B84" w:rsidP="005C5B84">
            <w:pPr>
              <w:tabs>
                <w:tab w:val="left" w:pos="5740"/>
              </w:tabs>
              <w:jc w:val="both"/>
              <w:rPr>
                <w:rFonts w:asciiTheme="minorHAnsi" w:hAnsiTheme="minorHAnsi" w:cstheme="minorHAnsi"/>
                <w:sz w:val="20"/>
                <w:szCs w:val="20"/>
                <w:lang w:val="es-ES_tradnl"/>
              </w:rPr>
            </w:pPr>
            <w:r w:rsidRPr="009D1D02">
              <w:rPr>
                <w:rFonts w:asciiTheme="minorHAnsi" w:hAnsiTheme="minorHAnsi" w:cstheme="minorHAnsi"/>
                <w:sz w:val="20"/>
                <w:szCs w:val="20"/>
                <w:lang w:eastAsia="en-US"/>
              </w:rPr>
              <w:t>PLO: Predios Labores y Operaciones</w:t>
            </w:r>
          </w:p>
        </w:tc>
      </w:tr>
      <w:tr w:rsidR="004E706E" w:rsidRPr="009D1D02" w14:paraId="6EEEE1EE" w14:textId="77777777" w:rsidTr="3452EF96">
        <w:tc>
          <w:tcPr>
            <w:tcW w:w="2518" w:type="dxa"/>
            <w:shd w:val="clear" w:color="auto" w:fill="D9D9D9" w:themeFill="background1" w:themeFillShade="D9"/>
          </w:tcPr>
          <w:p w14:paraId="217E586A" w14:textId="77777777" w:rsidR="00C3016C" w:rsidRPr="009D1D02" w:rsidRDefault="00C3016C" w:rsidP="00C359FA">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Tomador:</w:t>
            </w:r>
          </w:p>
        </w:tc>
        <w:tc>
          <w:tcPr>
            <w:tcW w:w="7465" w:type="dxa"/>
          </w:tcPr>
          <w:p w14:paraId="0712951B" w14:textId="01DA5D17" w:rsidR="00C3016C" w:rsidRPr="009D1D02" w:rsidRDefault="0088054F" w:rsidP="00C359FA">
            <w:pPr>
              <w:jc w:val="both"/>
              <w:rPr>
                <w:rFonts w:asciiTheme="minorHAnsi" w:hAnsiTheme="minorHAnsi" w:cstheme="minorHAnsi"/>
                <w:sz w:val="20"/>
                <w:szCs w:val="20"/>
                <w:lang w:val="pt-BR"/>
              </w:rPr>
            </w:pPr>
            <w:r w:rsidRPr="009D1D02">
              <w:rPr>
                <w:rFonts w:asciiTheme="minorHAnsi" w:hAnsiTheme="minorHAnsi" w:cstheme="minorHAnsi"/>
                <w:sz w:val="20"/>
                <w:szCs w:val="20"/>
                <w:lang w:val="pt-BR"/>
              </w:rPr>
              <w:t>Distrito Especial de Santiago de Cali</w:t>
            </w:r>
          </w:p>
        </w:tc>
      </w:tr>
      <w:tr w:rsidR="004E706E" w:rsidRPr="009D1D02" w14:paraId="30CA897D" w14:textId="77777777" w:rsidTr="3452EF96">
        <w:tc>
          <w:tcPr>
            <w:tcW w:w="2518" w:type="dxa"/>
            <w:shd w:val="clear" w:color="auto" w:fill="D9D9D9" w:themeFill="background1" w:themeFillShade="D9"/>
          </w:tcPr>
          <w:p w14:paraId="5D5E5F58" w14:textId="77777777" w:rsidR="00C3016C" w:rsidRPr="009D1D02" w:rsidRDefault="00C3016C" w:rsidP="00C359FA">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Asegurado:</w:t>
            </w:r>
          </w:p>
        </w:tc>
        <w:tc>
          <w:tcPr>
            <w:tcW w:w="7465" w:type="dxa"/>
          </w:tcPr>
          <w:p w14:paraId="087CA4CA" w14:textId="7CFCD41E" w:rsidR="00C3016C" w:rsidRPr="009D1D02" w:rsidRDefault="0088054F" w:rsidP="00C359FA">
            <w:pPr>
              <w:jc w:val="both"/>
              <w:rPr>
                <w:rFonts w:asciiTheme="minorHAnsi" w:hAnsiTheme="minorHAnsi" w:cstheme="minorHAnsi"/>
                <w:sz w:val="20"/>
                <w:szCs w:val="20"/>
                <w:lang w:val="pt-BR"/>
              </w:rPr>
            </w:pPr>
            <w:r w:rsidRPr="009D1D02">
              <w:rPr>
                <w:rFonts w:asciiTheme="minorHAnsi" w:hAnsiTheme="minorHAnsi" w:cstheme="minorHAnsi"/>
                <w:sz w:val="20"/>
                <w:szCs w:val="20"/>
                <w:lang w:val="pt-BR"/>
              </w:rPr>
              <w:t>Distrito Especial de Santiago de Cali</w:t>
            </w:r>
          </w:p>
        </w:tc>
      </w:tr>
      <w:tr w:rsidR="004E706E" w:rsidRPr="009D1D02" w14:paraId="5D17C2C5" w14:textId="77777777" w:rsidTr="3452EF96">
        <w:tc>
          <w:tcPr>
            <w:tcW w:w="2518" w:type="dxa"/>
            <w:shd w:val="clear" w:color="auto" w:fill="D9D9D9" w:themeFill="background1" w:themeFillShade="D9"/>
          </w:tcPr>
          <w:p w14:paraId="65094B69" w14:textId="77777777" w:rsidR="00C3016C" w:rsidRPr="009D1D02" w:rsidRDefault="00C3016C" w:rsidP="00C359FA">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Tipo de Proceso:</w:t>
            </w:r>
          </w:p>
        </w:tc>
        <w:tc>
          <w:tcPr>
            <w:tcW w:w="7465" w:type="dxa"/>
          </w:tcPr>
          <w:p w14:paraId="309EF488" w14:textId="336BE0CE" w:rsidR="00C3016C" w:rsidRPr="009D1D02" w:rsidRDefault="0088054F" w:rsidP="00C359FA">
            <w:pPr>
              <w:jc w:val="both"/>
              <w:rPr>
                <w:rFonts w:asciiTheme="minorHAnsi" w:hAnsiTheme="minorHAnsi" w:cstheme="minorHAnsi"/>
                <w:sz w:val="20"/>
                <w:szCs w:val="20"/>
                <w:lang w:val="es-ES_tradnl"/>
              </w:rPr>
            </w:pPr>
            <w:r w:rsidRPr="009D1D02">
              <w:rPr>
                <w:rFonts w:asciiTheme="minorHAnsi" w:hAnsiTheme="minorHAnsi" w:cstheme="minorHAnsi"/>
                <w:sz w:val="20"/>
                <w:szCs w:val="20"/>
              </w:rPr>
              <w:t>Reparación directa</w:t>
            </w:r>
          </w:p>
        </w:tc>
      </w:tr>
      <w:tr w:rsidR="004E706E" w:rsidRPr="009D1D02" w14:paraId="5DB3C2DA" w14:textId="77777777" w:rsidTr="3452EF96">
        <w:tc>
          <w:tcPr>
            <w:tcW w:w="2518" w:type="dxa"/>
            <w:shd w:val="clear" w:color="auto" w:fill="D9D9D9" w:themeFill="background1" w:themeFillShade="D9"/>
          </w:tcPr>
          <w:p w14:paraId="7397F6B3"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Jurisdicción:</w:t>
            </w:r>
          </w:p>
        </w:tc>
        <w:tc>
          <w:tcPr>
            <w:tcW w:w="7465" w:type="dxa"/>
          </w:tcPr>
          <w:p w14:paraId="27E029E3" w14:textId="1ECAB3A9" w:rsidR="0088054F" w:rsidRPr="009D1D02" w:rsidRDefault="0088054F" w:rsidP="0088054F">
            <w:pPr>
              <w:jc w:val="both"/>
              <w:rPr>
                <w:rFonts w:asciiTheme="minorHAnsi" w:hAnsiTheme="minorHAnsi" w:cstheme="minorHAnsi"/>
                <w:sz w:val="20"/>
                <w:szCs w:val="20"/>
                <w:lang w:val="es-ES_tradnl"/>
              </w:rPr>
            </w:pPr>
            <w:r w:rsidRPr="009D1D02">
              <w:rPr>
                <w:rFonts w:asciiTheme="minorHAnsi" w:hAnsiTheme="minorHAnsi" w:cstheme="minorHAnsi"/>
                <w:sz w:val="20"/>
                <w:szCs w:val="20"/>
              </w:rPr>
              <w:t xml:space="preserve">Contencioso administrativo </w:t>
            </w:r>
          </w:p>
        </w:tc>
      </w:tr>
      <w:tr w:rsidR="004E706E" w:rsidRPr="009D1D02" w14:paraId="28C51AE9" w14:textId="77777777" w:rsidTr="3452EF96">
        <w:tc>
          <w:tcPr>
            <w:tcW w:w="2518" w:type="dxa"/>
            <w:shd w:val="clear" w:color="auto" w:fill="D9D9D9" w:themeFill="background1" w:themeFillShade="D9"/>
          </w:tcPr>
          <w:p w14:paraId="544719C8"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Despacho:</w:t>
            </w:r>
          </w:p>
        </w:tc>
        <w:tc>
          <w:tcPr>
            <w:tcW w:w="7465" w:type="dxa"/>
          </w:tcPr>
          <w:p w14:paraId="46B4FFC6" w14:textId="0CF6D3A7" w:rsidR="0088054F" w:rsidRPr="009D1D02" w:rsidRDefault="004138F4" w:rsidP="004138F4">
            <w:pPr>
              <w:jc w:val="both"/>
              <w:rPr>
                <w:rFonts w:asciiTheme="minorHAnsi" w:hAnsiTheme="minorHAnsi" w:cstheme="minorHAnsi"/>
                <w:sz w:val="20"/>
                <w:szCs w:val="20"/>
                <w:lang w:val="es-ES_tradnl"/>
              </w:rPr>
            </w:pPr>
            <w:r w:rsidRPr="009D1D02">
              <w:rPr>
                <w:rFonts w:asciiTheme="minorHAnsi" w:hAnsiTheme="minorHAnsi" w:cstheme="minorHAnsi"/>
                <w:sz w:val="20"/>
                <w:szCs w:val="20"/>
              </w:rPr>
              <w:t>Juzgado diecisiete (17) administrativo del circuito de Cali</w:t>
            </w:r>
          </w:p>
        </w:tc>
      </w:tr>
      <w:tr w:rsidR="004E706E" w:rsidRPr="009D1D02" w14:paraId="1E19F9F0" w14:textId="77777777" w:rsidTr="3452EF96">
        <w:tc>
          <w:tcPr>
            <w:tcW w:w="2518" w:type="dxa"/>
            <w:shd w:val="clear" w:color="auto" w:fill="D9D9D9" w:themeFill="background1" w:themeFillShade="D9"/>
          </w:tcPr>
          <w:p w14:paraId="2CA6172A"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Ciudad:</w:t>
            </w:r>
          </w:p>
        </w:tc>
        <w:tc>
          <w:tcPr>
            <w:tcW w:w="7465" w:type="dxa"/>
          </w:tcPr>
          <w:p w14:paraId="7AD37AC6" w14:textId="2C2554A3" w:rsidR="0088054F" w:rsidRPr="009D1D02" w:rsidRDefault="004138F4" w:rsidP="0088054F">
            <w:pPr>
              <w:jc w:val="both"/>
              <w:rPr>
                <w:rFonts w:asciiTheme="minorHAnsi" w:hAnsiTheme="minorHAnsi" w:cstheme="minorHAnsi"/>
                <w:sz w:val="20"/>
                <w:szCs w:val="20"/>
                <w:lang w:val="es-ES_tradnl"/>
              </w:rPr>
            </w:pPr>
            <w:r w:rsidRPr="009D1D02">
              <w:rPr>
                <w:rFonts w:asciiTheme="minorHAnsi" w:hAnsiTheme="minorHAnsi" w:cstheme="minorHAnsi"/>
                <w:sz w:val="20"/>
                <w:szCs w:val="20"/>
                <w:lang w:val="es-ES_tradnl"/>
              </w:rPr>
              <w:t>Cali</w:t>
            </w:r>
          </w:p>
        </w:tc>
      </w:tr>
      <w:tr w:rsidR="004E706E" w:rsidRPr="009D1D02" w14:paraId="7ED4A0CC" w14:textId="77777777" w:rsidTr="3452EF96">
        <w:tc>
          <w:tcPr>
            <w:tcW w:w="2518" w:type="dxa"/>
            <w:shd w:val="clear" w:color="auto" w:fill="D9D9D9" w:themeFill="background1" w:themeFillShade="D9"/>
          </w:tcPr>
          <w:p w14:paraId="65963757"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Radicado (23 dígitos):</w:t>
            </w:r>
          </w:p>
        </w:tc>
        <w:tc>
          <w:tcPr>
            <w:tcW w:w="7465" w:type="dxa"/>
          </w:tcPr>
          <w:p w14:paraId="4ED5E590" w14:textId="6E913191" w:rsidR="0088054F" w:rsidRPr="009D1D02" w:rsidRDefault="004138F4" w:rsidP="0088054F">
            <w:pPr>
              <w:jc w:val="both"/>
              <w:rPr>
                <w:rFonts w:asciiTheme="minorHAnsi" w:hAnsiTheme="minorHAnsi" w:cstheme="minorHAnsi"/>
                <w:sz w:val="20"/>
                <w:szCs w:val="20"/>
                <w:lang w:val="es-ES_tradnl"/>
              </w:rPr>
            </w:pPr>
            <w:r w:rsidRPr="009D1D02">
              <w:rPr>
                <w:rFonts w:asciiTheme="minorHAnsi" w:hAnsiTheme="minorHAnsi" w:cstheme="minorHAnsi"/>
                <w:bCs/>
                <w:sz w:val="20"/>
                <w:szCs w:val="20"/>
              </w:rPr>
              <w:t>76001-33-33-017-2020-00012-00</w:t>
            </w:r>
          </w:p>
        </w:tc>
      </w:tr>
      <w:tr w:rsidR="004E706E" w:rsidRPr="009D1D02" w14:paraId="365EB3D3" w14:textId="77777777" w:rsidTr="3452EF96">
        <w:tc>
          <w:tcPr>
            <w:tcW w:w="2518" w:type="dxa"/>
            <w:shd w:val="clear" w:color="auto" w:fill="D9D9D9" w:themeFill="background1" w:themeFillShade="D9"/>
          </w:tcPr>
          <w:p w14:paraId="3E29A9FF"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Demandantes:</w:t>
            </w:r>
          </w:p>
        </w:tc>
        <w:tc>
          <w:tcPr>
            <w:tcW w:w="7465" w:type="dxa"/>
          </w:tcPr>
          <w:p w14:paraId="2BED9E87"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Mayerlin Cristina Salazar Jacome (víctima)</w:t>
            </w:r>
          </w:p>
          <w:p w14:paraId="55E763A7"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Mayerlin Johana Jiménez Salazar (hija)</w:t>
            </w:r>
          </w:p>
          <w:p w14:paraId="28E6E9DE"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Luisa Fernanda Zapata (hija)</w:t>
            </w:r>
          </w:p>
          <w:p w14:paraId="3DA6A837"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 xml:space="preserve">Piedad Jacome Erazo (madre) </w:t>
            </w:r>
          </w:p>
          <w:p w14:paraId="3D901328"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 xml:space="preserve">Mac </w:t>
            </w:r>
            <w:proofErr w:type="spellStart"/>
            <w:r w:rsidRPr="009D1D02">
              <w:rPr>
                <w:rFonts w:asciiTheme="minorHAnsi" w:hAnsiTheme="minorHAnsi" w:cstheme="minorHAnsi"/>
                <w:bCs/>
                <w:sz w:val="20"/>
                <w:szCs w:val="20"/>
              </w:rPr>
              <w:t>Josser</w:t>
            </w:r>
            <w:proofErr w:type="spellEnd"/>
            <w:r w:rsidRPr="009D1D02">
              <w:rPr>
                <w:rFonts w:asciiTheme="minorHAnsi" w:hAnsiTheme="minorHAnsi" w:cstheme="minorHAnsi"/>
                <w:bCs/>
                <w:sz w:val="20"/>
                <w:szCs w:val="20"/>
              </w:rPr>
              <w:t xml:space="preserve"> Perlaza </w:t>
            </w:r>
            <w:proofErr w:type="spellStart"/>
            <w:r w:rsidRPr="009D1D02">
              <w:rPr>
                <w:rFonts w:asciiTheme="minorHAnsi" w:hAnsiTheme="minorHAnsi" w:cstheme="minorHAnsi"/>
                <w:bCs/>
                <w:sz w:val="20"/>
                <w:szCs w:val="20"/>
              </w:rPr>
              <w:t>Jacome</w:t>
            </w:r>
            <w:proofErr w:type="spellEnd"/>
            <w:r w:rsidRPr="009D1D02">
              <w:rPr>
                <w:rFonts w:asciiTheme="minorHAnsi" w:hAnsiTheme="minorHAnsi" w:cstheme="minorHAnsi"/>
                <w:bCs/>
                <w:sz w:val="20"/>
                <w:szCs w:val="20"/>
              </w:rPr>
              <w:t xml:space="preserve"> (hermano) </w:t>
            </w:r>
          </w:p>
          <w:p w14:paraId="5B3BC2D1"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Laura Perlaza (sobrina)</w:t>
            </w:r>
          </w:p>
          <w:p w14:paraId="1EADAB3D"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 xml:space="preserve">Gabriela Perlaza (sobrina) </w:t>
            </w:r>
          </w:p>
          <w:p w14:paraId="078EF870"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 xml:space="preserve">Julián David Perlaza (sobrino) </w:t>
            </w:r>
          </w:p>
          <w:p w14:paraId="12DD99C9"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 xml:space="preserve">Jessica Michell Perlaza (sobrina) </w:t>
            </w:r>
          </w:p>
          <w:p w14:paraId="5F6B6717" w14:textId="77777777" w:rsidR="0088054F" w:rsidRPr="009D1D02" w:rsidRDefault="0088054F" w:rsidP="0088054F">
            <w:pPr>
              <w:jc w:val="both"/>
              <w:rPr>
                <w:rFonts w:asciiTheme="minorHAnsi" w:hAnsiTheme="minorHAnsi" w:cstheme="minorHAnsi"/>
                <w:sz w:val="20"/>
                <w:szCs w:val="20"/>
                <w:lang w:val="es-ES_tradnl"/>
              </w:rPr>
            </w:pPr>
          </w:p>
        </w:tc>
      </w:tr>
      <w:tr w:rsidR="004E706E" w:rsidRPr="009D1D02" w14:paraId="26F1C674" w14:textId="77777777" w:rsidTr="3452EF96">
        <w:tc>
          <w:tcPr>
            <w:tcW w:w="2518" w:type="dxa"/>
            <w:shd w:val="clear" w:color="auto" w:fill="D9D9D9" w:themeFill="background1" w:themeFillShade="D9"/>
          </w:tcPr>
          <w:p w14:paraId="6A2570A7"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Demandados:</w:t>
            </w:r>
          </w:p>
        </w:tc>
        <w:tc>
          <w:tcPr>
            <w:tcW w:w="7465" w:type="dxa"/>
          </w:tcPr>
          <w:p w14:paraId="28C732F8" w14:textId="77777777" w:rsidR="004138F4" w:rsidRPr="009D1D02" w:rsidRDefault="004138F4" w:rsidP="004138F4">
            <w:pPr>
              <w:jc w:val="both"/>
              <w:rPr>
                <w:rFonts w:asciiTheme="minorHAnsi" w:hAnsiTheme="minorHAnsi" w:cstheme="minorHAnsi"/>
                <w:b/>
                <w:sz w:val="20"/>
                <w:szCs w:val="20"/>
                <w:lang w:val="pt-BR"/>
              </w:rPr>
            </w:pPr>
            <w:r w:rsidRPr="009D1D02">
              <w:rPr>
                <w:rFonts w:asciiTheme="minorHAnsi" w:hAnsiTheme="minorHAnsi" w:cstheme="minorHAnsi"/>
                <w:b/>
                <w:sz w:val="20"/>
                <w:szCs w:val="20"/>
                <w:lang w:val="pt-BR"/>
              </w:rPr>
              <w:t xml:space="preserve">Demandado: </w:t>
            </w:r>
          </w:p>
          <w:p w14:paraId="7CFB1D25" w14:textId="77777777" w:rsidR="004138F4" w:rsidRPr="009D1D02" w:rsidRDefault="004138F4" w:rsidP="004138F4">
            <w:pPr>
              <w:jc w:val="both"/>
              <w:rPr>
                <w:rFonts w:asciiTheme="minorHAnsi" w:hAnsiTheme="minorHAnsi" w:cstheme="minorHAnsi"/>
                <w:bCs/>
                <w:sz w:val="20"/>
                <w:szCs w:val="20"/>
                <w:lang w:val="pt-BR"/>
              </w:rPr>
            </w:pPr>
            <w:r w:rsidRPr="009D1D02">
              <w:rPr>
                <w:rFonts w:asciiTheme="minorHAnsi" w:hAnsiTheme="minorHAnsi" w:cstheme="minorHAnsi"/>
                <w:bCs/>
                <w:sz w:val="20"/>
                <w:szCs w:val="20"/>
                <w:lang w:val="pt-BR"/>
              </w:rPr>
              <w:t>Distrito Especial de Santiago de Cali</w:t>
            </w:r>
          </w:p>
          <w:p w14:paraId="489A1877" w14:textId="77777777" w:rsidR="004138F4" w:rsidRPr="009D1D02" w:rsidRDefault="004138F4" w:rsidP="004138F4">
            <w:pPr>
              <w:jc w:val="both"/>
              <w:rPr>
                <w:rFonts w:asciiTheme="minorHAnsi" w:hAnsiTheme="minorHAnsi" w:cstheme="minorHAnsi"/>
                <w:bCs/>
                <w:sz w:val="20"/>
                <w:szCs w:val="20"/>
                <w:lang w:val="pt-BR"/>
              </w:rPr>
            </w:pPr>
          </w:p>
          <w:p w14:paraId="5AA9692B" w14:textId="77777777" w:rsidR="004138F4" w:rsidRPr="009D1D02" w:rsidRDefault="004138F4" w:rsidP="004138F4">
            <w:pPr>
              <w:jc w:val="both"/>
              <w:rPr>
                <w:rFonts w:asciiTheme="minorHAnsi" w:hAnsiTheme="minorHAnsi" w:cstheme="minorHAnsi"/>
                <w:b/>
                <w:sz w:val="20"/>
                <w:szCs w:val="20"/>
              </w:rPr>
            </w:pPr>
            <w:r w:rsidRPr="009D1D02">
              <w:rPr>
                <w:rFonts w:asciiTheme="minorHAnsi" w:hAnsiTheme="minorHAnsi" w:cstheme="minorHAnsi"/>
                <w:b/>
                <w:sz w:val="20"/>
                <w:szCs w:val="20"/>
              </w:rPr>
              <w:t xml:space="preserve">Llamados en garantía: </w:t>
            </w:r>
          </w:p>
          <w:p w14:paraId="30346B97" w14:textId="77777777" w:rsidR="004138F4" w:rsidRPr="009D1D02" w:rsidRDefault="004138F4" w:rsidP="004138F4">
            <w:pPr>
              <w:jc w:val="both"/>
              <w:rPr>
                <w:rFonts w:asciiTheme="minorHAnsi" w:hAnsiTheme="minorHAnsi" w:cstheme="minorHAnsi"/>
                <w:bCs/>
                <w:sz w:val="20"/>
                <w:szCs w:val="20"/>
              </w:rPr>
            </w:pPr>
          </w:p>
          <w:p w14:paraId="661058F1"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 xml:space="preserve">Aseguradora Solidaria </w:t>
            </w:r>
          </w:p>
          <w:p w14:paraId="1C3114A2"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 xml:space="preserve">CHUBB Seguros Colombia </w:t>
            </w:r>
          </w:p>
          <w:p w14:paraId="21F140BA" w14:textId="77777777" w:rsidR="004138F4" w:rsidRPr="009D1D02" w:rsidRDefault="004138F4" w:rsidP="004138F4">
            <w:pPr>
              <w:jc w:val="both"/>
              <w:rPr>
                <w:rFonts w:asciiTheme="minorHAnsi" w:hAnsiTheme="minorHAnsi" w:cstheme="minorHAnsi"/>
                <w:b/>
                <w:sz w:val="20"/>
                <w:szCs w:val="20"/>
              </w:rPr>
            </w:pPr>
            <w:r w:rsidRPr="009D1D02">
              <w:rPr>
                <w:rFonts w:asciiTheme="minorHAnsi" w:hAnsiTheme="minorHAnsi" w:cstheme="minorHAnsi"/>
                <w:bCs/>
                <w:sz w:val="20"/>
                <w:szCs w:val="20"/>
              </w:rPr>
              <w:t xml:space="preserve">SBS Seguros Colombia </w:t>
            </w:r>
          </w:p>
          <w:p w14:paraId="3F4CEA0D" w14:textId="77777777" w:rsidR="004138F4" w:rsidRPr="009D1D02" w:rsidRDefault="004138F4" w:rsidP="004138F4">
            <w:pPr>
              <w:jc w:val="both"/>
              <w:rPr>
                <w:rFonts w:asciiTheme="minorHAnsi" w:hAnsiTheme="minorHAnsi" w:cstheme="minorHAnsi"/>
                <w:bCs/>
                <w:sz w:val="20"/>
                <w:szCs w:val="20"/>
              </w:rPr>
            </w:pPr>
            <w:r w:rsidRPr="009D1D02">
              <w:rPr>
                <w:rFonts w:asciiTheme="minorHAnsi" w:hAnsiTheme="minorHAnsi" w:cstheme="minorHAnsi"/>
                <w:bCs/>
                <w:sz w:val="20"/>
                <w:szCs w:val="20"/>
              </w:rPr>
              <w:t>HDI Seguros</w:t>
            </w:r>
          </w:p>
          <w:p w14:paraId="395FB00D" w14:textId="77777777" w:rsidR="0088054F" w:rsidRPr="009D1D02" w:rsidRDefault="0088054F" w:rsidP="0088054F">
            <w:pPr>
              <w:jc w:val="both"/>
              <w:rPr>
                <w:rFonts w:asciiTheme="minorHAnsi" w:hAnsiTheme="minorHAnsi" w:cstheme="minorHAnsi"/>
                <w:sz w:val="20"/>
                <w:szCs w:val="20"/>
                <w:lang w:val="es-ES_tradnl"/>
              </w:rPr>
            </w:pPr>
          </w:p>
        </w:tc>
      </w:tr>
      <w:tr w:rsidR="004E706E" w:rsidRPr="009D1D02" w14:paraId="737C3CF7" w14:textId="77777777" w:rsidTr="3452EF96">
        <w:tc>
          <w:tcPr>
            <w:tcW w:w="2518" w:type="dxa"/>
            <w:shd w:val="clear" w:color="auto" w:fill="D9D9D9" w:themeFill="background1" w:themeFillShade="D9"/>
          </w:tcPr>
          <w:p w14:paraId="245720EA" w14:textId="0EE18B14" w:rsidR="0088054F" w:rsidRPr="009D1D02" w:rsidRDefault="0088054F" w:rsidP="0088054F">
            <w:pPr>
              <w:rPr>
                <w:rFonts w:asciiTheme="minorHAnsi" w:hAnsiTheme="minorHAnsi" w:cstheme="minorHAnsi"/>
                <w:b/>
                <w:bCs/>
                <w:sz w:val="20"/>
                <w:szCs w:val="20"/>
                <w:lang w:val="es-ES"/>
              </w:rPr>
            </w:pPr>
            <w:r w:rsidRPr="009D1D02">
              <w:rPr>
                <w:rFonts w:asciiTheme="minorHAnsi" w:hAnsiTheme="minorHAnsi" w:cstheme="minorHAnsi"/>
                <w:b/>
                <w:bCs/>
                <w:sz w:val="20"/>
                <w:szCs w:val="20"/>
                <w:lang w:val="es-ES"/>
              </w:rPr>
              <w:t>Tipo de vinculación de HDI (directa, llamamiento en garantía, litisconsorte):</w:t>
            </w:r>
          </w:p>
        </w:tc>
        <w:tc>
          <w:tcPr>
            <w:tcW w:w="7465" w:type="dxa"/>
          </w:tcPr>
          <w:p w14:paraId="3D968381" w14:textId="77777777" w:rsidR="0088054F" w:rsidRPr="009D1D02" w:rsidRDefault="0088054F" w:rsidP="0088054F">
            <w:pPr>
              <w:jc w:val="both"/>
              <w:rPr>
                <w:rFonts w:asciiTheme="minorHAnsi" w:hAnsiTheme="minorHAnsi" w:cstheme="minorHAnsi"/>
                <w:sz w:val="20"/>
                <w:szCs w:val="20"/>
                <w:lang w:val="es-ES_tradnl"/>
              </w:rPr>
            </w:pPr>
          </w:p>
          <w:p w14:paraId="523FC52D" w14:textId="21272AE2" w:rsidR="0088054F" w:rsidRPr="009D1D02" w:rsidRDefault="004138F4" w:rsidP="005C5B84">
            <w:pPr>
              <w:rPr>
                <w:rFonts w:asciiTheme="minorHAnsi" w:hAnsiTheme="minorHAnsi" w:cstheme="minorHAnsi"/>
                <w:sz w:val="20"/>
                <w:szCs w:val="20"/>
                <w:lang w:val="es-ES_tradnl"/>
              </w:rPr>
            </w:pPr>
            <w:r w:rsidRPr="009D1D02">
              <w:rPr>
                <w:rFonts w:asciiTheme="minorHAnsi" w:hAnsiTheme="minorHAnsi" w:cstheme="minorHAnsi"/>
                <w:sz w:val="20"/>
                <w:szCs w:val="20"/>
                <w:lang w:val="es-ES_tradnl"/>
              </w:rPr>
              <w:t xml:space="preserve">Llamamiento en garantía </w:t>
            </w:r>
          </w:p>
        </w:tc>
      </w:tr>
      <w:tr w:rsidR="004E706E" w:rsidRPr="009D1D02" w14:paraId="310FFED0" w14:textId="77777777" w:rsidTr="3452EF96">
        <w:tc>
          <w:tcPr>
            <w:tcW w:w="2518" w:type="dxa"/>
            <w:shd w:val="clear" w:color="auto" w:fill="D9D9D9" w:themeFill="background1" w:themeFillShade="D9"/>
          </w:tcPr>
          <w:p w14:paraId="003BC5F9"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Resumen de los hechos:</w:t>
            </w:r>
          </w:p>
        </w:tc>
        <w:tc>
          <w:tcPr>
            <w:tcW w:w="7465" w:type="dxa"/>
          </w:tcPr>
          <w:p w14:paraId="5138FFEB" w14:textId="77777777" w:rsidR="005C5B84" w:rsidRPr="009D1D02" w:rsidRDefault="005C5B84" w:rsidP="005C5B84">
            <w:pPr>
              <w:jc w:val="both"/>
              <w:textAlignment w:val="baseline"/>
              <w:rPr>
                <w:rFonts w:asciiTheme="minorHAnsi" w:eastAsia="Times New Roman" w:hAnsiTheme="minorHAnsi" w:cstheme="minorHAnsi"/>
                <w:sz w:val="20"/>
                <w:szCs w:val="20"/>
              </w:rPr>
            </w:pPr>
            <w:r w:rsidRPr="009D1D02">
              <w:rPr>
                <w:rFonts w:asciiTheme="minorHAnsi" w:eastAsia="Times New Roman" w:hAnsiTheme="minorHAnsi" w:cstheme="minorHAnsi"/>
                <w:sz w:val="20"/>
                <w:szCs w:val="20"/>
              </w:rPr>
              <w:t xml:space="preserve">El 18 de agosto de 2018, la señora Mayerlin Cristina Jacome, sufrió un accidente de tránsito mientras conducía su motocicleta, alegando como causa de la pérdida de control de su vehículo, la existencia de huecos y/o irregularidades sobre la vía. </w:t>
            </w:r>
          </w:p>
          <w:p w14:paraId="12BECA18" w14:textId="77777777" w:rsidR="005C5B84" w:rsidRPr="009D1D02" w:rsidRDefault="005C5B84" w:rsidP="005C5B84">
            <w:pPr>
              <w:jc w:val="both"/>
              <w:textAlignment w:val="baseline"/>
              <w:rPr>
                <w:rFonts w:asciiTheme="minorHAnsi" w:eastAsia="Times New Roman" w:hAnsiTheme="minorHAnsi" w:cstheme="minorHAnsi"/>
                <w:sz w:val="20"/>
                <w:szCs w:val="20"/>
              </w:rPr>
            </w:pPr>
          </w:p>
          <w:p w14:paraId="3C5BA787" w14:textId="77777777" w:rsidR="005C5B84" w:rsidRPr="009D1D02" w:rsidRDefault="005C5B84" w:rsidP="005C5B84">
            <w:pPr>
              <w:jc w:val="both"/>
              <w:textAlignment w:val="baseline"/>
              <w:rPr>
                <w:rFonts w:asciiTheme="minorHAnsi" w:eastAsia="Times New Roman" w:hAnsiTheme="minorHAnsi" w:cstheme="minorHAnsi"/>
                <w:sz w:val="20"/>
                <w:szCs w:val="20"/>
              </w:rPr>
            </w:pPr>
            <w:r w:rsidRPr="009D1D02">
              <w:rPr>
                <w:rFonts w:asciiTheme="minorHAnsi" w:eastAsia="Times New Roman" w:hAnsiTheme="minorHAnsi" w:cstheme="minorHAnsi"/>
                <w:sz w:val="20"/>
                <w:szCs w:val="20"/>
              </w:rPr>
              <w:t xml:space="preserve">Sobre el anterior accidente no se levantó Informe Policial (IPAT). </w:t>
            </w:r>
          </w:p>
          <w:p w14:paraId="2336B159" w14:textId="77777777" w:rsidR="005C5B84" w:rsidRPr="009D1D02" w:rsidRDefault="005C5B84" w:rsidP="005C5B84">
            <w:pPr>
              <w:textAlignment w:val="baseline"/>
              <w:rPr>
                <w:rFonts w:asciiTheme="minorHAnsi" w:eastAsia="Times New Roman" w:hAnsiTheme="minorHAnsi" w:cstheme="minorHAnsi"/>
                <w:sz w:val="20"/>
                <w:szCs w:val="20"/>
              </w:rPr>
            </w:pPr>
          </w:p>
          <w:p w14:paraId="043E6BDE" w14:textId="25468B02" w:rsidR="005C5B84" w:rsidRPr="009D1D02" w:rsidRDefault="005C5B84" w:rsidP="005C5B84">
            <w:pPr>
              <w:textAlignment w:val="baseline"/>
              <w:rPr>
                <w:rFonts w:asciiTheme="minorHAnsi" w:eastAsia="Times New Roman" w:hAnsiTheme="minorHAnsi" w:cstheme="minorHAnsi"/>
                <w:sz w:val="20"/>
                <w:szCs w:val="20"/>
              </w:rPr>
            </w:pPr>
            <w:r w:rsidRPr="009D1D02">
              <w:rPr>
                <w:rFonts w:asciiTheme="minorHAnsi" w:eastAsia="Times New Roman" w:hAnsiTheme="minorHAnsi" w:cstheme="minorHAnsi"/>
                <w:sz w:val="20"/>
                <w:szCs w:val="20"/>
              </w:rPr>
              <w:t xml:space="preserve">Consecuencia del accidente se le diagnosticó fractura de la diáfisis de la tibia derecha y fractura de peroné derecho.  Determinándose un porcentaje de pérdida de capacidad laboral del 15,88% mediante dictamen emitido por la Junta Regional de Calificación de Invalidez del Valle. </w:t>
            </w:r>
          </w:p>
          <w:p w14:paraId="102686D9" w14:textId="77777777" w:rsidR="0088054F" w:rsidRPr="009D1D02" w:rsidRDefault="0088054F" w:rsidP="0088054F">
            <w:pPr>
              <w:pStyle w:val="Prrafodelista"/>
              <w:jc w:val="both"/>
              <w:rPr>
                <w:rFonts w:asciiTheme="minorHAnsi" w:hAnsiTheme="minorHAnsi" w:cstheme="minorHAnsi"/>
                <w:sz w:val="20"/>
                <w:szCs w:val="20"/>
                <w:lang w:val="es-CO"/>
              </w:rPr>
            </w:pPr>
          </w:p>
        </w:tc>
      </w:tr>
      <w:tr w:rsidR="004E706E" w:rsidRPr="009D1D02" w14:paraId="0E406DF4" w14:textId="77777777" w:rsidTr="3452EF96">
        <w:tc>
          <w:tcPr>
            <w:tcW w:w="2518" w:type="dxa"/>
            <w:shd w:val="clear" w:color="auto" w:fill="D9D9D9" w:themeFill="background1" w:themeFillShade="D9"/>
          </w:tcPr>
          <w:p w14:paraId="4DAF3A73"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Descripción de las pretensiones:</w:t>
            </w:r>
          </w:p>
        </w:tc>
        <w:tc>
          <w:tcPr>
            <w:tcW w:w="7465" w:type="dxa"/>
          </w:tcPr>
          <w:p w14:paraId="44AED345" w14:textId="77777777" w:rsidR="005C5B84" w:rsidRPr="009D1D02" w:rsidRDefault="005C5B84" w:rsidP="005C5B84">
            <w:pPr>
              <w:jc w:val="both"/>
              <w:rPr>
                <w:rFonts w:asciiTheme="minorHAnsi" w:hAnsiTheme="minorHAnsi" w:cstheme="minorHAnsi"/>
                <w:bCs/>
                <w:sz w:val="20"/>
                <w:szCs w:val="20"/>
              </w:rPr>
            </w:pPr>
            <w:r w:rsidRPr="009D1D02">
              <w:rPr>
                <w:rFonts w:asciiTheme="minorHAnsi" w:hAnsiTheme="minorHAnsi" w:cstheme="minorHAnsi"/>
                <w:b/>
                <w:sz w:val="20"/>
                <w:szCs w:val="20"/>
              </w:rPr>
              <w:t xml:space="preserve">Daño moral: </w:t>
            </w:r>
            <w:r w:rsidRPr="009D1D02">
              <w:rPr>
                <w:rFonts w:asciiTheme="minorHAnsi" w:hAnsiTheme="minorHAnsi" w:cstheme="minorHAnsi"/>
                <w:bCs/>
                <w:sz w:val="20"/>
                <w:szCs w:val="20"/>
              </w:rPr>
              <w:t xml:space="preserve"> 110 SMLMV</w:t>
            </w:r>
          </w:p>
          <w:p w14:paraId="01EBE672" w14:textId="77777777" w:rsidR="005C5B84" w:rsidRPr="009D1D02" w:rsidRDefault="005C5B84" w:rsidP="005C5B84">
            <w:pPr>
              <w:jc w:val="both"/>
              <w:rPr>
                <w:rFonts w:asciiTheme="minorHAnsi" w:hAnsiTheme="minorHAnsi" w:cstheme="minorHAnsi"/>
                <w:bCs/>
                <w:sz w:val="20"/>
                <w:szCs w:val="20"/>
              </w:rPr>
            </w:pPr>
          </w:p>
          <w:p w14:paraId="51F457DD" w14:textId="77777777" w:rsidR="005C5B84" w:rsidRPr="009D1D02" w:rsidRDefault="005C5B84" w:rsidP="005C5B84">
            <w:pPr>
              <w:jc w:val="both"/>
              <w:rPr>
                <w:rFonts w:asciiTheme="minorHAnsi" w:hAnsiTheme="minorHAnsi" w:cstheme="minorHAnsi"/>
                <w:bCs/>
                <w:sz w:val="20"/>
                <w:szCs w:val="20"/>
              </w:rPr>
            </w:pPr>
            <w:r w:rsidRPr="009D1D02">
              <w:rPr>
                <w:rFonts w:asciiTheme="minorHAnsi" w:hAnsiTheme="minorHAnsi" w:cstheme="minorHAnsi"/>
                <w:b/>
                <w:sz w:val="20"/>
                <w:szCs w:val="20"/>
              </w:rPr>
              <w:t>Daño a la salud:</w:t>
            </w:r>
            <w:r w:rsidRPr="009D1D02">
              <w:rPr>
                <w:rFonts w:asciiTheme="minorHAnsi" w:hAnsiTheme="minorHAnsi" w:cstheme="minorHAnsi"/>
                <w:bCs/>
                <w:sz w:val="20"/>
                <w:szCs w:val="20"/>
              </w:rPr>
              <w:t xml:space="preserve"> 20 SMLMV</w:t>
            </w:r>
          </w:p>
          <w:p w14:paraId="25DB98D3" w14:textId="77777777" w:rsidR="005C5B84" w:rsidRPr="009D1D02" w:rsidRDefault="005C5B84" w:rsidP="005C5B84">
            <w:pPr>
              <w:jc w:val="both"/>
              <w:rPr>
                <w:rFonts w:asciiTheme="minorHAnsi" w:hAnsiTheme="minorHAnsi" w:cstheme="minorHAnsi"/>
                <w:bCs/>
                <w:sz w:val="20"/>
                <w:szCs w:val="20"/>
              </w:rPr>
            </w:pPr>
          </w:p>
          <w:p w14:paraId="74829178" w14:textId="77777777" w:rsidR="005C5B84" w:rsidRPr="009D1D02" w:rsidRDefault="005C5B84" w:rsidP="005C5B84">
            <w:pPr>
              <w:jc w:val="both"/>
              <w:rPr>
                <w:rFonts w:asciiTheme="minorHAnsi" w:hAnsiTheme="minorHAnsi" w:cstheme="minorHAnsi"/>
                <w:bCs/>
                <w:sz w:val="20"/>
                <w:szCs w:val="20"/>
              </w:rPr>
            </w:pPr>
            <w:r w:rsidRPr="009D1D02">
              <w:rPr>
                <w:rFonts w:asciiTheme="minorHAnsi" w:hAnsiTheme="minorHAnsi" w:cstheme="minorHAnsi"/>
                <w:b/>
                <w:sz w:val="20"/>
                <w:szCs w:val="20"/>
              </w:rPr>
              <w:t>Afectación a derechos constitucionales:</w:t>
            </w:r>
            <w:r w:rsidRPr="009D1D02">
              <w:rPr>
                <w:rFonts w:asciiTheme="minorHAnsi" w:hAnsiTheme="minorHAnsi" w:cstheme="minorHAnsi"/>
                <w:bCs/>
                <w:sz w:val="20"/>
                <w:szCs w:val="20"/>
              </w:rPr>
              <w:t xml:space="preserve"> 20 SMLMV</w:t>
            </w:r>
          </w:p>
          <w:p w14:paraId="501398FC" w14:textId="77777777" w:rsidR="005C5B84" w:rsidRPr="009D1D02" w:rsidRDefault="005C5B84" w:rsidP="005C5B84">
            <w:pPr>
              <w:jc w:val="both"/>
              <w:rPr>
                <w:rFonts w:asciiTheme="minorHAnsi" w:hAnsiTheme="minorHAnsi" w:cstheme="minorHAnsi"/>
                <w:bCs/>
                <w:sz w:val="20"/>
                <w:szCs w:val="20"/>
              </w:rPr>
            </w:pPr>
          </w:p>
          <w:p w14:paraId="1AE0E712" w14:textId="77777777" w:rsidR="005C5B84" w:rsidRPr="009D1D02" w:rsidRDefault="005C5B84" w:rsidP="005C5B84">
            <w:pPr>
              <w:jc w:val="both"/>
              <w:rPr>
                <w:rFonts w:asciiTheme="minorHAnsi" w:hAnsiTheme="minorHAnsi" w:cstheme="minorHAnsi"/>
                <w:bCs/>
                <w:sz w:val="20"/>
                <w:szCs w:val="20"/>
              </w:rPr>
            </w:pPr>
            <w:r w:rsidRPr="009D1D02">
              <w:rPr>
                <w:rFonts w:asciiTheme="minorHAnsi" w:hAnsiTheme="minorHAnsi" w:cstheme="minorHAnsi"/>
                <w:b/>
                <w:sz w:val="20"/>
                <w:szCs w:val="20"/>
              </w:rPr>
              <w:lastRenderedPageBreak/>
              <w:t xml:space="preserve">Lucro cesante: </w:t>
            </w:r>
            <w:r w:rsidRPr="009D1D02">
              <w:rPr>
                <w:rFonts w:asciiTheme="minorHAnsi" w:hAnsiTheme="minorHAnsi" w:cstheme="minorHAnsi"/>
                <w:bCs/>
                <w:sz w:val="20"/>
                <w:szCs w:val="20"/>
              </w:rPr>
              <w:t>$49.895.702</w:t>
            </w:r>
          </w:p>
          <w:p w14:paraId="410D6A1E" w14:textId="77777777" w:rsidR="005C5B84" w:rsidRPr="009D1D02" w:rsidRDefault="005C5B84" w:rsidP="005C5B84">
            <w:pPr>
              <w:jc w:val="both"/>
              <w:rPr>
                <w:rFonts w:asciiTheme="minorHAnsi" w:hAnsiTheme="minorHAnsi" w:cstheme="minorHAnsi"/>
                <w:bCs/>
                <w:sz w:val="20"/>
                <w:szCs w:val="20"/>
              </w:rPr>
            </w:pPr>
          </w:p>
          <w:p w14:paraId="3AACCCCD" w14:textId="77777777" w:rsidR="005C5B84" w:rsidRPr="009D1D02" w:rsidRDefault="005C5B84" w:rsidP="005C5B84">
            <w:pPr>
              <w:jc w:val="both"/>
              <w:rPr>
                <w:rFonts w:asciiTheme="minorHAnsi" w:hAnsiTheme="minorHAnsi" w:cstheme="minorHAnsi"/>
                <w:bCs/>
                <w:sz w:val="20"/>
                <w:szCs w:val="20"/>
              </w:rPr>
            </w:pPr>
            <w:r w:rsidRPr="009D1D02">
              <w:rPr>
                <w:rFonts w:asciiTheme="minorHAnsi" w:hAnsiTheme="minorHAnsi" w:cstheme="minorHAnsi"/>
                <w:b/>
                <w:sz w:val="20"/>
                <w:szCs w:val="20"/>
              </w:rPr>
              <w:t xml:space="preserve">Daño emergente: </w:t>
            </w:r>
            <w:r w:rsidRPr="009D1D02">
              <w:rPr>
                <w:rFonts w:asciiTheme="minorHAnsi" w:hAnsiTheme="minorHAnsi" w:cstheme="minorHAnsi"/>
                <w:bCs/>
                <w:sz w:val="20"/>
                <w:szCs w:val="20"/>
              </w:rPr>
              <w:t>$1.000.000</w:t>
            </w:r>
          </w:p>
          <w:p w14:paraId="5662255E" w14:textId="77777777" w:rsidR="0088054F" w:rsidRPr="009D1D02" w:rsidRDefault="0088054F" w:rsidP="0088054F">
            <w:pPr>
              <w:pStyle w:val="Prrafodelista"/>
              <w:jc w:val="both"/>
              <w:rPr>
                <w:rFonts w:asciiTheme="minorHAnsi" w:hAnsiTheme="minorHAnsi" w:cstheme="minorHAnsi"/>
                <w:sz w:val="20"/>
                <w:szCs w:val="20"/>
                <w:lang w:val="es-ES_tradnl"/>
              </w:rPr>
            </w:pPr>
          </w:p>
        </w:tc>
      </w:tr>
      <w:tr w:rsidR="004E706E" w:rsidRPr="009D1D02" w14:paraId="704DFB9E" w14:textId="77777777" w:rsidTr="3452EF96">
        <w:tc>
          <w:tcPr>
            <w:tcW w:w="2518" w:type="dxa"/>
            <w:shd w:val="clear" w:color="auto" w:fill="D9D9D9" w:themeFill="background1" w:themeFillShade="D9"/>
          </w:tcPr>
          <w:p w14:paraId="58C6E535"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lastRenderedPageBreak/>
              <w:t>Pretensiones cuantificadas ($):</w:t>
            </w:r>
          </w:p>
        </w:tc>
        <w:tc>
          <w:tcPr>
            <w:tcW w:w="7465" w:type="dxa"/>
          </w:tcPr>
          <w:p w14:paraId="61540B9A" w14:textId="2AA3918B" w:rsidR="0088054F" w:rsidRPr="009D1D02" w:rsidRDefault="004869EE" w:rsidP="004869EE">
            <w:pPr>
              <w:jc w:val="both"/>
              <w:rPr>
                <w:rFonts w:asciiTheme="minorHAnsi" w:hAnsiTheme="minorHAnsi" w:cstheme="minorHAnsi"/>
                <w:sz w:val="20"/>
                <w:szCs w:val="20"/>
                <w:lang w:val="es-ES_tradnl"/>
              </w:rPr>
            </w:pPr>
            <w:r w:rsidRPr="009D1D02">
              <w:rPr>
                <w:rFonts w:asciiTheme="minorHAnsi" w:hAnsiTheme="minorHAnsi" w:cstheme="minorHAnsi"/>
                <w:sz w:val="20"/>
                <w:szCs w:val="20"/>
                <w:lang w:val="es-ES_tradnl"/>
              </w:rPr>
              <w:t>$245.895.702</w:t>
            </w:r>
          </w:p>
        </w:tc>
      </w:tr>
      <w:tr w:rsidR="004E706E" w:rsidRPr="009D1D02" w14:paraId="0B60EBC1" w14:textId="77777777" w:rsidTr="3452EF96">
        <w:tc>
          <w:tcPr>
            <w:tcW w:w="2518" w:type="dxa"/>
            <w:shd w:val="clear" w:color="auto" w:fill="D9D9D9" w:themeFill="background1" w:themeFillShade="D9"/>
          </w:tcPr>
          <w:p w14:paraId="7ABAD315"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Valor asegurado amparos afectados:</w:t>
            </w:r>
          </w:p>
        </w:tc>
        <w:tc>
          <w:tcPr>
            <w:tcW w:w="7465" w:type="dxa"/>
          </w:tcPr>
          <w:p w14:paraId="6C40C20A" w14:textId="1F222EE8" w:rsidR="0088054F" w:rsidRPr="009D1D02" w:rsidRDefault="0088054F" w:rsidP="0088054F">
            <w:pPr>
              <w:jc w:val="both"/>
              <w:rPr>
                <w:rFonts w:asciiTheme="minorHAnsi" w:hAnsiTheme="minorHAnsi" w:cstheme="minorHAnsi"/>
                <w:sz w:val="20"/>
                <w:szCs w:val="20"/>
                <w:lang w:val="es-ES_tradnl"/>
              </w:rPr>
            </w:pPr>
            <w:r w:rsidRPr="009D1D02">
              <w:rPr>
                <w:rFonts w:asciiTheme="minorHAnsi" w:hAnsiTheme="minorHAnsi" w:cstheme="minorHAnsi"/>
                <w:sz w:val="20"/>
                <w:szCs w:val="20"/>
                <w:lang w:val="es-ES_tradnl"/>
              </w:rPr>
              <w:t xml:space="preserve"> </w:t>
            </w:r>
            <w:r w:rsidR="004869EE" w:rsidRPr="009D1D02">
              <w:rPr>
                <w:rFonts w:asciiTheme="minorHAnsi" w:hAnsiTheme="minorHAnsi" w:cstheme="minorHAnsi"/>
                <w:sz w:val="20"/>
                <w:szCs w:val="20"/>
              </w:rPr>
              <w:t>$7.000.000.000</w:t>
            </w:r>
          </w:p>
        </w:tc>
      </w:tr>
      <w:tr w:rsidR="004E706E" w:rsidRPr="009D1D02" w14:paraId="47DED08D" w14:textId="77777777" w:rsidTr="3452EF96">
        <w:tc>
          <w:tcPr>
            <w:tcW w:w="2518" w:type="dxa"/>
            <w:shd w:val="clear" w:color="auto" w:fill="D9D9D9" w:themeFill="background1" w:themeFillShade="D9"/>
          </w:tcPr>
          <w:p w14:paraId="2040F0CE"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Valoración objetiva de las pretensiones:</w:t>
            </w:r>
          </w:p>
        </w:tc>
        <w:tc>
          <w:tcPr>
            <w:tcW w:w="7465" w:type="dxa"/>
          </w:tcPr>
          <w:p w14:paraId="69E585CC"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b/>
                <w:bCs/>
                <w:sz w:val="20"/>
                <w:szCs w:val="20"/>
                <w:u w:val="single"/>
              </w:rPr>
              <w:t>liquidación objetiva de perjuicios:</w:t>
            </w:r>
          </w:p>
          <w:p w14:paraId="254AE0B1"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b/>
                <w:bCs/>
                <w:sz w:val="20"/>
                <w:szCs w:val="20"/>
              </w:rPr>
              <w:t> </w:t>
            </w:r>
          </w:p>
          <w:p w14:paraId="449AAA43"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b/>
                <w:bCs/>
                <w:sz w:val="20"/>
                <w:szCs w:val="20"/>
              </w:rPr>
              <w:t>Perjuicios Morales:</w:t>
            </w:r>
            <w:r w:rsidRPr="009D1D02">
              <w:rPr>
                <w:rFonts w:asciiTheme="minorHAnsi" w:hAnsiTheme="minorHAnsi" w:cstheme="minorHAnsi"/>
                <w:sz w:val="20"/>
                <w:szCs w:val="20"/>
              </w:rPr>
              <w:t>  Se realiza la liquidación en consideración a que la víctima en este caso cuenta con un porcentaje de pérdida de capacidad laboral del 15,88%. En consecuencia, se tiene en cuenta los parámetros fijados de conformidad con la jurisprudencia del Consejo de Estado para la reparación del perjuicio moral, y se reconoce perjuicio moral a los reclamantes de primer y segundo grado, así</w:t>
            </w:r>
          </w:p>
          <w:p w14:paraId="7C829C82"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 </w:t>
            </w:r>
          </w:p>
          <w:p w14:paraId="39BB3511"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Mayerlin Cristina Salazar Jacome (víctima) </w:t>
            </w:r>
            <w:r w:rsidRPr="009D1D02">
              <w:rPr>
                <w:rFonts w:asciiTheme="minorHAnsi" w:hAnsiTheme="minorHAnsi" w:cstheme="minorHAnsi"/>
                <w:b/>
                <w:bCs/>
                <w:sz w:val="20"/>
                <w:szCs w:val="20"/>
              </w:rPr>
              <w:t>20 SMLMV</w:t>
            </w:r>
          </w:p>
          <w:p w14:paraId="5DEFA12B"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Mayerlin Johana Jiménez Salazar (hija)</w:t>
            </w:r>
            <w:r w:rsidRPr="009D1D02">
              <w:rPr>
                <w:rFonts w:asciiTheme="minorHAnsi" w:hAnsiTheme="minorHAnsi" w:cstheme="minorHAnsi"/>
                <w:b/>
                <w:bCs/>
                <w:sz w:val="20"/>
                <w:szCs w:val="20"/>
              </w:rPr>
              <w:t> 20 SMLMV</w:t>
            </w:r>
          </w:p>
          <w:p w14:paraId="4D06E036"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Luisa Fernanda Zapata (hija)</w:t>
            </w:r>
            <w:r w:rsidRPr="009D1D02">
              <w:rPr>
                <w:rFonts w:asciiTheme="minorHAnsi" w:hAnsiTheme="minorHAnsi" w:cstheme="minorHAnsi"/>
                <w:b/>
                <w:bCs/>
                <w:sz w:val="20"/>
                <w:szCs w:val="20"/>
              </w:rPr>
              <w:t> 20 SMLMV</w:t>
            </w:r>
          </w:p>
          <w:p w14:paraId="1BD45F8C"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Piedad Jacome Erazo (madre) </w:t>
            </w:r>
            <w:r w:rsidRPr="009D1D02">
              <w:rPr>
                <w:rFonts w:asciiTheme="minorHAnsi" w:hAnsiTheme="minorHAnsi" w:cstheme="minorHAnsi"/>
                <w:b/>
                <w:bCs/>
                <w:sz w:val="20"/>
                <w:szCs w:val="20"/>
              </w:rPr>
              <w:t>20 SMLMV</w:t>
            </w:r>
          </w:p>
          <w:p w14:paraId="3D622EDD"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 xml:space="preserve">Mac </w:t>
            </w:r>
            <w:proofErr w:type="spellStart"/>
            <w:r w:rsidRPr="009D1D02">
              <w:rPr>
                <w:rFonts w:asciiTheme="minorHAnsi" w:hAnsiTheme="minorHAnsi" w:cstheme="minorHAnsi"/>
                <w:sz w:val="20"/>
                <w:szCs w:val="20"/>
              </w:rPr>
              <w:t>Josser</w:t>
            </w:r>
            <w:proofErr w:type="spellEnd"/>
            <w:r w:rsidRPr="009D1D02">
              <w:rPr>
                <w:rFonts w:asciiTheme="minorHAnsi" w:hAnsiTheme="minorHAnsi" w:cstheme="minorHAnsi"/>
                <w:sz w:val="20"/>
                <w:szCs w:val="20"/>
              </w:rPr>
              <w:t xml:space="preserve"> Perlaza </w:t>
            </w:r>
            <w:proofErr w:type="spellStart"/>
            <w:r w:rsidRPr="009D1D02">
              <w:rPr>
                <w:rFonts w:asciiTheme="minorHAnsi" w:hAnsiTheme="minorHAnsi" w:cstheme="minorHAnsi"/>
                <w:sz w:val="20"/>
                <w:szCs w:val="20"/>
              </w:rPr>
              <w:t>Jacome</w:t>
            </w:r>
            <w:proofErr w:type="spellEnd"/>
            <w:r w:rsidRPr="009D1D02">
              <w:rPr>
                <w:rFonts w:asciiTheme="minorHAnsi" w:hAnsiTheme="minorHAnsi" w:cstheme="minorHAnsi"/>
                <w:sz w:val="20"/>
                <w:szCs w:val="20"/>
              </w:rPr>
              <w:t xml:space="preserve"> (hermano) </w:t>
            </w:r>
            <w:r w:rsidRPr="009D1D02">
              <w:rPr>
                <w:rFonts w:asciiTheme="minorHAnsi" w:hAnsiTheme="minorHAnsi" w:cstheme="minorHAnsi"/>
                <w:b/>
                <w:bCs/>
                <w:sz w:val="20"/>
                <w:szCs w:val="20"/>
              </w:rPr>
              <w:t>10 SMLMV</w:t>
            </w:r>
          </w:p>
          <w:p w14:paraId="7AACA62E"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 </w:t>
            </w:r>
          </w:p>
          <w:p w14:paraId="4C702101" w14:textId="77777777" w:rsidR="00490A1B" w:rsidRPr="009D1D02" w:rsidRDefault="00490A1B" w:rsidP="00490A1B">
            <w:pPr>
              <w:jc w:val="both"/>
              <w:rPr>
                <w:rFonts w:asciiTheme="minorHAnsi" w:hAnsiTheme="minorHAnsi" w:cstheme="minorHAnsi"/>
                <w:sz w:val="20"/>
                <w:szCs w:val="20"/>
              </w:rPr>
            </w:pPr>
            <w:proofErr w:type="gramStart"/>
            <w:r w:rsidRPr="009D1D02">
              <w:rPr>
                <w:rFonts w:asciiTheme="minorHAnsi" w:hAnsiTheme="minorHAnsi" w:cstheme="minorHAnsi"/>
                <w:sz w:val="20"/>
                <w:szCs w:val="20"/>
              </w:rPr>
              <w:t>Total</w:t>
            </w:r>
            <w:proofErr w:type="gramEnd"/>
            <w:r w:rsidRPr="009D1D02">
              <w:rPr>
                <w:rFonts w:asciiTheme="minorHAnsi" w:hAnsiTheme="minorHAnsi" w:cstheme="minorHAnsi"/>
                <w:sz w:val="20"/>
                <w:szCs w:val="20"/>
              </w:rPr>
              <w:t xml:space="preserve"> daño moral: </w:t>
            </w:r>
            <w:r w:rsidRPr="009D1D02">
              <w:rPr>
                <w:rFonts w:asciiTheme="minorHAnsi" w:hAnsiTheme="minorHAnsi" w:cstheme="minorHAnsi"/>
                <w:b/>
                <w:bCs/>
                <w:sz w:val="20"/>
                <w:szCs w:val="20"/>
              </w:rPr>
              <w:t> 90 SMLMV</w:t>
            </w:r>
          </w:p>
          <w:p w14:paraId="04AF0B98"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 </w:t>
            </w:r>
          </w:p>
          <w:p w14:paraId="4A5C6CBB"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b/>
                <w:bCs/>
                <w:sz w:val="20"/>
                <w:szCs w:val="20"/>
              </w:rPr>
              <w:t>Daño a la salud: </w:t>
            </w:r>
            <w:r w:rsidRPr="009D1D02">
              <w:rPr>
                <w:rFonts w:asciiTheme="minorHAnsi" w:hAnsiTheme="minorHAnsi" w:cstheme="minorHAnsi"/>
                <w:sz w:val="20"/>
                <w:szCs w:val="20"/>
              </w:rPr>
              <w:t>se reconocen </w:t>
            </w:r>
            <w:r w:rsidRPr="009D1D02">
              <w:rPr>
                <w:rFonts w:asciiTheme="minorHAnsi" w:hAnsiTheme="minorHAnsi" w:cstheme="minorHAnsi"/>
                <w:b/>
                <w:bCs/>
                <w:sz w:val="20"/>
                <w:szCs w:val="20"/>
              </w:rPr>
              <w:t>20 SMLMV</w:t>
            </w:r>
            <w:r w:rsidRPr="009D1D02">
              <w:rPr>
                <w:rFonts w:asciiTheme="minorHAnsi" w:hAnsiTheme="minorHAnsi" w:cstheme="minorHAnsi"/>
                <w:sz w:val="20"/>
                <w:szCs w:val="20"/>
              </w:rPr>
              <w:t> para la perjudicada directa. </w:t>
            </w:r>
          </w:p>
          <w:p w14:paraId="56C429B5"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 </w:t>
            </w:r>
          </w:p>
          <w:p w14:paraId="3E80F48C"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b/>
                <w:bCs/>
                <w:sz w:val="20"/>
                <w:szCs w:val="20"/>
              </w:rPr>
              <w:t>Lucro cesante:</w:t>
            </w:r>
            <w:r w:rsidRPr="009D1D02">
              <w:rPr>
                <w:rFonts w:asciiTheme="minorHAnsi" w:hAnsiTheme="minorHAnsi" w:cstheme="minorHAnsi"/>
                <w:sz w:val="20"/>
                <w:szCs w:val="20"/>
              </w:rPr>
              <w:t> No es procedente su reconocimiento y por lo tanto no se liquida. En este caso no se logran acreditar los elementos necesarios para la estimación de este, como, por ejemplo, vínculo laboral o actividad económica y/o productiva; a cuánto ascendían sus ingresos mensuales, tampoco se acredita la dependencia económica. Téngase en cuenta, además, que el Consejo de Estado, eliminó la presunción de que toda persona en etapa productiva ganaba un salario mínimo.</w:t>
            </w:r>
          </w:p>
          <w:p w14:paraId="743278FF"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 </w:t>
            </w:r>
          </w:p>
          <w:p w14:paraId="4F58BC2E"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b/>
                <w:bCs/>
                <w:sz w:val="20"/>
                <w:szCs w:val="20"/>
              </w:rPr>
              <w:t>Afectación o vulneración relevante de bienes o derechos convencional y constitucionalmente amparados: </w:t>
            </w:r>
            <w:r w:rsidRPr="009D1D02">
              <w:rPr>
                <w:rFonts w:asciiTheme="minorHAnsi" w:hAnsiTheme="minorHAnsi" w:cstheme="minorHAnsi"/>
                <w:sz w:val="20"/>
                <w:szCs w:val="20"/>
              </w:rPr>
              <w:t> No se reconoce suma por este concepto, pues este perjuicio es procedente solo cuando se enseñan que existió un daño desde la órbita de los bienes y derechos reconocidos expresamente y por conexidad en la Carta Política, y en el caso de marras, la parte demandante no explicó cuál fue el bien o el derecho violentado; adicional a ello,  por regla general se reconocen medidas de reparación no pecuniarias.</w:t>
            </w:r>
          </w:p>
          <w:p w14:paraId="1A382022"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 </w:t>
            </w:r>
          </w:p>
          <w:p w14:paraId="76356FA5"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b/>
                <w:bCs/>
                <w:sz w:val="20"/>
                <w:szCs w:val="20"/>
              </w:rPr>
              <w:t>Daño emergente:</w:t>
            </w:r>
            <w:r w:rsidRPr="009D1D02">
              <w:rPr>
                <w:rFonts w:asciiTheme="minorHAnsi" w:hAnsiTheme="minorHAnsi" w:cstheme="minorHAnsi"/>
                <w:sz w:val="20"/>
                <w:szCs w:val="20"/>
              </w:rPr>
              <w:t> no se reconoce suma por este concepto por cuanto no obran pruebas que soporten el detrimento alegado por la parte demandante.        </w:t>
            </w:r>
          </w:p>
          <w:p w14:paraId="7B090F17"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 </w:t>
            </w:r>
          </w:p>
          <w:p w14:paraId="2594D2D4"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Total: $143.000.000 – deducible ($1.430.000) = $141.570.000.</w:t>
            </w:r>
          </w:p>
          <w:p w14:paraId="5968D107"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   </w:t>
            </w:r>
          </w:p>
          <w:p w14:paraId="2527D45C" w14:textId="77777777" w:rsidR="00490A1B" w:rsidRPr="009D1D02" w:rsidRDefault="00490A1B" w:rsidP="00490A1B">
            <w:pPr>
              <w:jc w:val="both"/>
              <w:rPr>
                <w:rFonts w:asciiTheme="minorHAnsi" w:hAnsiTheme="minorHAnsi" w:cstheme="minorHAnsi"/>
                <w:sz w:val="20"/>
                <w:szCs w:val="20"/>
              </w:rPr>
            </w:pPr>
            <w:r w:rsidRPr="009D1D02">
              <w:rPr>
                <w:rFonts w:asciiTheme="minorHAnsi" w:hAnsiTheme="minorHAnsi" w:cstheme="minorHAnsi"/>
                <w:sz w:val="20"/>
                <w:szCs w:val="20"/>
              </w:rPr>
              <w:t>A ese valor se le aplica el porcentaje de participación de </w:t>
            </w:r>
            <w:r w:rsidRPr="009D1D02">
              <w:rPr>
                <w:rFonts w:asciiTheme="minorHAnsi" w:hAnsiTheme="minorHAnsi" w:cstheme="minorHAnsi"/>
                <w:b/>
                <w:bCs/>
                <w:sz w:val="20"/>
                <w:szCs w:val="20"/>
              </w:rPr>
              <w:t>HDI </w:t>
            </w:r>
            <w:r w:rsidRPr="009D1D02">
              <w:rPr>
                <w:rFonts w:asciiTheme="minorHAnsi" w:hAnsiTheme="minorHAnsi" w:cstheme="minorHAnsi"/>
                <w:sz w:val="20"/>
                <w:szCs w:val="20"/>
              </w:rPr>
              <w:t>que corresponde al </w:t>
            </w:r>
            <w:r w:rsidRPr="009D1D02">
              <w:rPr>
                <w:rFonts w:asciiTheme="minorHAnsi" w:hAnsiTheme="minorHAnsi" w:cstheme="minorHAnsi"/>
                <w:b/>
                <w:bCs/>
                <w:sz w:val="20"/>
                <w:szCs w:val="20"/>
              </w:rPr>
              <w:t>10%</w:t>
            </w:r>
            <w:r w:rsidRPr="009D1D02">
              <w:rPr>
                <w:rFonts w:asciiTheme="minorHAnsi" w:hAnsiTheme="minorHAnsi" w:cstheme="minorHAnsi"/>
                <w:sz w:val="20"/>
                <w:szCs w:val="20"/>
              </w:rPr>
              <w:t>, lo que nos arroja un valor de </w:t>
            </w:r>
            <w:r w:rsidRPr="009D1D02">
              <w:rPr>
                <w:rFonts w:asciiTheme="minorHAnsi" w:hAnsiTheme="minorHAnsi" w:cstheme="minorHAnsi"/>
                <w:b/>
                <w:bCs/>
                <w:sz w:val="20"/>
                <w:szCs w:val="20"/>
              </w:rPr>
              <w:t>$14.157.000.</w:t>
            </w:r>
          </w:p>
          <w:p w14:paraId="7662D052" w14:textId="77777777" w:rsidR="0088054F" w:rsidRPr="009D1D02" w:rsidRDefault="0088054F" w:rsidP="0088054F">
            <w:pPr>
              <w:jc w:val="both"/>
              <w:rPr>
                <w:rFonts w:asciiTheme="minorHAnsi" w:hAnsiTheme="minorHAnsi" w:cstheme="minorHAnsi"/>
                <w:sz w:val="20"/>
                <w:szCs w:val="20"/>
              </w:rPr>
            </w:pPr>
          </w:p>
        </w:tc>
      </w:tr>
      <w:tr w:rsidR="004E706E" w:rsidRPr="009D1D02" w14:paraId="3AE6DDE7" w14:textId="77777777" w:rsidTr="3452EF96">
        <w:tc>
          <w:tcPr>
            <w:tcW w:w="2518" w:type="dxa"/>
            <w:shd w:val="clear" w:color="auto" w:fill="D9D9D9" w:themeFill="background1" w:themeFillShade="D9"/>
          </w:tcPr>
          <w:p w14:paraId="49F38751"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Calificación de la contingencia:</w:t>
            </w:r>
          </w:p>
        </w:tc>
        <w:tc>
          <w:tcPr>
            <w:tcW w:w="7465" w:type="dxa"/>
          </w:tcPr>
          <w:p w14:paraId="1E9AFCF4" w14:textId="1D750CBB" w:rsidR="0088054F" w:rsidRPr="009D1D02" w:rsidRDefault="00490A1B" w:rsidP="0088054F">
            <w:pPr>
              <w:jc w:val="both"/>
              <w:rPr>
                <w:rFonts w:asciiTheme="minorHAnsi" w:hAnsiTheme="minorHAnsi" w:cstheme="minorHAnsi"/>
                <w:sz w:val="20"/>
                <w:szCs w:val="20"/>
                <w:lang w:val="es-ES_tradnl"/>
              </w:rPr>
            </w:pPr>
            <w:r w:rsidRPr="009D1D02">
              <w:rPr>
                <w:rFonts w:asciiTheme="minorHAnsi" w:hAnsiTheme="minorHAnsi" w:cstheme="minorHAnsi"/>
                <w:sz w:val="20"/>
                <w:szCs w:val="20"/>
                <w:lang w:val="es-ES_tradnl"/>
              </w:rPr>
              <w:t>REMOTA</w:t>
            </w:r>
          </w:p>
        </w:tc>
      </w:tr>
      <w:tr w:rsidR="004E706E" w:rsidRPr="009D1D02" w14:paraId="1EDA617F" w14:textId="77777777" w:rsidTr="3452EF96">
        <w:tc>
          <w:tcPr>
            <w:tcW w:w="2518" w:type="dxa"/>
            <w:shd w:val="clear" w:color="auto" w:fill="D9D9D9" w:themeFill="background1" w:themeFillShade="D9"/>
          </w:tcPr>
          <w:p w14:paraId="45DBC8C6"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lastRenderedPageBreak/>
              <w:t>Motivos de la calificación:</w:t>
            </w:r>
          </w:p>
        </w:tc>
        <w:tc>
          <w:tcPr>
            <w:tcW w:w="7465" w:type="dxa"/>
          </w:tcPr>
          <w:p w14:paraId="5AFCA708" w14:textId="77777777" w:rsidR="00490A1B" w:rsidRPr="009D1D02" w:rsidRDefault="00490A1B" w:rsidP="00490A1B">
            <w:pPr>
              <w:spacing w:line="278" w:lineRule="auto"/>
              <w:jc w:val="both"/>
              <w:rPr>
                <w:rFonts w:asciiTheme="minorHAnsi" w:hAnsiTheme="minorHAnsi" w:cstheme="minorHAnsi"/>
                <w:sz w:val="20"/>
                <w:szCs w:val="20"/>
              </w:rPr>
            </w:pPr>
            <w:r w:rsidRPr="009D1D02">
              <w:rPr>
                <w:rFonts w:asciiTheme="minorHAnsi" w:hAnsiTheme="minorHAnsi" w:cstheme="minorHAnsi"/>
                <w:sz w:val="20"/>
                <w:szCs w:val="20"/>
              </w:rPr>
              <w:t>La contingencia se califica como remota debido a la orfandad probatoria con la que se pretende endilgar responsabilidad a nuestro asegurado, Distrito Especial de Santiago de Cali.     </w:t>
            </w:r>
          </w:p>
          <w:p w14:paraId="29A0B4AD" w14:textId="77777777" w:rsidR="00490A1B" w:rsidRPr="009D1D02" w:rsidRDefault="00490A1B" w:rsidP="00490A1B">
            <w:pPr>
              <w:spacing w:line="278" w:lineRule="auto"/>
              <w:jc w:val="both"/>
              <w:rPr>
                <w:rFonts w:asciiTheme="minorHAnsi" w:hAnsiTheme="minorHAnsi" w:cstheme="minorHAnsi"/>
                <w:sz w:val="20"/>
                <w:szCs w:val="20"/>
              </w:rPr>
            </w:pPr>
            <w:r w:rsidRPr="009D1D02">
              <w:rPr>
                <w:rFonts w:asciiTheme="minorHAnsi" w:hAnsiTheme="minorHAnsi" w:cstheme="minorHAnsi"/>
                <w:sz w:val="20"/>
                <w:szCs w:val="20"/>
              </w:rPr>
              <w:t>     </w:t>
            </w:r>
          </w:p>
          <w:p w14:paraId="1540115D" w14:textId="77777777" w:rsidR="00490A1B" w:rsidRPr="009D1D02" w:rsidRDefault="00490A1B" w:rsidP="00490A1B">
            <w:pPr>
              <w:spacing w:line="278" w:lineRule="auto"/>
              <w:jc w:val="both"/>
              <w:rPr>
                <w:rFonts w:asciiTheme="minorHAnsi" w:hAnsiTheme="minorHAnsi" w:cstheme="minorHAnsi"/>
                <w:sz w:val="20"/>
                <w:szCs w:val="20"/>
              </w:rPr>
            </w:pPr>
            <w:r w:rsidRPr="009D1D02">
              <w:rPr>
                <w:rFonts w:asciiTheme="minorHAnsi" w:hAnsiTheme="minorHAnsi" w:cstheme="minorHAnsi"/>
                <w:sz w:val="20"/>
                <w:szCs w:val="20"/>
              </w:rPr>
              <w:t xml:space="preserve">Lo primero que debe tomarse en consideración es que la Póliza de Responsabilidad Civil Extracontractual No. 420-80-994000000054,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w:t>
            </w:r>
            <w:r w:rsidRPr="009D1D02">
              <w:rPr>
                <w:rFonts w:asciiTheme="minorHAnsi" w:hAnsiTheme="minorHAnsi" w:cstheme="minorHAnsi"/>
                <w:b/>
                <w:bCs/>
                <w:sz w:val="20"/>
                <w:szCs w:val="20"/>
              </w:rPr>
              <w:t>OCURRENCIA</w:t>
            </w:r>
            <w:r w:rsidRPr="009D1D02">
              <w:rPr>
                <w:rFonts w:asciiTheme="minorHAnsi" w:hAnsiTheme="minorHAnsi" w:cstheme="minorHAnsi"/>
                <w:sz w:val="20"/>
                <w:szCs w:val="20"/>
              </w:rPr>
              <w:t>, la cual ampara la responsabilidad derivada de los daños causados durante la vigencia de la Póliza. En consecuencia, la ocurrencia del hecho (</w:t>
            </w:r>
            <w:r w:rsidRPr="009D1D02">
              <w:rPr>
                <w:rFonts w:asciiTheme="minorHAnsi" w:hAnsiTheme="minorHAnsi" w:cstheme="minorHAnsi"/>
                <w:b/>
                <w:bCs/>
                <w:sz w:val="20"/>
                <w:szCs w:val="20"/>
              </w:rPr>
              <w:t>18 de agosto de 2018</w:t>
            </w:r>
            <w:r w:rsidRPr="009D1D02">
              <w:rPr>
                <w:rFonts w:asciiTheme="minorHAnsi" w:hAnsiTheme="minorHAnsi" w:cstheme="minorHAnsi"/>
                <w:sz w:val="20"/>
                <w:szCs w:val="20"/>
              </w:rPr>
              <w:t xml:space="preserve">) se encuentra dentro de la limitación temporal de la Póliza en mención, cuya vigencia (anexo 0) comprende desde el </w:t>
            </w:r>
            <w:r w:rsidRPr="009D1D02">
              <w:rPr>
                <w:rFonts w:asciiTheme="minorHAnsi" w:hAnsiTheme="minorHAnsi" w:cstheme="minorHAnsi"/>
                <w:b/>
                <w:bCs/>
                <w:sz w:val="20"/>
                <w:szCs w:val="20"/>
              </w:rPr>
              <w:t xml:space="preserve">24 de mayo de 2018 </w:t>
            </w:r>
            <w:r w:rsidRPr="009D1D02">
              <w:rPr>
                <w:rFonts w:asciiTheme="minorHAnsi" w:hAnsiTheme="minorHAnsi" w:cstheme="minorHAnsi"/>
                <w:sz w:val="20"/>
                <w:szCs w:val="20"/>
              </w:rPr>
              <w:t xml:space="preserve">hasta el </w:t>
            </w:r>
            <w:r w:rsidRPr="009D1D02">
              <w:rPr>
                <w:rFonts w:asciiTheme="minorHAnsi" w:hAnsiTheme="minorHAnsi" w:cstheme="minorHAnsi"/>
                <w:b/>
                <w:bCs/>
                <w:sz w:val="20"/>
                <w:szCs w:val="20"/>
              </w:rPr>
              <w:t>29 de mayo de 2019</w:t>
            </w:r>
            <w:r w:rsidRPr="009D1D02">
              <w:rPr>
                <w:rFonts w:asciiTheme="minorHAnsi" w:hAnsiTheme="minorHAnsi" w:cstheme="minorHAnsi"/>
                <w:sz w:val="20"/>
                <w:szCs w:val="20"/>
              </w:rPr>
              <w:t>. Aunado a ello presta cobertura material en tanto ampara la responsabilidad civil extracontractual derivada de Predios Labores y Operaciones, pretensión que se le endilga al Distrito.         </w:t>
            </w:r>
          </w:p>
          <w:p w14:paraId="55E6DF52" w14:textId="77777777" w:rsidR="00490A1B" w:rsidRPr="009D1D02" w:rsidRDefault="00490A1B" w:rsidP="00490A1B">
            <w:pPr>
              <w:spacing w:line="278" w:lineRule="auto"/>
              <w:jc w:val="both"/>
              <w:rPr>
                <w:rFonts w:asciiTheme="minorHAnsi" w:hAnsiTheme="minorHAnsi" w:cstheme="minorHAnsi"/>
                <w:sz w:val="20"/>
                <w:szCs w:val="20"/>
              </w:rPr>
            </w:pPr>
            <w:r w:rsidRPr="009D1D02">
              <w:rPr>
                <w:rFonts w:asciiTheme="minorHAnsi" w:hAnsiTheme="minorHAnsi" w:cstheme="minorHAnsi"/>
                <w:sz w:val="20"/>
                <w:szCs w:val="20"/>
              </w:rPr>
              <w:t>     </w:t>
            </w:r>
          </w:p>
          <w:p w14:paraId="1BB23650" w14:textId="15123205" w:rsidR="0088054F" w:rsidRPr="009D1D02" w:rsidRDefault="00490A1B" w:rsidP="00490A1B">
            <w:pPr>
              <w:jc w:val="both"/>
              <w:rPr>
                <w:rFonts w:asciiTheme="minorHAnsi" w:hAnsiTheme="minorHAnsi" w:cstheme="minorHAnsi"/>
                <w:sz w:val="20"/>
                <w:szCs w:val="20"/>
                <w:lang w:val="es-ES_tradnl"/>
              </w:rPr>
            </w:pPr>
            <w:r w:rsidRPr="009D1D02">
              <w:rPr>
                <w:rFonts w:asciiTheme="minorHAnsi" w:hAnsiTheme="minorHAnsi" w:cstheme="minorHAnsi"/>
                <w:sz w:val="20"/>
                <w:szCs w:val="20"/>
              </w:rPr>
              <w:t>Ahora bien, frente a la responsabilidad de nuestro asegurado debe decirse que no existe medio probatorio que demuestre las condiciones de modo, tiempo y lugar del presunto accidente de tránsito, así como tampoco ninguna prueba que acredite falla del servicio en cabeza de la entidad territorial. No existe una certificación técnica como el IPAT que acredite si quiera la ocurrencia del accidente o la existencia de un hueco en la vía, la demandante aporta una serie de fotografías las cuales no dan cuenta de la existencia irregularidad alguna en la malla vial, por lo que hasta esta instancia no existe prueba de la causalidad.   Consecuentemente corresponde a la parte actora demostrar el nexo de causalidad entre la actuación del Distrito de Cali y el supuesto daño ocasionado a la demandante. Así las cosas, la decisión final depende de la valoración que realice el juzgador de las pruebas aportadas por las partes en el curso de la actuación. Lo anterior sin perjuicio del carácter contingente del proceso.   </w:t>
            </w:r>
          </w:p>
        </w:tc>
      </w:tr>
      <w:tr w:rsidR="004E706E" w:rsidRPr="009D1D02" w14:paraId="73F5D798" w14:textId="77777777" w:rsidTr="3452EF96">
        <w:tc>
          <w:tcPr>
            <w:tcW w:w="2518" w:type="dxa"/>
            <w:shd w:val="clear" w:color="auto" w:fill="D9D9D9" w:themeFill="background1" w:themeFillShade="D9"/>
          </w:tcPr>
          <w:p w14:paraId="3ADB1516"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Excepciones propuestas:</w:t>
            </w:r>
          </w:p>
        </w:tc>
        <w:tc>
          <w:tcPr>
            <w:tcW w:w="7465" w:type="dxa"/>
          </w:tcPr>
          <w:p w14:paraId="105E7716" w14:textId="2867F793" w:rsidR="008B2C8A" w:rsidRPr="009D1D02" w:rsidRDefault="008B2C8A" w:rsidP="008B2C8A">
            <w:pPr>
              <w:jc w:val="both"/>
              <w:rPr>
                <w:rFonts w:asciiTheme="minorHAnsi" w:hAnsiTheme="minorHAnsi" w:cstheme="minorHAnsi"/>
                <w:sz w:val="20"/>
                <w:szCs w:val="20"/>
              </w:rPr>
            </w:pPr>
            <w:r w:rsidRPr="009D1D02">
              <w:rPr>
                <w:rFonts w:asciiTheme="minorHAnsi" w:hAnsiTheme="minorHAnsi" w:cstheme="minorHAnsi"/>
                <w:sz w:val="20"/>
                <w:szCs w:val="20"/>
                <w:lang w:val="es-ES"/>
              </w:rPr>
              <w:t xml:space="preserve">Excepciones frente a la demanda: 1) </w:t>
            </w:r>
            <w:r w:rsidRPr="009D1D02">
              <w:rPr>
                <w:rFonts w:asciiTheme="minorHAnsi" w:hAnsiTheme="minorHAnsi" w:cstheme="minorHAnsi"/>
                <w:sz w:val="20"/>
                <w:szCs w:val="20"/>
              </w:rPr>
              <w:t>inexistencia de responsabilidad por la falta de acreditación probatoria de los elementos estructurales de la responsabilidad – inexistencia de imputación fáctica - relación de causalidad. 2) inexistencia de falla en el servicio por parte del distrito especial de Santiago de Cali. 3) causa extraña por el hecho exclusivo y determinante de la víctima como eximente de responsabilidad. 4) ausencia de prueba del supuesto perjuicio y exagerada tasación de estos. 5) enriquecimiento sin causa. 6) genérica o innominada</w:t>
            </w:r>
          </w:p>
          <w:p w14:paraId="130B4017" w14:textId="77777777" w:rsidR="008B2C8A" w:rsidRPr="009D1D02" w:rsidRDefault="008B2C8A" w:rsidP="008B2C8A">
            <w:pPr>
              <w:jc w:val="both"/>
              <w:rPr>
                <w:rFonts w:asciiTheme="minorHAnsi" w:hAnsiTheme="minorHAnsi" w:cstheme="minorHAnsi"/>
                <w:sz w:val="20"/>
                <w:szCs w:val="20"/>
              </w:rPr>
            </w:pPr>
          </w:p>
          <w:p w14:paraId="31A67591" w14:textId="6532C114" w:rsidR="008B2C8A" w:rsidRPr="009D1D02" w:rsidRDefault="008B2C8A" w:rsidP="008B2C8A">
            <w:pPr>
              <w:jc w:val="both"/>
              <w:rPr>
                <w:rFonts w:asciiTheme="minorHAnsi" w:hAnsiTheme="minorHAnsi" w:cstheme="minorHAnsi"/>
                <w:sz w:val="20"/>
                <w:szCs w:val="20"/>
                <w:lang w:val="es-ES"/>
              </w:rPr>
            </w:pPr>
            <w:r w:rsidRPr="009D1D02">
              <w:rPr>
                <w:rFonts w:asciiTheme="minorHAnsi" w:hAnsiTheme="minorHAnsi" w:cstheme="minorHAnsi"/>
                <w:sz w:val="20"/>
                <w:szCs w:val="20"/>
                <w:lang w:val="es-ES"/>
              </w:rPr>
              <w:t xml:space="preserve">Excepciones frente al llamamiento en garantía: 1) </w:t>
            </w:r>
            <w:r w:rsidRPr="009D1D02">
              <w:rPr>
                <w:rFonts w:asciiTheme="minorHAnsi" w:hAnsiTheme="minorHAnsi" w:cstheme="minorHAnsi"/>
                <w:sz w:val="20"/>
                <w:szCs w:val="20"/>
              </w:rPr>
              <w:t>no se ha configurado siniestro a la luz de la póliza de responsabilidad civil extracontractual no. 420-80-994000000054, y por tanto no es exigible obligación indemnizatoria a cargo de la aseguradora. 2) en todo caso, la obligación indemnizatoria de la compañía aseguradora se debe ceñir al porcentaje pactado en el coaseguro / inexistencia de solidaridad pasiva entre las coaseguradoras. 3) inexistencia de solidaridad entre mi mandante y los demás demandados – inexistencia de solidaridad en el marco del contrato de seguro. 4) existencia de deducible a cargo del asegurado pactado en la póliza de seguro de responsabilidad civil extracontractual no. 420-80- 994000000054. 5) en cualquier caso, de ninguna forma se podrá exceder el límite del valor asegurado. 6) carácter meramente indemnizatorio que revisten los contratos de seguros. 7) pago por reembolso y disponibilidad del valor asegurado.</w:t>
            </w:r>
          </w:p>
          <w:p w14:paraId="01C4BF91" w14:textId="77777777" w:rsidR="0088054F" w:rsidRPr="009D1D02" w:rsidRDefault="0088054F" w:rsidP="0088054F">
            <w:pPr>
              <w:pStyle w:val="Prrafodelista"/>
              <w:jc w:val="both"/>
              <w:rPr>
                <w:rFonts w:asciiTheme="minorHAnsi" w:hAnsiTheme="minorHAnsi" w:cstheme="minorHAnsi"/>
                <w:sz w:val="20"/>
                <w:szCs w:val="20"/>
                <w:lang w:val="es-ES_tradnl"/>
              </w:rPr>
            </w:pPr>
            <w:r w:rsidRPr="009D1D02">
              <w:rPr>
                <w:rFonts w:asciiTheme="minorHAnsi" w:hAnsiTheme="minorHAnsi" w:cstheme="minorHAnsi"/>
                <w:sz w:val="20"/>
                <w:szCs w:val="20"/>
                <w:lang w:val="es-ES_tradnl"/>
              </w:rPr>
              <w:t xml:space="preserve"> </w:t>
            </w:r>
          </w:p>
        </w:tc>
      </w:tr>
      <w:tr w:rsidR="004E706E" w:rsidRPr="009D1D02" w14:paraId="7B9E12F7" w14:textId="77777777" w:rsidTr="3452EF96">
        <w:tc>
          <w:tcPr>
            <w:tcW w:w="2518" w:type="dxa"/>
            <w:shd w:val="clear" w:color="auto" w:fill="D9D9D9" w:themeFill="background1" w:themeFillShade="D9"/>
          </w:tcPr>
          <w:p w14:paraId="395CCBB9"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 xml:space="preserve">Concepto del abogado sobre la posibilidad de </w:t>
            </w:r>
            <w:r w:rsidRPr="009D1D02">
              <w:rPr>
                <w:rFonts w:asciiTheme="minorHAnsi" w:hAnsiTheme="minorHAnsi" w:cstheme="minorHAnsi"/>
                <w:b/>
                <w:sz w:val="20"/>
                <w:szCs w:val="20"/>
                <w:lang w:val="es-ES_tradnl"/>
              </w:rPr>
              <w:lastRenderedPageBreak/>
              <w:t>conciliar el caso y valor de una propuesta conciliatoria:</w:t>
            </w:r>
          </w:p>
        </w:tc>
        <w:tc>
          <w:tcPr>
            <w:tcW w:w="7465" w:type="dxa"/>
          </w:tcPr>
          <w:p w14:paraId="3800392C" w14:textId="724A14FC" w:rsidR="0088054F" w:rsidRPr="009D1D02" w:rsidRDefault="00140824" w:rsidP="0088054F">
            <w:pPr>
              <w:jc w:val="both"/>
              <w:rPr>
                <w:rFonts w:asciiTheme="minorHAnsi" w:hAnsiTheme="minorHAnsi" w:cstheme="minorHAnsi"/>
                <w:sz w:val="20"/>
                <w:szCs w:val="20"/>
                <w:lang w:val="es-ES_tradnl"/>
              </w:rPr>
            </w:pPr>
            <w:r w:rsidRPr="009D1D02">
              <w:rPr>
                <w:rFonts w:asciiTheme="minorHAnsi" w:hAnsiTheme="minorHAnsi" w:cstheme="minorHAnsi"/>
                <w:sz w:val="20"/>
                <w:szCs w:val="20"/>
              </w:rPr>
              <w:lastRenderedPageBreak/>
              <w:t>En esta instancia procesal no se recomienda proponer formula de arreglo.</w:t>
            </w:r>
          </w:p>
        </w:tc>
      </w:tr>
      <w:tr w:rsidR="004E706E" w:rsidRPr="009D1D02" w14:paraId="4885AFEF" w14:textId="77777777" w:rsidTr="3452EF96">
        <w:tc>
          <w:tcPr>
            <w:tcW w:w="2518" w:type="dxa"/>
            <w:shd w:val="clear" w:color="auto" w:fill="D9D9D9" w:themeFill="background1" w:themeFillShade="D9"/>
          </w:tcPr>
          <w:p w14:paraId="7A4A8098"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Fecha de asignación del caso</w:t>
            </w:r>
          </w:p>
        </w:tc>
        <w:tc>
          <w:tcPr>
            <w:tcW w:w="7465" w:type="dxa"/>
          </w:tcPr>
          <w:p w14:paraId="17343298" w14:textId="77777777" w:rsidR="0088054F" w:rsidRPr="009D1D02" w:rsidRDefault="0088054F" w:rsidP="0088054F">
            <w:pPr>
              <w:jc w:val="both"/>
              <w:rPr>
                <w:rFonts w:asciiTheme="minorHAnsi" w:hAnsiTheme="minorHAnsi" w:cstheme="minorHAnsi"/>
                <w:sz w:val="20"/>
                <w:szCs w:val="20"/>
                <w:lang w:val="es-ES_tradnl"/>
              </w:rPr>
            </w:pPr>
          </w:p>
        </w:tc>
      </w:tr>
      <w:tr w:rsidR="004E706E" w:rsidRPr="009D1D02" w14:paraId="2EE1817E" w14:textId="77777777" w:rsidTr="3452EF96">
        <w:tc>
          <w:tcPr>
            <w:tcW w:w="2518" w:type="dxa"/>
            <w:shd w:val="clear" w:color="auto" w:fill="D9D9D9" w:themeFill="background1" w:themeFillShade="D9"/>
          </w:tcPr>
          <w:p w14:paraId="4BBB3EF0" w14:textId="48FAB88E" w:rsidR="0088054F" w:rsidRPr="009D1D02" w:rsidRDefault="0088054F" w:rsidP="0088054F">
            <w:pPr>
              <w:rPr>
                <w:rFonts w:asciiTheme="minorHAnsi" w:hAnsiTheme="minorHAnsi" w:cstheme="minorHAnsi"/>
                <w:b/>
                <w:bCs/>
                <w:sz w:val="20"/>
                <w:szCs w:val="20"/>
                <w:lang w:val="es-ES"/>
              </w:rPr>
            </w:pPr>
            <w:r w:rsidRPr="009D1D02">
              <w:rPr>
                <w:rFonts w:asciiTheme="minorHAnsi" w:hAnsiTheme="minorHAnsi" w:cstheme="minorHAnsi"/>
                <w:b/>
                <w:bCs/>
                <w:sz w:val="20"/>
                <w:szCs w:val="20"/>
                <w:lang w:val="es-ES"/>
              </w:rPr>
              <w:t>Fecha de admisión de la vinculación de HDI</w:t>
            </w:r>
          </w:p>
        </w:tc>
        <w:tc>
          <w:tcPr>
            <w:tcW w:w="7465" w:type="dxa"/>
          </w:tcPr>
          <w:p w14:paraId="4BD88366" w14:textId="77777777" w:rsidR="00535141" w:rsidRPr="009D1D02" w:rsidRDefault="00535141" w:rsidP="00535141">
            <w:pPr>
              <w:jc w:val="both"/>
              <w:rPr>
                <w:rFonts w:asciiTheme="minorHAnsi" w:hAnsiTheme="minorHAnsi" w:cstheme="minorHAnsi"/>
                <w:bCs/>
                <w:sz w:val="20"/>
                <w:szCs w:val="20"/>
              </w:rPr>
            </w:pPr>
            <w:r w:rsidRPr="009D1D02">
              <w:rPr>
                <w:rFonts w:asciiTheme="minorHAnsi" w:hAnsiTheme="minorHAnsi" w:cstheme="minorHAnsi"/>
                <w:bCs/>
                <w:sz w:val="20"/>
                <w:szCs w:val="20"/>
              </w:rPr>
              <w:t xml:space="preserve">11 de julio de 2024 (admisión llamamiento) </w:t>
            </w:r>
          </w:p>
          <w:p w14:paraId="696A523B" w14:textId="77777777" w:rsidR="0088054F" w:rsidRPr="009D1D02" w:rsidRDefault="0088054F" w:rsidP="0088054F">
            <w:pPr>
              <w:jc w:val="both"/>
              <w:rPr>
                <w:rFonts w:asciiTheme="minorHAnsi" w:hAnsiTheme="minorHAnsi" w:cstheme="minorHAnsi"/>
                <w:sz w:val="20"/>
                <w:szCs w:val="20"/>
              </w:rPr>
            </w:pPr>
          </w:p>
        </w:tc>
      </w:tr>
      <w:tr w:rsidR="004E706E" w:rsidRPr="009D1D02" w14:paraId="5D5354CC" w14:textId="77777777" w:rsidTr="3452EF96">
        <w:tc>
          <w:tcPr>
            <w:tcW w:w="2518" w:type="dxa"/>
            <w:shd w:val="clear" w:color="auto" w:fill="D9D9D9" w:themeFill="background1" w:themeFillShade="D9"/>
          </w:tcPr>
          <w:p w14:paraId="1C31935F" w14:textId="699D1516" w:rsidR="0088054F" w:rsidRPr="009D1D02" w:rsidRDefault="0088054F" w:rsidP="0088054F">
            <w:pPr>
              <w:rPr>
                <w:rFonts w:asciiTheme="minorHAnsi" w:hAnsiTheme="minorHAnsi" w:cstheme="minorHAnsi"/>
                <w:b/>
                <w:bCs/>
                <w:sz w:val="20"/>
                <w:szCs w:val="20"/>
                <w:lang w:val="es-ES"/>
              </w:rPr>
            </w:pPr>
            <w:r w:rsidRPr="009D1D02">
              <w:rPr>
                <w:rFonts w:asciiTheme="minorHAnsi" w:hAnsiTheme="minorHAnsi" w:cstheme="minorHAnsi"/>
                <w:b/>
                <w:bCs/>
                <w:sz w:val="20"/>
                <w:szCs w:val="20"/>
                <w:lang w:val="es-ES"/>
              </w:rPr>
              <w:t>Fecha de notificación de la vinculación a HDI</w:t>
            </w:r>
          </w:p>
        </w:tc>
        <w:tc>
          <w:tcPr>
            <w:tcW w:w="7465" w:type="dxa"/>
          </w:tcPr>
          <w:p w14:paraId="34EF59C3" w14:textId="20872F19" w:rsidR="0088054F" w:rsidRPr="009D1D02" w:rsidRDefault="00881D65" w:rsidP="0088054F">
            <w:pPr>
              <w:jc w:val="both"/>
              <w:rPr>
                <w:rFonts w:asciiTheme="minorHAnsi" w:hAnsiTheme="minorHAnsi" w:cstheme="minorHAnsi"/>
                <w:sz w:val="20"/>
                <w:szCs w:val="20"/>
                <w:lang w:val="es-ES_tradnl"/>
              </w:rPr>
            </w:pPr>
            <w:r w:rsidRPr="009D1D02">
              <w:rPr>
                <w:rFonts w:asciiTheme="minorHAnsi" w:hAnsiTheme="minorHAnsi" w:cstheme="minorHAnsi"/>
                <w:sz w:val="20"/>
                <w:szCs w:val="20"/>
                <w:lang w:val="es-ES_tradnl"/>
              </w:rPr>
              <w:t>17 de julio de 2024</w:t>
            </w:r>
          </w:p>
        </w:tc>
      </w:tr>
      <w:tr w:rsidR="004E706E" w:rsidRPr="009D1D02" w14:paraId="2F193EE7" w14:textId="77777777" w:rsidTr="3452EF96">
        <w:tc>
          <w:tcPr>
            <w:tcW w:w="2518" w:type="dxa"/>
            <w:shd w:val="clear" w:color="auto" w:fill="D9D9D9" w:themeFill="background1" w:themeFillShade="D9"/>
          </w:tcPr>
          <w:p w14:paraId="60E8F079" w14:textId="77777777" w:rsidR="0088054F" w:rsidRPr="009D1D02" w:rsidRDefault="0088054F" w:rsidP="0088054F">
            <w:pPr>
              <w:rPr>
                <w:rFonts w:asciiTheme="minorHAnsi" w:hAnsiTheme="minorHAnsi" w:cstheme="minorHAnsi"/>
                <w:b/>
                <w:sz w:val="20"/>
                <w:szCs w:val="20"/>
                <w:lang w:val="es-ES_tradnl"/>
              </w:rPr>
            </w:pPr>
            <w:r w:rsidRPr="009D1D02">
              <w:rPr>
                <w:rFonts w:asciiTheme="minorHAnsi" w:hAnsiTheme="minorHAnsi" w:cstheme="minorHAnsi"/>
                <w:b/>
                <w:sz w:val="20"/>
                <w:szCs w:val="20"/>
                <w:lang w:val="es-ES_tradnl"/>
              </w:rPr>
              <w:t>Fecha de contestación del caso</w:t>
            </w:r>
          </w:p>
        </w:tc>
        <w:tc>
          <w:tcPr>
            <w:tcW w:w="7465" w:type="dxa"/>
          </w:tcPr>
          <w:p w14:paraId="635E2E0B" w14:textId="6CBD38BC" w:rsidR="0088054F" w:rsidRPr="009D1D02" w:rsidRDefault="00881D65" w:rsidP="0088054F">
            <w:pPr>
              <w:jc w:val="both"/>
              <w:rPr>
                <w:rFonts w:asciiTheme="minorHAnsi" w:hAnsiTheme="minorHAnsi" w:cstheme="minorHAnsi"/>
                <w:sz w:val="20"/>
                <w:szCs w:val="20"/>
                <w:lang w:val="es-ES_tradnl"/>
              </w:rPr>
            </w:pPr>
            <w:r w:rsidRPr="009D1D02">
              <w:rPr>
                <w:rFonts w:asciiTheme="minorHAnsi" w:hAnsiTheme="minorHAnsi" w:cstheme="minorHAnsi"/>
                <w:sz w:val="20"/>
                <w:szCs w:val="20"/>
                <w:lang w:val="es-ES_tradnl"/>
              </w:rPr>
              <w:t>08 de agosto de 2024</w:t>
            </w:r>
          </w:p>
        </w:tc>
      </w:tr>
    </w:tbl>
    <w:p w14:paraId="6550DCAA" w14:textId="7A482D36" w:rsidR="00C3016C" w:rsidRPr="009D1D02" w:rsidRDefault="00C3016C" w:rsidP="01B774E0">
      <w:pPr>
        <w:spacing w:after="160" w:line="259" w:lineRule="auto"/>
        <w:jc w:val="both"/>
        <w:rPr>
          <w:rFonts w:asciiTheme="minorHAnsi" w:hAnsiTheme="minorHAnsi" w:cstheme="minorHAnsi"/>
          <w:sz w:val="20"/>
          <w:szCs w:val="20"/>
        </w:rPr>
      </w:pPr>
    </w:p>
    <w:sectPr w:rsidR="00C3016C" w:rsidRPr="009D1D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32413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1281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097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02E8D"/>
    <w:rsid w:val="00140824"/>
    <w:rsid w:val="001D332D"/>
    <w:rsid w:val="00203F47"/>
    <w:rsid w:val="003F5769"/>
    <w:rsid w:val="004138F4"/>
    <w:rsid w:val="004869EE"/>
    <w:rsid w:val="00490A1B"/>
    <w:rsid w:val="004E706E"/>
    <w:rsid w:val="00535141"/>
    <w:rsid w:val="005C5B84"/>
    <w:rsid w:val="005D7B82"/>
    <w:rsid w:val="00876944"/>
    <w:rsid w:val="0088054F"/>
    <w:rsid w:val="00881D65"/>
    <w:rsid w:val="00891F78"/>
    <w:rsid w:val="008B2C8A"/>
    <w:rsid w:val="009D1D02"/>
    <w:rsid w:val="00AC0786"/>
    <w:rsid w:val="00B03767"/>
    <w:rsid w:val="00B170E2"/>
    <w:rsid w:val="00C3016C"/>
    <w:rsid w:val="00C35645"/>
    <w:rsid w:val="00E8173D"/>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83155">
      <w:bodyDiv w:val="1"/>
      <w:marLeft w:val="0"/>
      <w:marRight w:val="0"/>
      <w:marTop w:val="0"/>
      <w:marBottom w:val="0"/>
      <w:divBdr>
        <w:top w:val="none" w:sz="0" w:space="0" w:color="auto"/>
        <w:left w:val="none" w:sz="0" w:space="0" w:color="auto"/>
        <w:bottom w:val="none" w:sz="0" w:space="0" w:color="auto"/>
        <w:right w:val="none" w:sz="0" w:space="0" w:color="auto"/>
      </w:divBdr>
      <w:divsChild>
        <w:div w:id="317849853">
          <w:marLeft w:val="0"/>
          <w:marRight w:val="0"/>
          <w:marTop w:val="0"/>
          <w:marBottom w:val="160"/>
          <w:divBdr>
            <w:top w:val="none" w:sz="0" w:space="0" w:color="auto"/>
            <w:left w:val="none" w:sz="0" w:space="0" w:color="auto"/>
            <w:bottom w:val="none" w:sz="0" w:space="0" w:color="auto"/>
            <w:right w:val="none" w:sz="0" w:space="0" w:color="auto"/>
          </w:divBdr>
        </w:div>
        <w:div w:id="1648053477">
          <w:marLeft w:val="0"/>
          <w:marRight w:val="0"/>
          <w:marTop w:val="0"/>
          <w:marBottom w:val="160"/>
          <w:divBdr>
            <w:top w:val="none" w:sz="0" w:space="0" w:color="auto"/>
            <w:left w:val="none" w:sz="0" w:space="0" w:color="auto"/>
            <w:bottom w:val="none" w:sz="0" w:space="0" w:color="auto"/>
            <w:right w:val="none" w:sz="0" w:space="0" w:color="auto"/>
          </w:divBdr>
        </w:div>
        <w:div w:id="163595173">
          <w:marLeft w:val="0"/>
          <w:marRight w:val="0"/>
          <w:marTop w:val="0"/>
          <w:marBottom w:val="160"/>
          <w:divBdr>
            <w:top w:val="none" w:sz="0" w:space="0" w:color="auto"/>
            <w:left w:val="none" w:sz="0" w:space="0" w:color="auto"/>
            <w:bottom w:val="none" w:sz="0" w:space="0" w:color="auto"/>
            <w:right w:val="none" w:sz="0" w:space="0" w:color="auto"/>
          </w:divBdr>
        </w:div>
        <w:div w:id="841627120">
          <w:marLeft w:val="0"/>
          <w:marRight w:val="0"/>
          <w:marTop w:val="0"/>
          <w:marBottom w:val="160"/>
          <w:divBdr>
            <w:top w:val="none" w:sz="0" w:space="0" w:color="auto"/>
            <w:left w:val="none" w:sz="0" w:space="0" w:color="auto"/>
            <w:bottom w:val="none" w:sz="0" w:space="0" w:color="auto"/>
            <w:right w:val="none" w:sz="0" w:space="0" w:color="auto"/>
          </w:divBdr>
        </w:div>
        <w:div w:id="1217811395">
          <w:marLeft w:val="0"/>
          <w:marRight w:val="0"/>
          <w:marTop w:val="0"/>
          <w:marBottom w:val="160"/>
          <w:divBdr>
            <w:top w:val="none" w:sz="0" w:space="0" w:color="auto"/>
            <w:left w:val="none" w:sz="0" w:space="0" w:color="auto"/>
            <w:bottom w:val="none" w:sz="0" w:space="0" w:color="auto"/>
            <w:right w:val="none" w:sz="0" w:space="0" w:color="auto"/>
          </w:divBdr>
        </w:div>
        <w:div w:id="2079328351">
          <w:marLeft w:val="0"/>
          <w:marRight w:val="0"/>
          <w:marTop w:val="0"/>
          <w:marBottom w:val="160"/>
          <w:divBdr>
            <w:top w:val="none" w:sz="0" w:space="0" w:color="auto"/>
            <w:left w:val="none" w:sz="0" w:space="0" w:color="auto"/>
            <w:bottom w:val="none" w:sz="0" w:space="0" w:color="auto"/>
            <w:right w:val="none" w:sz="0" w:space="0" w:color="auto"/>
          </w:divBdr>
        </w:div>
        <w:div w:id="564922390">
          <w:marLeft w:val="0"/>
          <w:marRight w:val="0"/>
          <w:marTop w:val="0"/>
          <w:marBottom w:val="160"/>
          <w:divBdr>
            <w:top w:val="none" w:sz="0" w:space="0" w:color="auto"/>
            <w:left w:val="none" w:sz="0" w:space="0" w:color="auto"/>
            <w:bottom w:val="none" w:sz="0" w:space="0" w:color="auto"/>
            <w:right w:val="none" w:sz="0" w:space="0" w:color="auto"/>
          </w:divBdr>
        </w:div>
        <w:div w:id="1364474443">
          <w:marLeft w:val="0"/>
          <w:marRight w:val="0"/>
          <w:marTop w:val="0"/>
          <w:marBottom w:val="160"/>
          <w:divBdr>
            <w:top w:val="none" w:sz="0" w:space="0" w:color="auto"/>
            <w:left w:val="none" w:sz="0" w:space="0" w:color="auto"/>
            <w:bottom w:val="none" w:sz="0" w:space="0" w:color="auto"/>
            <w:right w:val="none" w:sz="0" w:space="0" w:color="auto"/>
          </w:divBdr>
        </w:div>
        <w:div w:id="2045978410">
          <w:marLeft w:val="0"/>
          <w:marRight w:val="0"/>
          <w:marTop w:val="0"/>
          <w:marBottom w:val="160"/>
          <w:divBdr>
            <w:top w:val="none" w:sz="0" w:space="0" w:color="auto"/>
            <w:left w:val="none" w:sz="0" w:space="0" w:color="auto"/>
            <w:bottom w:val="none" w:sz="0" w:space="0" w:color="auto"/>
            <w:right w:val="none" w:sz="0" w:space="0" w:color="auto"/>
          </w:divBdr>
        </w:div>
        <w:div w:id="311255409">
          <w:marLeft w:val="0"/>
          <w:marRight w:val="0"/>
          <w:marTop w:val="0"/>
          <w:marBottom w:val="160"/>
          <w:divBdr>
            <w:top w:val="none" w:sz="0" w:space="0" w:color="auto"/>
            <w:left w:val="none" w:sz="0" w:space="0" w:color="auto"/>
            <w:bottom w:val="none" w:sz="0" w:space="0" w:color="auto"/>
            <w:right w:val="none" w:sz="0" w:space="0" w:color="auto"/>
          </w:divBdr>
        </w:div>
        <w:div w:id="1530099283">
          <w:marLeft w:val="0"/>
          <w:marRight w:val="0"/>
          <w:marTop w:val="0"/>
          <w:marBottom w:val="160"/>
          <w:divBdr>
            <w:top w:val="none" w:sz="0" w:space="0" w:color="auto"/>
            <w:left w:val="none" w:sz="0" w:space="0" w:color="auto"/>
            <w:bottom w:val="none" w:sz="0" w:space="0" w:color="auto"/>
            <w:right w:val="none" w:sz="0" w:space="0" w:color="auto"/>
          </w:divBdr>
        </w:div>
        <w:div w:id="1976522664">
          <w:marLeft w:val="0"/>
          <w:marRight w:val="0"/>
          <w:marTop w:val="0"/>
          <w:marBottom w:val="160"/>
          <w:divBdr>
            <w:top w:val="none" w:sz="0" w:space="0" w:color="auto"/>
            <w:left w:val="none" w:sz="0" w:space="0" w:color="auto"/>
            <w:bottom w:val="none" w:sz="0" w:space="0" w:color="auto"/>
            <w:right w:val="none" w:sz="0" w:space="0" w:color="auto"/>
          </w:divBdr>
        </w:div>
        <w:div w:id="1584100973">
          <w:marLeft w:val="0"/>
          <w:marRight w:val="0"/>
          <w:marTop w:val="0"/>
          <w:marBottom w:val="160"/>
          <w:divBdr>
            <w:top w:val="none" w:sz="0" w:space="0" w:color="auto"/>
            <w:left w:val="none" w:sz="0" w:space="0" w:color="auto"/>
            <w:bottom w:val="none" w:sz="0" w:space="0" w:color="auto"/>
            <w:right w:val="none" w:sz="0" w:space="0" w:color="auto"/>
          </w:divBdr>
        </w:div>
        <w:div w:id="1286623969">
          <w:marLeft w:val="0"/>
          <w:marRight w:val="0"/>
          <w:marTop w:val="0"/>
          <w:marBottom w:val="160"/>
          <w:divBdr>
            <w:top w:val="none" w:sz="0" w:space="0" w:color="auto"/>
            <w:left w:val="none" w:sz="0" w:space="0" w:color="auto"/>
            <w:bottom w:val="none" w:sz="0" w:space="0" w:color="auto"/>
            <w:right w:val="none" w:sz="0" w:space="0" w:color="auto"/>
          </w:divBdr>
        </w:div>
        <w:div w:id="880828619">
          <w:marLeft w:val="0"/>
          <w:marRight w:val="0"/>
          <w:marTop w:val="0"/>
          <w:marBottom w:val="160"/>
          <w:divBdr>
            <w:top w:val="none" w:sz="0" w:space="0" w:color="auto"/>
            <w:left w:val="none" w:sz="0" w:space="0" w:color="auto"/>
            <w:bottom w:val="none" w:sz="0" w:space="0" w:color="auto"/>
            <w:right w:val="none" w:sz="0" w:space="0" w:color="auto"/>
          </w:divBdr>
        </w:div>
        <w:div w:id="1654337631">
          <w:marLeft w:val="0"/>
          <w:marRight w:val="0"/>
          <w:marTop w:val="0"/>
          <w:marBottom w:val="160"/>
          <w:divBdr>
            <w:top w:val="none" w:sz="0" w:space="0" w:color="auto"/>
            <w:left w:val="none" w:sz="0" w:space="0" w:color="auto"/>
            <w:bottom w:val="none" w:sz="0" w:space="0" w:color="auto"/>
            <w:right w:val="none" w:sz="0" w:space="0" w:color="auto"/>
          </w:divBdr>
        </w:div>
        <w:div w:id="1075669890">
          <w:marLeft w:val="0"/>
          <w:marRight w:val="0"/>
          <w:marTop w:val="0"/>
          <w:marBottom w:val="160"/>
          <w:divBdr>
            <w:top w:val="none" w:sz="0" w:space="0" w:color="auto"/>
            <w:left w:val="none" w:sz="0" w:space="0" w:color="auto"/>
            <w:bottom w:val="none" w:sz="0" w:space="0" w:color="auto"/>
            <w:right w:val="none" w:sz="0" w:space="0" w:color="auto"/>
          </w:divBdr>
        </w:div>
        <w:div w:id="106433549">
          <w:marLeft w:val="0"/>
          <w:marRight w:val="0"/>
          <w:marTop w:val="0"/>
          <w:marBottom w:val="160"/>
          <w:divBdr>
            <w:top w:val="none" w:sz="0" w:space="0" w:color="auto"/>
            <w:left w:val="none" w:sz="0" w:space="0" w:color="auto"/>
            <w:bottom w:val="none" w:sz="0" w:space="0" w:color="auto"/>
            <w:right w:val="none" w:sz="0" w:space="0" w:color="auto"/>
          </w:divBdr>
        </w:div>
        <w:div w:id="1458372639">
          <w:marLeft w:val="0"/>
          <w:marRight w:val="0"/>
          <w:marTop w:val="0"/>
          <w:marBottom w:val="160"/>
          <w:divBdr>
            <w:top w:val="none" w:sz="0" w:space="0" w:color="auto"/>
            <w:left w:val="none" w:sz="0" w:space="0" w:color="auto"/>
            <w:bottom w:val="none" w:sz="0" w:space="0" w:color="auto"/>
            <w:right w:val="none" w:sz="0" w:space="0" w:color="auto"/>
          </w:divBdr>
        </w:div>
        <w:div w:id="494535465">
          <w:marLeft w:val="0"/>
          <w:marRight w:val="0"/>
          <w:marTop w:val="0"/>
          <w:marBottom w:val="160"/>
          <w:divBdr>
            <w:top w:val="none" w:sz="0" w:space="0" w:color="auto"/>
            <w:left w:val="none" w:sz="0" w:space="0" w:color="auto"/>
            <w:bottom w:val="none" w:sz="0" w:space="0" w:color="auto"/>
            <w:right w:val="none" w:sz="0" w:space="0" w:color="auto"/>
          </w:divBdr>
        </w:div>
        <w:div w:id="1387071430">
          <w:marLeft w:val="0"/>
          <w:marRight w:val="0"/>
          <w:marTop w:val="0"/>
          <w:marBottom w:val="160"/>
          <w:divBdr>
            <w:top w:val="none" w:sz="0" w:space="0" w:color="auto"/>
            <w:left w:val="none" w:sz="0" w:space="0" w:color="auto"/>
            <w:bottom w:val="none" w:sz="0" w:space="0" w:color="auto"/>
            <w:right w:val="none" w:sz="0" w:space="0" w:color="auto"/>
          </w:divBdr>
        </w:div>
        <w:div w:id="942223948">
          <w:marLeft w:val="0"/>
          <w:marRight w:val="0"/>
          <w:marTop w:val="0"/>
          <w:marBottom w:val="160"/>
          <w:divBdr>
            <w:top w:val="none" w:sz="0" w:space="0" w:color="auto"/>
            <w:left w:val="none" w:sz="0" w:space="0" w:color="auto"/>
            <w:bottom w:val="none" w:sz="0" w:space="0" w:color="auto"/>
            <w:right w:val="none" w:sz="0" w:space="0" w:color="auto"/>
          </w:divBdr>
        </w:div>
        <w:div w:id="847065009">
          <w:marLeft w:val="0"/>
          <w:marRight w:val="0"/>
          <w:marTop w:val="0"/>
          <w:marBottom w:val="160"/>
          <w:divBdr>
            <w:top w:val="none" w:sz="0" w:space="0" w:color="auto"/>
            <w:left w:val="none" w:sz="0" w:space="0" w:color="auto"/>
            <w:bottom w:val="none" w:sz="0" w:space="0" w:color="auto"/>
            <w:right w:val="none" w:sz="0" w:space="0" w:color="auto"/>
          </w:divBdr>
        </w:div>
      </w:divsChild>
    </w:div>
    <w:div w:id="1074399595">
      <w:bodyDiv w:val="1"/>
      <w:marLeft w:val="0"/>
      <w:marRight w:val="0"/>
      <w:marTop w:val="0"/>
      <w:marBottom w:val="0"/>
      <w:divBdr>
        <w:top w:val="none" w:sz="0" w:space="0" w:color="auto"/>
        <w:left w:val="none" w:sz="0" w:space="0" w:color="auto"/>
        <w:bottom w:val="none" w:sz="0" w:space="0" w:color="auto"/>
        <w:right w:val="none" w:sz="0" w:space="0" w:color="auto"/>
      </w:divBdr>
      <w:divsChild>
        <w:div w:id="146554521">
          <w:marLeft w:val="0"/>
          <w:marRight w:val="0"/>
          <w:marTop w:val="0"/>
          <w:marBottom w:val="160"/>
          <w:divBdr>
            <w:top w:val="none" w:sz="0" w:space="0" w:color="auto"/>
            <w:left w:val="none" w:sz="0" w:space="0" w:color="auto"/>
            <w:bottom w:val="none" w:sz="0" w:space="0" w:color="auto"/>
            <w:right w:val="none" w:sz="0" w:space="0" w:color="auto"/>
          </w:divBdr>
        </w:div>
        <w:div w:id="206455179">
          <w:marLeft w:val="0"/>
          <w:marRight w:val="0"/>
          <w:marTop w:val="0"/>
          <w:marBottom w:val="160"/>
          <w:divBdr>
            <w:top w:val="none" w:sz="0" w:space="0" w:color="auto"/>
            <w:left w:val="none" w:sz="0" w:space="0" w:color="auto"/>
            <w:bottom w:val="none" w:sz="0" w:space="0" w:color="auto"/>
            <w:right w:val="none" w:sz="0" w:space="0" w:color="auto"/>
          </w:divBdr>
        </w:div>
        <w:div w:id="213273150">
          <w:marLeft w:val="0"/>
          <w:marRight w:val="0"/>
          <w:marTop w:val="0"/>
          <w:marBottom w:val="160"/>
          <w:divBdr>
            <w:top w:val="none" w:sz="0" w:space="0" w:color="auto"/>
            <w:left w:val="none" w:sz="0" w:space="0" w:color="auto"/>
            <w:bottom w:val="none" w:sz="0" w:space="0" w:color="auto"/>
            <w:right w:val="none" w:sz="0" w:space="0" w:color="auto"/>
          </w:divBdr>
        </w:div>
        <w:div w:id="1302346650">
          <w:marLeft w:val="0"/>
          <w:marRight w:val="0"/>
          <w:marTop w:val="0"/>
          <w:marBottom w:val="160"/>
          <w:divBdr>
            <w:top w:val="none" w:sz="0" w:space="0" w:color="auto"/>
            <w:left w:val="none" w:sz="0" w:space="0" w:color="auto"/>
            <w:bottom w:val="none" w:sz="0" w:space="0" w:color="auto"/>
            <w:right w:val="none" w:sz="0" w:space="0" w:color="auto"/>
          </w:divBdr>
        </w:div>
        <w:div w:id="746075064">
          <w:marLeft w:val="0"/>
          <w:marRight w:val="0"/>
          <w:marTop w:val="0"/>
          <w:marBottom w:val="160"/>
          <w:divBdr>
            <w:top w:val="none" w:sz="0" w:space="0" w:color="auto"/>
            <w:left w:val="none" w:sz="0" w:space="0" w:color="auto"/>
            <w:bottom w:val="none" w:sz="0" w:space="0" w:color="auto"/>
            <w:right w:val="none" w:sz="0" w:space="0" w:color="auto"/>
          </w:divBdr>
        </w:div>
        <w:div w:id="525217356">
          <w:marLeft w:val="0"/>
          <w:marRight w:val="0"/>
          <w:marTop w:val="0"/>
          <w:marBottom w:val="160"/>
          <w:divBdr>
            <w:top w:val="none" w:sz="0" w:space="0" w:color="auto"/>
            <w:left w:val="none" w:sz="0" w:space="0" w:color="auto"/>
            <w:bottom w:val="none" w:sz="0" w:space="0" w:color="auto"/>
            <w:right w:val="none" w:sz="0" w:space="0" w:color="auto"/>
          </w:divBdr>
        </w:div>
        <w:div w:id="644312942">
          <w:marLeft w:val="0"/>
          <w:marRight w:val="0"/>
          <w:marTop w:val="0"/>
          <w:marBottom w:val="160"/>
          <w:divBdr>
            <w:top w:val="none" w:sz="0" w:space="0" w:color="auto"/>
            <w:left w:val="none" w:sz="0" w:space="0" w:color="auto"/>
            <w:bottom w:val="none" w:sz="0" w:space="0" w:color="auto"/>
            <w:right w:val="none" w:sz="0" w:space="0" w:color="auto"/>
          </w:divBdr>
        </w:div>
        <w:div w:id="1834956298">
          <w:marLeft w:val="0"/>
          <w:marRight w:val="0"/>
          <w:marTop w:val="0"/>
          <w:marBottom w:val="160"/>
          <w:divBdr>
            <w:top w:val="none" w:sz="0" w:space="0" w:color="auto"/>
            <w:left w:val="none" w:sz="0" w:space="0" w:color="auto"/>
            <w:bottom w:val="none" w:sz="0" w:space="0" w:color="auto"/>
            <w:right w:val="none" w:sz="0" w:space="0" w:color="auto"/>
          </w:divBdr>
        </w:div>
        <w:div w:id="633171596">
          <w:marLeft w:val="0"/>
          <w:marRight w:val="0"/>
          <w:marTop w:val="0"/>
          <w:marBottom w:val="160"/>
          <w:divBdr>
            <w:top w:val="none" w:sz="0" w:space="0" w:color="auto"/>
            <w:left w:val="none" w:sz="0" w:space="0" w:color="auto"/>
            <w:bottom w:val="none" w:sz="0" w:space="0" w:color="auto"/>
            <w:right w:val="none" w:sz="0" w:space="0" w:color="auto"/>
          </w:divBdr>
        </w:div>
        <w:div w:id="185480868">
          <w:marLeft w:val="0"/>
          <w:marRight w:val="0"/>
          <w:marTop w:val="0"/>
          <w:marBottom w:val="160"/>
          <w:divBdr>
            <w:top w:val="none" w:sz="0" w:space="0" w:color="auto"/>
            <w:left w:val="none" w:sz="0" w:space="0" w:color="auto"/>
            <w:bottom w:val="none" w:sz="0" w:space="0" w:color="auto"/>
            <w:right w:val="none" w:sz="0" w:space="0" w:color="auto"/>
          </w:divBdr>
        </w:div>
        <w:div w:id="1413313838">
          <w:marLeft w:val="0"/>
          <w:marRight w:val="0"/>
          <w:marTop w:val="0"/>
          <w:marBottom w:val="160"/>
          <w:divBdr>
            <w:top w:val="none" w:sz="0" w:space="0" w:color="auto"/>
            <w:left w:val="none" w:sz="0" w:space="0" w:color="auto"/>
            <w:bottom w:val="none" w:sz="0" w:space="0" w:color="auto"/>
            <w:right w:val="none" w:sz="0" w:space="0" w:color="auto"/>
          </w:divBdr>
        </w:div>
        <w:div w:id="13312220">
          <w:marLeft w:val="0"/>
          <w:marRight w:val="0"/>
          <w:marTop w:val="0"/>
          <w:marBottom w:val="160"/>
          <w:divBdr>
            <w:top w:val="none" w:sz="0" w:space="0" w:color="auto"/>
            <w:left w:val="none" w:sz="0" w:space="0" w:color="auto"/>
            <w:bottom w:val="none" w:sz="0" w:space="0" w:color="auto"/>
            <w:right w:val="none" w:sz="0" w:space="0" w:color="auto"/>
          </w:divBdr>
        </w:div>
        <w:div w:id="377629051">
          <w:marLeft w:val="0"/>
          <w:marRight w:val="0"/>
          <w:marTop w:val="0"/>
          <w:marBottom w:val="160"/>
          <w:divBdr>
            <w:top w:val="none" w:sz="0" w:space="0" w:color="auto"/>
            <w:left w:val="none" w:sz="0" w:space="0" w:color="auto"/>
            <w:bottom w:val="none" w:sz="0" w:space="0" w:color="auto"/>
            <w:right w:val="none" w:sz="0" w:space="0" w:color="auto"/>
          </w:divBdr>
        </w:div>
        <w:div w:id="1958635059">
          <w:marLeft w:val="0"/>
          <w:marRight w:val="0"/>
          <w:marTop w:val="0"/>
          <w:marBottom w:val="160"/>
          <w:divBdr>
            <w:top w:val="none" w:sz="0" w:space="0" w:color="auto"/>
            <w:left w:val="none" w:sz="0" w:space="0" w:color="auto"/>
            <w:bottom w:val="none" w:sz="0" w:space="0" w:color="auto"/>
            <w:right w:val="none" w:sz="0" w:space="0" w:color="auto"/>
          </w:divBdr>
        </w:div>
        <w:div w:id="1233542456">
          <w:marLeft w:val="0"/>
          <w:marRight w:val="0"/>
          <w:marTop w:val="0"/>
          <w:marBottom w:val="160"/>
          <w:divBdr>
            <w:top w:val="none" w:sz="0" w:space="0" w:color="auto"/>
            <w:left w:val="none" w:sz="0" w:space="0" w:color="auto"/>
            <w:bottom w:val="none" w:sz="0" w:space="0" w:color="auto"/>
            <w:right w:val="none" w:sz="0" w:space="0" w:color="auto"/>
          </w:divBdr>
        </w:div>
        <w:div w:id="1133715538">
          <w:marLeft w:val="0"/>
          <w:marRight w:val="0"/>
          <w:marTop w:val="0"/>
          <w:marBottom w:val="160"/>
          <w:divBdr>
            <w:top w:val="none" w:sz="0" w:space="0" w:color="auto"/>
            <w:left w:val="none" w:sz="0" w:space="0" w:color="auto"/>
            <w:bottom w:val="none" w:sz="0" w:space="0" w:color="auto"/>
            <w:right w:val="none" w:sz="0" w:space="0" w:color="auto"/>
          </w:divBdr>
        </w:div>
        <w:div w:id="76294765">
          <w:marLeft w:val="0"/>
          <w:marRight w:val="0"/>
          <w:marTop w:val="0"/>
          <w:marBottom w:val="160"/>
          <w:divBdr>
            <w:top w:val="none" w:sz="0" w:space="0" w:color="auto"/>
            <w:left w:val="none" w:sz="0" w:space="0" w:color="auto"/>
            <w:bottom w:val="none" w:sz="0" w:space="0" w:color="auto"/>
            <w:right w:val="none" w:sz="0" w:space="0" w:color="auto"/>
          </w:divBdr>
        </w:div>
        <w:div w:id="592053624">
          <w:marLeft w:val="0"/>
          <w:marRight w:val="0"/>
          <w:marTop w:val="0"/>
          <w:marBottom w:val="160"/>
          <w:divBdr>
            <w:top w:val="none" w:sz="0" w:space="0" w:color="auto"/>
            <w:left w:val="none" w:sz="0" w:space="0" w:color="auto"/>
            <w:bottom w:val="none" w:sz="0" w:space="0" w:color="auto"/>
            <w:right w:val="none" w:sz="0" w:space="0" w:color="auto"/>
          </w:divBdr>
        </w:div>
        <w:div w:id="1541013583">
          <w:marLeft w:val="0"/>
          <w:marRight w:val="0"/>
          <w:marTop w:val="0"/>
          <w:marBottom w:val="160"/>
          <w:divBdr>
            <w:top w:val="none" w:sz="0" w:space="0" w:color="auto"/>
            <w:left w:val="none" w:sz="0" w:space="0" w:color="auto"/>
            <w:bottom w:val="none" w:sz="0" w:space="0" w:color="auto"/>
            <w:right w:val="none" w:sz="0" w:space="0" w:color="auto"/>
          </w:divBdr>
        </w:div>
        <w:div w:id="1879586125">
          <w:marLeft w:val="0"/>
          <w:marRight w:val="0"/>
          <w:marTop w:val="0"/>
          <w:marBottom w:val="160"/>
          <w:divBdr>
            <w:top w:val="none" w:sz="0" w:space="0" w:color="auto"/>
            <w:left w:val="none" w:sz="0" w:space="0" w:color="auto"/>
            <w:bottom w:val="none" w:sz="0" w:space="0" w:color="auto"/>
            <w:right w:val="none" w:sz="0" w:space="0" w:color="auto"/>
          </w:divBdr>
        </w:div>
        <w:div w:id="1589921132">
          <w:marLeft w:val="0"/>
          <w:marRight w:val="0"/>
          <w:marTop w:val="0"/>
          <w:marBottom w:val="160"/>
          <w:divBdr>
            <w:top w:val="none" w:sz="0" w:space="0" w:color="auto"/>
            <w:left w:val="none" w:sz="0" w:space="0" w:color="auto"/>
            <w:bottom w:val="none" w:sz="0" w:space="0" w:color="auto"/>
            <w:right w:val="none" w:sz="0" w:space="0" w:color="auto"/>
          </w:divBdr>
        </w:div>
        <w:div w:id="1428496677">
          <w:marLeft w:val="0"/>
          <w:marRight w:val="0"/>
          <w:marTop w:val="0"/>
          <w:marBottom w:val="160"/>
          <w:divBdr>
            <w:top w:val="none" w:sz="0" w:space="0" w:color="auto"/>
            <w:left w:val="none" w:sz="0" w:space="0" w:color="auto"/>
            <w:bottom w:val="none" w:sz="0" w:space="0" w:color="auto"/>
            <w:right w:val="none" w:sz="0" w:space="0" w:color="auto"/>
          </w:divBdr>
        </w:div>
        <w:div w:id="256595519">
          <w:marLeft w:val="0"/>
          <w:marRight w:val="0"/>
          <w:marTop w:val="0"/>
          <w:marBottom w:val="160"/>
          <w:divBdr>
            <w:top w:val="none" w:sz="0" w:space="0" w:color="auto"/>
            <w:left w:val="none" w:sz="0" w:space="0" w:color="auto"/>
            <w:bottom w:val="none" w:sz="0" w:space="0" w:color="auto"/>
            <w:right w:val="none" w:sz="0" w:space="0" w:color="auto"/>
          </w:divBdr>
        </w:div>
      </w:divsChild>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1277</Words>
  <Characters>7025</Characters>
  <Application>Microsoft Office Word</Application>
  <DocSecurity>0</DocSecurity>
  <Lines>58</Lines>
  <Paragraphs>16</Paragraphs>
  <ScaleCrop>false</ScaleCrop>
  <Company>Liberty Mutual</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Juan Carlos  Sanclemente</cp:lastModifiedBy>
  <cp:revision>4</cp:revision>
  <dcterms:created xsi:type="dcterms:W3CDTF">2024-08-16T13:58:00Z</dcterms:created>
  <dcterms:modified xsi:type="dcterms:W3CDTF">2024-08-20T21:11:00Z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