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7D237" w14:textId="77777777" w:rsidR="00020277" w:rsidRPr="001B7B93" w:rsidRDefault="00D56814">
      <w:pPr>
        <w:widowControl w:val="0"/>
        <w:autoSpaceDE w:val="0"/>
        <w:autoSpaceDN w:val="0"/>
        <w:adjustRightInd w:val="0"/>
        <w:spacing w:after="0" w:line="240" w:lineRule="auto"/>
        <w:rPr>
          <w:rFonts w:ascii="Times New Roman" w:hAnsi="Times New Roman" w:cs="Times New Roman"/>
          <w:sz w:val="28"/>
          <w:szCs w:val="28"/>
        </w:rPr>
      </w:pPr>
      <w:r w:rsidRPr="001B7B93">
        <w:rPr>
          <w:rFonts w:ascii="Times New Roman" w:hAnsi="Times New Roman" w:cs="Times New Roman"/>
          <w:sz w:val="28"/>
          <w:szCs w:val="24"/>
        </w:rPr>
        <w:t xml:space="preserve"> </w:t>
      </w:r>
    </w:p>
    <w:p w14:paraId="5778401A" w14:textId="77777777" w:rsidR="00020277" w:rsidRPr="001B7B93" w:rsidRDefault="00020277">
      <w:pPr>
        <w:widowControl w:val="0"/>
        <w:autoSpaceDE w:val="0"/>
        <w:autoSpaceDN w:val="0"/>
        <w:adjustRightInd w:val="0"/>
        <w:spacing w:after="0" w:line="240" w:lineRule="auto"/>
        <w:rPr>
          <w:rFonts w:ascii="Times New Roman" w:hAnsi="Times New Roman" w:cs="Times New Roman"/>
          <w:sz w:val="28"/>
          <w:szCs w:val="28"/>
        </w:rPr>
      </w:pPr>
    </w:p>
    <w:p w14:paraId="3B400128" w14:textId="77777777" w:rsidR="00020277" w:rsidRPr="001B7B93" w:rsidRDefault="00D56814">
      <w:pPr>
        <w:widowControl w:val="0"/>
        <w:autoSpaceDE w:val="0"/>
        <w:autoSpaceDN w:val="0"/>
        <w:adjustRightInd w:val="0"/>
        <w:spacing w:after="0" w:line="240" w:lineRule="auto"/>
        <w:jc w:val="center"/>
        <w:rPr>
          <w:rFonts w:ascii="Times New Roman" w:hAnsi="Times New Roman" w:cs="Times New Roman"/>
          <w:b/>
          <w:bCs/>
          <w:sz w:val="28"/>
          <w:szCs w:val="28"/>
        </w:rPr>
      </w:pPr>
      <w:r w:rsidRPr="001B7B93">
        <w:rPr>
          <w:rFonts w:ascii="Times New Roman" w:hAnsi="Times New Roman" w:cs="Times New Roman"/>
          <w:b/>
          <w:bCs/>
          <w:sz w:val="28"/>
          <w:szCs w:val="28"/>
        </w:rPr>
        <w:t xml:space="preserve">TEMAS-SUBTEMAS </w:t>
      </w:r>
    </w:p>
    <w:p w14:paraId="217941F6" w14:textId="77777777" w:rsidR="00020277" w:rsidRPr="001B7B93" w:rsidRDefault="00020277">
      <w:pPr>
        <w:widowControl w:val="0"/>
        <w:autoSpaceDE w:val="0"/>
        <w:autoSpaceDN w:val="0"/>
        <w:adjustRightInd w:val="0"/>
        <w:spacing w:after="0" w:line="240" w:lineRule="auto"/>
        <w:jc w:val="center"/>
        <w:rPr>
          <w:rFonts w:ascii="Times New Roman" w:hAnsi="Times New Roman" w:cs="Times New Roman"/>
          <w:b/>
          <w:bCs/>
          <w:sz w:val="28"/>
          <w:szCs w:val="28"/>
        </w:rPr>
      </w:pPr>
    </w:p>
    <w:p w14:paraId="43E43975" w14:textId="77777777" w:rsidR="00020277" w:rsidRPr="001B7B93" w:rsidRDefault="00D56814">
      <w:pPr>
        <w:widowControl w:val="0"/>
        <w:autoSpaceDE w:val="0"/>
        <w:autoSpaceDN w:val="0"/>
        <w:adjustRightInd w:val="0"/>
        <w:spacing w:after="0" w:line="240" w:lineRule="auto"/>
        <w:jc w:val="center"/>
        <w:rPr>
          <w:rFonts w:ascii="Times New Roman" w:hAnsi="Times New Roman" w:cs="Times New Roman"/>
          <w:sz w:val="28"/>
          <w:szCs w:val="28"/>
        </w:rPr>
      </w:pPr>
      <w:r w:rsidRPr="001B7B93">
        <w:rPr>
          <w:rFonts w:ascii="Times New Roman" w:hAnsi="Times New Roman" w:cs="Times New Roman"/>
          <w:b/>
          <w:bCs/>
          <w:sz w:val="28"/>
          <w:szCs w:val="28"/>
        </w:rPr>
        <w:t xml:space="preserve">Auto A-2543/23 </w:t>
      </w:r>
    </w:p>
    <w:p w14:paraId="257D1519" w14:textId="77777777" w:rsidR="00020277" w:rsidRPr="001B7B93" w:rsidRDefault="00020277">
      <w:pPr>
        <w:widowControl w:val="0"/>
        <w:autoSpaceDE w:val="0"/>
        <w:autoSpaceDN w:val="0"/>
        <w:adjustRightInd w:val="0"/>
        <w:spacing w:after="0" w:line="240" w:lineRule="auto"/>
        <w:jc w:val="both"/>
        <w:rPr>
          <w:rFonts w:ascii="Times New Roman" w:hAnsi="Times New Roman" w:cs="Times New Roman"/>
          <w:sz w:val="28"/>
          <w:szCs w:val="28"/>
        </w:rPr>
      </w:pPr>
    </w:p>
    <w:p w14:paraId="4A9F2085" w14:textId="77777777" w:rsidR="00020277" w:rsidRPr="001B7B93" w:rsidRDefault="00D56814">
      <w:pPr>
        <w:widowControl w:val="0"/>
        <w:autoSpaceDE w:val="0"/>
        <w:autoSpaceDN w:val="0"/>
        <w:adjustRightInd w:val="0"/>
        <w:spacing w:after="0" w:line="240" w:lineRule="auto"/>
        <w:jc w:val="both"/>
        <w:rPr>
          <w:rFonts w:ascii="Times New Roman" w:hAnsi="Times New Roman" w:cs="Times New Roman"/>
          <w:sz w:val="28"/>
          <w:szCs w:val="28"/>
        </w:rPr>
      </w:pPr>
      <w:r w:rsidRPr="001B7B93">
        <w:rPr>
          <w:rFonts w:ascii="Times New Roman" w:hAnsi="Times New Roman" w:cs="Times New Roman"/>
          <w:b/>
          <w:bCs/>
          <w:sz w:val="28"/>
          <w:szCs w:val="28"/>
        </w:rPr>
        <w:t>COMPETENCIA DE LA JURISDICCIÓN CONTENCIOSO ADMINISTRATIVA</w:t>
      </w:r>
      <w:r w:rsidRPr="001B7B93">
        <w:rPr>
          <w:rFonts w:ascii="Times New Roman" w:hAnsi="Times New Roman" w:cs="Times New Roman"/>
          <w:sz w:val="28"/>
          <w:szCs w:val="28"/>
        </w:rPr>
        <w:t xml:space="preserve">-Controversias relacionadas con un contrato estatal </w:t>
      </w:r>
    </w:p>
    <w:p w14:paraId="55AF703F" w14:textId="77777777" w:rsidR="00020277" w:rsidRPr="001B7B93" w:rsidRDefault="00020277">
      <w:pPr>
        <w:widowControl w:val="0"/>
        <w:autoSpaceDE w:val="0"/>
        <w:autoSpaceDN w:val="0"/>
        <w:adjustRightInd w:val="0"/>
        <w:spacing w:after="0" w:line="240" w:lineRule="auto"/>
        <w:jc w:val="both"/>
        <w:rPr>
          <w:rFonts w:ascii="Times New Roman" w:hAnsi="Times New Roman" w:cs="Times New Roman"/>
          <w:sz w:val="28"/>
          <w:szCs w:val="28"/>
        </w:rPr>
      </w:pPr>
    </w:p>
    <w:p w14:paraId="46720A3C" w14:textId="77777777" w:rsidR="00020277" w:rsidRPr="001B7B93" w:rsidRDefault="00000000">
      <w:pPr>
        <w:widowControl w:val="0"/>
        <w:autoSpaceDE w:val="0"/>
        <w:autoSpaceDN w:val="0"/>
        <w:adjustRightInd w:val="0"/>
        <w:spacing w:after="0" w:line="240" w:lineRule="auto"/>
        <w:jc w:val="both"/>
        <w:rPr>
          <w:rFonts w:ascii="Times New Roman" w:hAnsi="Times New Roman" w:cs="Times New Roman"/>
          <w:sz w:val="28"/>
        </w:rPr>
      </w:pPr>
      <w:r>
        <w:rPr>
          <w:rFonts w:ascii="Times New Roman" w:hAnsi="Times New Roman" w:cs="Times New Roman"/>
          <w:sz w:val="28"/>
          <w:szCs w:val="28"/>
        </w:rPr>
        <w:pict w14:anchorId="3AAF2C60">
          <v:rect id="_x0000_i1025" style="width:0;height:1.5pt" o:hralign="center" o:hrstd="t" o:hr="t" fillcolor="#a0a0a0" stroked="f"/>
        </w:pict>
      </w:r>
    </w:p>
    <w:p w14:paraId="1FFF8879" w14:textId="77777777" w:rsidR="00000000" w:rsidRPr="001B7B93" w:rsidRDefault="001B7B93" w:rsidP="0010682C">
      <w:pPr>
        <w:pStyle w:val="Encabezado"/>
        <w:jc w:val="center"/>
        <w:rPr>
          <w:rFonts w:ascii="Times New Roman" w:hAnsi="Times New Roman" w:cs="Times New Roman"/>
          <w:b/>
          <w:bCs/>
          <w:sz w:val="28"/>
          <w:szCs w:val="28"/>
          <w:lang w:val="es-ES"/>
        </w:rPr>
      </w:pPr>
      <w:r w:rsidRPr="001B7B93">
        <w:rPr>
          <w:rFonts w:ascii="Times New Roman" w:hAnsi="Times New Roman" w:cs="Times New Roman"/>
          <w:b/>
          <w:bCs/>
          <w:sz w:val="28"/>
          <w:szCs w:val="28"/>
          <w:lang w:val="es-ES"/>
        </w:rPr>
        <w:t>REPÚBLICA DE COLOMBIA</w:t>
      </w:r>
    </w:p>
    <w:p w14:paraId="29235A48" w14:textId="77777777" w:rsidR="00000000" w:rsidRPr="001B7B93" w:rsidRDefault="001B7B93" w:rsidP="0010682C">
      <w:pPr>
        <w:pStyle w:val="Encabezado"/>
        <w:jc w:val="center"/>
        <w:rPr>
          <w:rFonts w:ascii="Times New Roman" w:hAnsi="Times New Roman" w:cs="Times New Roman"/>
          <w:b/>
          <w:bCs/>
          <w:sz w:val="28"/>
          <w:szCs w:val="28"/>
          <w:lang w:val="es-ES"/>
        </w:rPr>
      </w:pPr>
      <w:r w:rsidRPr="001B7B93">
        <w:rPr>
          <w:rFonts w:ascii="Times New Roman" w:hAnsi="Times New Roman" w:cs="Times New Roman"/>
          <w:b/>
          <w:bCs/>
          <w:noProof/>
          <w:sz w:val="28"/>
          <w:szCs w:val="28"/>
        </w:rPr>
        <w:drawing>
          <wp:inline distT="0" distB="0" distL="0" distR="0" wp14:anchorId="6D463E08" wp14:editId="3AC6ACF9">
            <wp:extent cx="792480" cy="79248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4C4B4B35" w14:textId="77777777" w:rsidR="00000000" w:rsidRPr="001B7B93" w:rsidRDefault="001B7B93" w:rsidP="0010682C">
      <w:pPr>
        <w:pStyle w:val="Encabezado"/>
        <w:jc w:val="center"/>
        <w:rPr>
          <w:rFonts w:ascii="Times New Roman" w:hAnsi="Times New Roman" w:cs="Times New Roman"/>
          <w:b/>
          <w:bCs/>
          <w:sz w:val="28"/>
          <w:szCs w:val="28"/>
          <w:lang w:val="es-ES"/>
        </w:rPr>
      </w:pPr>
      <w:r w:rsidRPr="001B7B93">
        <w:rPr>
          <w:rFonts w:ascii="Times New Roman" w:hAnsi="Times New Roman" w:cs="Times New Roman"/>
          <w:b/>
          <w:bCs/>
          <w:sz w:val="28"/>
          <w:szCs w:val="28"/>
          <w:lang w:val="es-ES"/>
        </w:rPr>
        <w:t>CORTE CONSTITUCIONAL</w:t>
      </w:r>
    </w:p>
    <w:p w14:paraId="7F90FBEE" w14:textId="77777777" w:rsidR="00000000" w:rsidRPr="001B7B93" w:rsidRDefault="001B7B93" w:rsidP="0010682C">
      <w:pPr>
        <w:pStyle w:val="Encabezado"/>
        <w:jc w:val="center"/>
        <w:rPr>
          <w:rFonts w:ascii="Times New Roman" w:hAnsi="Times New Roman" w:cs="Times New Roman"/>
          <w:b/>
          <w:bCs/>
          <w:sz w:val="28"/>
          <w:szCs w:val="28"/>
          <w:lang w:val="es-ES"/>
        </w:rPr>
      </w:pPr>
      <w:r w:rsidRPr="001B7B93">
        <w:rPr>
          <w:rFonts w:ascii="Times New Roman" w:hAnsi="Times New Roman" w:cs="Times New Roman"/>
          <w:b/>
          <w:bCs/>
          <w:sz w:val="28"/>
          <w:szCs w:val="28"/>
          <w:lang w:val="es-ES"/>
        </w:rPr>
        <w:t>Sala Plena</w:t>
      </w:r>
    </w:p>
    <w:p w14:paraId="781DC4D5" w14:textId="77777777" w:rsidR="00000000" w:rsidRPr="001B7B93" w:rsidRDefault="00000000" w:rsidP="00B86EF7">
      <w:pPr>
        <w:spacing w:after="0" w:line="240" w:lineRule="auto"/>
        <w:rPr>
          <w:rFonts w:ascii="Times New Roman" w:eastAsia="Times New Roman" w:hAnsi="Times New Roman" w:cs="Times New Roman"/>
          <w:color w:val="000000" w:themeColor="text1"/>
          <w:sz w:val="28"/>
          <w:szCs w:val="28"/>
          <w:lang w:val="es-ES" w:eastAsia="es-ES"/>
        </w:rPr>
      </w:pPr>
    </w:p>
    <w:p w14:paraId="29150475" w14:textId="77777777" w:rsidR="00000000" w:rsidRPr="001B7B93" w:rsidRDefault="001B7B93" w:rsidP="00B86EF7">
      <w:pPr>
        <w:spacing w:after="0" w:line="240" w:lineRule="auto"/>
        <w:jc w:val="center"/>
        <w:rPr>
          <w:rFonts w:ascii="Times New Roman" w:eastAsia="Times New Roman" w:hAnsi="Times New Roman" w:cs="Times New Roman"/>
          <w:b/>
          <w:color w:val="000000" w:themeColor="text1"/>
          <w:sz w:val="28"/>
          <w:szCs w:val="28"/>
          <w:lang w:val="es-ES_tradnl" w:eastAsia="es-ES"/>
        </w:rPr>
      </w:pPr>
      <w:r w:rsidRPr="001B7B93">
        <w:rPr>
          <w:rFonts w:ascii="Times New Roman" w:eastAsia="Times New Roman" w:hAnsi="Times New Roman" w:cs="Times New Roman"/>
          <w:b/>
          <w:color w:val="000000" w:themeColor="text1"/>
          <w:sz w:val="28"/>
          <w:szCs w:val="28"/>
          <w:lang w:val="es-ES_tradnl" w:eastAsia="es-ES"/>
        </w:rPr>
        <w:t>AUTO 2543 DE 2023</w:t>
      </w:r>
    </w:p>
    <w:p w14:paraId="2658D7B2" w14:textId="77777777" w:rsidR="00000000" w:rsidRPr="001B7B93" w:rsidRDefault="00000000" w:rsidP="00B86EF7">
      <w:pPr>
        <w:spacing w:after="0" w:line="240" w:lineRule="auto"/>
        <w:jc w:val="center"/>
        <w:rPr>
          <w:rFonts w:ascii="Times New Roman" w:eastAsia="Times New Roman" w:hAnsi="Times New Roman" w:cs="Times New Roman"/>
          <w:b/>
          <w:color w:val="000000" w:themeColor="text1"/>
          <w:sz w:val="28"/>
          <w:szCs w:val="28"/>
          <w:lang w:val="es-ES_tradnl" w:eastAsia="es-ES"/>
        </w:rPr>
      </w:pPr>
    </w:p>
    <w:p w14:paraId="39577D50" w14:textId="77777777" w:rsidR="00000000" w:rsidRPr="001B7B93" w:rsidRDefault="001B7B93" w:rsidP="00B86EF7">
      <w:pPr>
        <w:spacing w:after="0" w:line="240" w:lineRule="auto"/>
        <w:ind w:left="3544"/>
        <w:jc w:val="both"/>
        <w:rPr>
          <w:rFonts w:ascii="Times New Roman" w:eastAsia="Times New Roman" w:hAnsi="Times New Roman" w:cs="Times New Roman"/>
          <w:bCs/>
          <w:color w:val="000000" w:themeColor="text1"/>
          <w:sz w:val="28"/>
          <w:szCs w:val="28"/>
          <w:lang w:val="es-ES_tradnl" w:eastAsia="es-ES"/>
        </w:rPr>
      </w:pPr>
      <w:r w:rsidRPr="001B7B93">
        <w:rPr>
          <w:rFonts w:ascii="Times New Roman" w:eastAsia="Times New Roman" w:hAnsi="Times New Roman" w:cs="Times New Roman"/>
          <w:b/>
          <w:color w:val="000000" w:themeColor="text1"/>
          <w:sz w:val="28"/>
          <w:szCs w:val="28"/>
          <w:lang w:val="es-ES_tradnl" w:eastAsia="es-ES"/>
        </w:rPr>
        <w:t xml:space="preserve">Referencia: </w:t>
      </w:r>
      <w:r w:rsidRPr="001B7B93">
        <w:rPr>
          <w:rFonts w:ascii="Times New Roman" w:eastAsia="Times New Roman" w:hAnsi="Times New Roman" w:cs="Times New Roman"/>
          <w:bCs/>
          <w:color w:val="000000" w:themeColor="text1"/>
          <w:sz w:val="28"/>
          <w:szCs w:val="28"/>
          <w:lang w:val="es-ES_tradnl" w:eastAsia="es-ES"/>
        </w:rPr>
        <w:t>expediente CJU-4315</w:t>
      </w:r>
    </w:p>
    <w:p w14:paraId="6C6F41FF" w14:textId="77777777" w:rsidR="00000000" w:rsidRPr="001B7B93" w:rsidRDefault="00000000" w:rsidP="00B86EF7">
      <w:pPr>
        <w:spacing w:after="0" w:line="240" w:lineRule="auto"/>
        <w:ind w:left="3544"/>
        <w:jc w:val="both"/>
        <w:rPr>
          <w:rFonts w:ascii="Times New Roman" w:eastAsia="Times New Roman" w:hAnsi="Times New Roman" w:cs="Times New Roman"/>
          <w:b/>
          <w:color w:val="000000" w:themeColor="text1"/>
          <w:sz w:val="28"/>
          <w:szCs w:val="28"/>
          <w:lang w:val="es-ES_tradnl" w:eastAsia="es-ES"/>
        </w:rPr>
      </w:pPr>
    </w:p>
    <w:p w14:paraId="0343CEF9" w14:textId="77777777" w:rsidR="00000000" w:rsidRPr="001B7B93" w:rsidRDefault="001B7B93" w:rsidP="00B86EF7">
      <w:pPr>
        <w:spacing w:after="0" w:line="240" w:lineRule="auto"/>
        <w:ind w:left="3544"/>
        <w:jc w:val="both"/>
        <w:rPr>
          <w:rFonts w:ascii="Times New Roman" w:eastAsia="Times New Roman" w:hAnsi="Times New Roman" w:cs="Times New Roman"/>
          <w:bCs/>
          <w:color w:val="000000" w:themeColor="text1"/>
          <w:sz w:val="28"/>
          <w:szCs w:val="28"/>
          <w:lang w:eastAsia="es-ES"/>
        </w:rPr>
      </w:pPr>
      <w:r w:rsidRPr="001B7B93">
        <w:rPr>
          <w:rFonts w:ascii="Times New Roman" w:eastAsia="Times New Roman" w:hAnsi="Times New Roman" w:cs="Times New Roman"/>
          <w:bCs/>
          <w:color w:val="000000" w:themeColor="text1"/>
          <w:sz w:val="28"/>
          <w:szCs w:val="28"/>
          <w:lang w:val="es-ES_tradnl" w:eastAsia="es-ES"/>
        </w:rPr>
        <w:t xml:space="preserve">Conflicto de jurisdicciones entre el </w:t>
      </w:r>
      <w:bookmarkStart w:id="0" w:name="_Hlk134632898"/>
      <w:r w:rsidRPr="001B7B93">
        <w:rPr>
          <w:rFonts w:ascii="Times New Roman" w:eastAsia="Times New Roman" w:hAnsi="Times New Roman" w:cs="Times New Roman"/>
          <w:bCs/>
          <w:color w:val="000000" w:themeColor="text1"/>
          <w:sz w:val="28"/>
          <w:szCs w:val="28"/>
          <w:lang w:val="es-ES_tradnl" w:eastAsia="es-ES"/>
        </w:rPr>
        <w:t>Juzgado Primero Administrativo de Pasto y el Juzgado Primero Civil del Circuito de Túquerres</w:t>
      </w:r>
    </w:p>
    <w:bookmarkEnd w:id="0"/>
    <w:p w14:paraId="5B67D955" w14:textId="77777777" w:rsidR="00000000" w:rsidRPr="001B7B93" w:rsidRDefault="00000000" w:rsidP="00B86EF7">
      <w:pPr>
        <w:spacing w:after="0" w:line="240" w:lineRule="auto"/>
        <w:ind w:left="3544"/>
        <w:jc w:val="both"/>
        <w:rPr>
          <w:rFonts w:ascii="Times New Roman" w:eastAsia="Times New Roman" w:hAnsi="Times New Roman" w:cs="Times New Roman"/>
          <w:b/>
          <w:color w:val="000000" w:themeColor="text1"/>
          <w:sz w:val="28"/>
          <w:szCs w:val="28"/>
          <w:lang w:val="es-ES_tradnl" w:eastAsia="es-ES"/>
        </w:rPr>
      </w:pPr>
    </w:p>
    <w:p w14:paraId="3A097889" w14:textId="77777777" w:rsidR="00000000" w:rsidRPr="001B7B93" w:rsidRDefault="001B7B93" w:rsidP="00B86EF7">
      <w:pPr>
        <w:spacing w:after="0" w:line="240" w:lineRule="auto"/>
        <w:ind w:left="3544"/>
        <w:jc w:val="both"/>
        <w:rPr>
          <w:rFonts w:ascii="Times New Roman" w:eastAsia="Times New Roman" w:hAnsi="Times New Roman" w:cs="Times New Roman"/>
          <w:b/>
          <w:color w:val="000000" w:themeColor="text1"/>
          <w:sz w:val="28"/>
          <w:szCs w:val="28"/>
          <w:lang w:val="es-ES_tradnl" w:eastAsia="es-ES"/>
        </w:rPr>
      </w:pPr>
      <w:r w:rsidRPr="001B7B93">
        <w:rPr>
          <w:rFonts w:ascii="Times New Roman" w:eastAsia="Times New Roman" w:hAnsi="Times New Roman" w:cs="Times New Roman"/>
          <w:b/>
          <w:color w:val="000000" w:themeColor="text1"/>
          <w:sz w:val="28"/>
          <w:szCs w:val="28"/>
          <w:lang w:val="es-ES_tradnl" w:eastAsia="es-ES"/>
        </w:rPr>
        <w:t xml:space="preserve">Magistrada ponente: </w:t>
      </w:r>
    </w:p>
    <w:p w14:paraId="1861E468" w14:textId="77777777" w:rsidR="00000000" w:rsidRPr="001B7B93" w:rsidRDefault="001B7B93" w:rsidP="00B86EF7">
      <w:pPr>
        <w:spacing w:after="0" w:line="240" w:lineRule="auto"/>
        <w:ind w:left="3544"/>
        <w:jc w:val="both"/>
        <w:rPr>
          <w:rFonts w:ascii="Times New Roman" w:eastAsia="Times New Roman" w:hAnsi="Times New Roman" w:cs="Times New Roman"/>
          <w:bCs/>
          <w:color w:val="000000" w:themeColor="text1"/>
          <w:sz w:val="28"/>
          <w:szCs w:val="28"/>
          <w:lang w:val="es-ES_tradnl" w:eastAsia="es-ES"/>
        </w:rPr>
      </w:pPr>
      <w:r w:rsidRPr="001B7B93">
        <w:rPr>
          <w:rFonts w:ascii="Times New Roman" w:eastAsia="Times New Roman" w:hAnsi="Times New Roman" w:cs="Times New Roman"/>
          <w:bCs/>
          <w:color w:val="000000" w:themeColor="text1"/>
          <w:sz w:val="28"/>
          <w:szCs w:val="28"/>
          <w:lang w:val="es-ES_tradnl" w:eastAsia="es-ES"/>
        </w:rPr>
        <w:t>PAOLA ANDREA MENESES MOSQUERA</w:t>
      </w:r>
    </w:p>
    <w:p w14:paraId="7E842BF0" w14:textId="77777777" w:rsidR="00000000" w:rsidRPr="001B7B93" w:rsidRDefault="00000000" w:rsidP="00B86EF7">
      <w:pPr>
        <w:spacing w:after="0" w:line="240" w:lineRule="auto"/>
        <w:jc w:val="both"/>
        <w:rPr>
          <w:rFonts w:ascii="Times New Roman" w:eastAsia="Times New Roman" w:hAnsi="Times New Roman" w:cs="Times New Roman"/>
          <w:bCs/>
          <w:color w:val="000000" w:themeColor="text1"/>
          <w:sz w:val="28"/>
          <w:szCs w:val="28"/>
          <w:lang w:val="es-ES_tradnl" w:eastAsia="es-ES"/>
        </w:rPr>
      </w:pPr>
    </w:p>
    <w:p w14:paraId="2F96A54D" w14:textId="77777777" w:rsidR="00000000" w:rsidRPr="001B7B93" w:rsidRDefault="001B7B93" w:rsidP="00B86EF7">
      <w:pPr>
        <w:pStyle w:val="Sinespaciado"/>
        <w:jc w:val="both"/>
        <w:rPr>
          <w:rFonts w:ascii="Times New Roman" w:hAnsi="Times New Roman" w:cs="Times New Roman"/>
          <w:color w:val="000000" w:themeColor="text1"/>
          <w:sz w:val="28"/>
          <w:szCs w:val="28"/>
          <w:lang w:val="es-ES_tradnl" w:eastAsia="es-ES"/>
        </w:rPr>
      </w:pPr>
      <w:r w:rsidRPr="001B7B93">
        <w:rPr>
          <w:rFonts w:ascii="Times New Roman" w:hAnsi="Times New Roman" w:cs="Times New Roman"/>
          <w:color w:val="000000" w:themeColor="text1"/>
          <w:sz w:val="28"/>
          <w:szCs w:val="28"/>
          <w:lang w:val="es-ES_tradnl" w:eastAsia="es-ES"/>
        </w:rPr>
        <w:t>Bogotá D. C., once (11) de octubre de dos mil veintitrés (2023)</w:t>
      </w:r>
    </w:p>
    <w:p w14:paraId="4150526A" w14:textId="77777777" w:rsidR="00000000" w:rsidRPr="001B7B93" w:rsidRDefault="00000000" w:rsidP="00B86EF7">
      <w:pPr>
        <w:pStyle w:val="Sinespaciado"/>
        <w:jc w:val="both"/>
        <w:rPr>
          <w:rFonts w:ascii="Times New Roman" w:hAnsi="Times New Roman" w:cs="Times New Roman"/>
          <w:color w:val="000000" w:themeColor="text1"/>
          <w:sz w:val="28"/>
          <w:szCs w:val="28"/>
          <w:lang w:val="es-ES_tradnl" w:eastAsia="es-ES"/>
        </w:rPr>
      </w:pPr>
    </w:p>
    <w:p w14:paraId="4176855F" w14:textId="77777777" w:rsidR="00000000" w:rsidRPr="001B7B93" w:rsidRDefault="001B7B93" w:rsidP="006C5200">
      <w:pPr>
        <w:spacing w:after="0" w:line="240" w:lineRule="auto"/>
        <w:jc w:val="both"/>
        <w:rPr>
          <w:rFonts w:ascii="Times New Roman" w:hAnsi="Times New Roman" w:cs="Times New Roman"/>
          <w:color w:val="000000" w:themeColor="text1"/>
          <w:sz w:val="28"/>
          <w:szCs w:val="28"/>
          <w:lang w:val="es-ES_tradnl" w:eastAsia="es-ES_tradnl"/>
        </w:rPr>
      </w:pPr>
      <w:r w:rsidRPr="001B7B93">
        <w:rPr>
          <w:rFonts w:ascii="Times New Roman" w:hAnsi="Times New Roman" w:cs="Times New Roman"/>
          <w:color w:val="000000" w:themeColor="text1"/>
          <w:sz w:val="28"/>
          <w:szCs w:val="28"/>
          <w:lang w:val="es-ES_tradnl"/>
        </w:rPr>
        <w:t>La Sala Plena de la Corte Constitucional, en cumplimiento de sus atribuciones constitucionales, en particular, la prevista por el numeral 11 del artículo 241 de la Constitución Política, profiere el siguiente</w:t>
      </w:r>
    </w:p>
    <w:p w14:paraId="7AE777AF" w14:textId="77777777" w:rsidR="00000000" w:rsidRPr="001B7B93" w:rsidRDefault="00000000" w:rsidP="006C5200">
      <w:pPr>
        <w:pStyle w:val="Sinespaciado"/>
        <w:jc w:val="both"/>
        <w:rPr>
          <w:rFonts w:ascii="Times New Roman" w:hAnsi="Times New Roman" w:cs="Times New Roman"/>
          <w:b/>
          <w:color w:val="000000" w:themeColor="text1"/>
          <w:sz w:val="28"/>
          <w:szCs w:val="28"/>
          <w:lang w:val="es-ES_tradnl" w:eastAsia="es-ES"/>
        </w:rPr>
      </w:pPr>
    </w:p>
    <w:p w14:paraId="1CE75D2D" w14:textId="77777777" w:rsidR="00000000" w:rsidRPr="001B7B93" w:rsidRDefault="001B7B93" w:rsidP="006C5200">
      <w:pPr>
        <w:pStyle w:val="Sinespaciado"/>
        <w:jc w:val="center"/>
        <w:rPr>
          <w:rFonts w:ascii="Times New Roman" w:hAnsi="Times New Roman" w:cs="Times New Roman"/>
          <w:b/>
          <w:bCs/>
          <w:color w:val="000000" w:themeColor="text1"/>
          <w:sz w:val="28"/>
          <w:szCs w:val="28"/>
          <w:lang w:val="es-ES_tradnl"/>
        </w:rPr>
      </w:pPr>
      <w:r w:rsidRPr="001B7B93">
        <w:rPr>
          <w:rFonts w:ascii="Times New Roman" w:hAnsi="Times New Roman" w:cs="Times New Roman"/>
          <w:b/>
          <w:bCs/>
          <w:color w:val="000000" w:themeColor="text1"/>
          <w:sz w:val="28"/>
          <w:szCs w:val="28"/>
          <w:lang w:val="es-ES_tradnl"/>
        </w:rPr>
        <w:t>AUTO</w:t>
      </w:r>
    </w:p>
    <w:p w14:paraId="72EE50B3" w14:textId="77777777" w:rsidR="00000000" w:rsidRPr="001B7B93" w:rsidRDefault="00000000" w:rsidP="006C5200">
      <w:pPr>
        <w:pStyle w:val="Sinespaciado"/>
        <w:jc w:val="both"/>
        <w:rPr>
          <w:rFonts w:ascii="Times New Roman" w:hAnsi="Times New Roman" w:cs="Times New Roman"/>
          <w:color w:val="000000" w:themeColor="text1"/>
          <w:sz w:val="28"/>
          <w:szCs w:val="28"/>
          <w:lang w:val="es-ES_tradnl"/>
        </w:rPr>
      </w:pPr>
    </w:p>
    <w:p w14:paraId="3B9ADC90" w14:textId="77777777" w:rsidR="00000000" w:rsidRPr="001B7B93" w:rsidRDefault="001B7B93" w:rsidP="006C5200">
      <w:pPr>
        <w:pStyle w:val="Sinespaciado"/>
        <w:numPr>
          <w:ilvl w:val="0"/>
          <w:numId w:val="1"/>
        </w:numPr>
        <w:jc w:val="both"/>
        <w:rPr>
          <w:rFonts w:ascii="Times New Roman" w:hAnsi="Times New Roman" w:cs="Times New Roman"/>
          <w:b/>
          <w:bCs/>
          <w:color w:val="000000" w:themeColor="text1"/>
          <w:sz w:val="28"/>
          <w:szCs w:val="28"/>
          <w:lang w:val="es-ES_tradnl"/>
        </w:rPr>
      </w:pPr>
      <w:r w:rsidRPr="001B7B93">
        <w:rPr>
          <w:rFonts w:ascii="Times New Roman" w:hAnsi="Times New Roman" w:cs="Times New Roman"/>
          <w:b/>
          <w:bCs/>
          <w:color w:val="000000" w:themeColor="text1"/>
          <w:sz w:val="28"/>
          <w:szCs w:val="28"/>
          <w:lang w:val="es-ES_tradnl"/>
        </w:rPr>
        <w:lastRenderedPageBreak/>
        <w:t>ANTECEDENTES</w:t>
      </w:r>
    </w:p>
    <w:p w14:paraId="3F0C4BC4" w14:textId="77777777" w:rsidR="00000000" w:rsidRPr="001B7B93" w:rsidRDefault="00000000" w:rsidP="00B86EF7">
      <w:pPr>
        <w:pStyle w:val="Sinespaciado"/>
        <w:tabs>
          <w:tab w:val="left" w:pos="567"/>
        </w:tabs>
        <w:jc w:val="both"/>
        <w:rPr>
          <w:rFonts w:ascii="Times New Roman" w:hAnsi="Times New Roman" w:cs="Times New Roman"/>
          <w:color w:val="000000" w:themeColor="text1"/>
          <w:sz w:val="28"/>
          <w:szCs w:val="28"/>
        </w:rPr>
      </w:pPr>
    </w:p>
    <w:p w14:paraId="55C374AB" w14:textId="77777777" w:rsidR="00000000" w:rsidRPr="001B7B93" w:rsidRDefault="001B7B93" w:rsidP="001A555B">
      <w:pPr>
        <w:pStyle w:val="Prrafodelista"/>
        <w:numPr>
          <w:ilvl w:val="3"/>
          <w:numId w:val="2"/>
        </w:numPr>
        <w:spacing w:after="0" w:line="240" w:lineRule="auto"/>
        <w:ind w:left="0" w:right="-8" w:firstLine="0"/>
        <w:jc w:val="both"/>
        <w:rPr>
          <w:rFonts w:ascii="Times New Roman" w:hAnsi="Times New Roman" w:cs="Times New Roman"/>
          <w:sz w:val="28"/>
          <w:szCs w:val="28"/>
          <w:lang w:val="es-ES_tradnl" w:eastAsia="es-ES"/>
        </w:rPr>
      </w:pPr>
      <w:r w:rsidRPr="001B7B93">
        <w:rPr>
          <w:rFonts w:ascii="Times New Roman" w:hAnsi="Times New Roman" w:cs="Times New Roman"/>
          <w:sz w:val="28"/>
          <w:szCs w:val="28"/>
          <w:lang w:val="es-ES_tradnl" w:eastAsia="es-ES"/>
        </w:rPr>
        <w:t>El 15 de marzo de 2023, la Empresa Nacional Promotora de Desarrollo Territorial (</w:t>
      </w:r>
      <w:proofErr w:type="spellStart"/>
      <w:r w:rsidRPr="001B7B93">
        <w:rPr>
          <w:rFonts w:ascii="Times New Roman" w:hAnsi="Times New Roman" w:cs="Times New Roman"/>
          <w:sz w:val="28"/>
          <w:szCs w:val="28"/>
          <w:lang w:val="es-ES_tradnl" w:eastAsia="es-ES"/>
        </w:rPr>
        <w:t>ENTerritorio</w:t>
      </w:r>
      <w:proofErr w:type="spellEnd"/>
      <w:r w:rsidRPr="001B7B93">
        <w:rPr>
          <w:rFonts w:ascii="Times New Roman" w:hAnsi="Times New Roman" w:cs="Times New Roman"/>
          <w:sz w:val="28"/>
          <w:szCs w:val="28"/>
          <w:lang w:val="es-ES_tradnl" w:eastAsia="es-ES"/>
        </w:rPr>
        <w:t>)</w:t>
      </w:r>
      <w:r w:rsidRPr="001B7B93">
        <w:rPr>
          <w:rStyle w:val="Refdenotaalpie"/>
          <w:rFonts w:ascii="Times New Roman" w:hAnsi="Times New Roman" w:cs="Times New Roman"/>
          <w:sz w:val="28"/>
          <w:szCs w:val="28"/>
          <w:lang w:val="es-ES_tradnl" w:eastAsia="es-ES"/>
        </w:rPr>
        <w:footnoteReference w:id="1"/>
      </w:r>
      <w:r w:rsidRPr="001B7B93">
        <w:rPr>
          <w:rFonts w:ascii="Times New Roman" w:hAnsi="Times New Roman" w:cs="Times New Roman"/>
          <w:sz w:val="28"/>
          <w:szCs w:val="28"/>
          <w:lang w:val="es-ES_tradnl" w:eastAsia="es-ES"/>
        </w:rPr>
        <w:t xml:space="preserve"> presentó demanda, a través del medio de control de controversias contractuales, contra el Municipio de Ricaurte (Nariño) y la Aseguradora Solidaria de Colombia. A través de esta solicita que: </w:t>
      </w:r>
      <w:r w:rsidRPr="001B7B93">
        <w:rPr>
          <w:rFonts w:ascii="Times New Roman" w:hAnsi="Times New Roman" w:cs="Times New Roman"/>
          <w:i/>
          <w:iCs/>
          <w:sz w:val="28"/>
          <w:szCs w:val="28"/>
          <w:lang w:val="es-ES_tradnl" w:eastAsia="es-ES"/>
        </w:rPr>
        <w:t xml:space="preserve">(i) </w:t>
      </w:r>
      <w:r w:rsidRPr="001B7B93">
        <w:rPr>
          <w:rFonts w:ascii="Times New Roman" w:hAnsi="Times New Roman" w:cs="Times New Roman"/>
          <w:sz w:val="28"/>
          <w:szCs w:val="28"/>
          <w:lang w:val="es-ES_tradnl" w:eastAsia="es-ES"/>
        </w:rPr>
        <w:t>se declare el incumplimiento del convenio interadministrativo derivado No. 2191440, por parte del municipio “al no desplegar de forma eficaz y oportuna todas la acciones por el incumplimiento de su contratista de obra, por el grave incumplimiento presentado por el contratista de obra contratado por el Municipio de Ricaurte (Nariño) para la ejecución del proyecto”</w:t>
      </w:r>
      <w:r w:rsidRPr="001B7B93">
        <w:rPr>
          <w:rStyle w:val="Refdenotaalpie"/>
          <w:rFonts w:ascii="Times New Roman" w:hAnsi="Times New Roman" w:cs="Times New Roman"/>
          <w:sz w:val="28"/>
          <w:szCs w:val="28"/>
          <w:lang w:val="es-ES_tradnl" w:eastAsia="es-ES"/>
        </w:rPr>
        <w:footnoteReference w:id="2"/>
      </w:r>
      <w:r w:rsidRPr="001B7B93">
        <w:rPr>
          <w:rFonts w:ascii="Times New Roman" w:hAnsi="Times New Roman" w:cs="Times New Roman"/>
          <w:sz w:val="28"/>
          <w:szCs w:val="28"/>
          <w:lang w:val="es-ES_tradnl" w:eastAsia="es-ES"/>
        </w:rPr>
        <w:t xml:space="preserve">; </w:t>
      </w:r>
      <w:r w:rsidRPr="001B7B93">
        <w:rPr>
          <w:rFonts w:ascii="Times New Roman" w:hAnsi="Times New Roman" w:cs="Times New Roman"/>
          <w:i/>
          <w:iCs/>
          <w:sz w:val="28"/>
          <w:szCs w:val="28"/>
          <w:lang w:val="es-ES_tradnl" w:eastAsia="es-ES"/>
        </w:rPr>
        <w:t>(</w:t>
      </w:r>
      <w:proofErr w:type="spellStart"/>
      <w:r w:rsidRPr="001B7B93">
        <w:rPr>
          <w:rFonts w:ascii="Times New Roman" w:hAnsi="Times New Roman" w:cs="Times New Roman"/>
          <w:i/>
          <w:iCs/>
          <w:sz w:val="28"/>
          <w:szCs w:val="28"/>
          <w:lang w:val="es-ES_tradnl" w:eastAsia="es-ES"/>
        </w:rPr>
        <w:t>ii</w:t>
      </w:r>
      <w:proofErr w:type="spellEnd"/>
      <w:r w:rsidRPr="001B7B93">
        <w:rPr>
          <w:rFonts w:ascii="Times New Roman" w:hAnsi="Times New Roman" w:cs="Times New Roman"/>
          <w:i/>
          <w:iCs/>
          <w:sz w:val="28"/>
          <w:szCs w:val="28"/>
          <w:lang w:val="es-ES_tradnl" w:eastAsia="es-ES"/>
        </w:rPr>
        <w:t xml:space="preserve">) </w:t>
      </w:r>
      <w:r w:rsidRPr="001B7B93">
        <w:rPr>
          <w:rFonts w:ascii="Times New Roman" w:hAnsi="Times New Roman" w:cs="Times New Roman"/>
          <w:sz w:val="28"/>
          <w:szCs w:val="28"/>
          <w:lang w:val="es-ES_tradnl" w:eastAsia="es-ES"/>
        </w:rPr>
        <w:t xml:space="preserve">se declare la ocurrencia del siniestro de la póliza de cumplimiento expedida por la Aseguradora Solidaria de Colombia; </w:t>
      </w:r>
      <w:r w:rsidRPr="001B7B93">
        <w:rPr>
          <w:rFonts w:ascii="Times New Roman" w:hAnsi="Times New Roman" w:cs="Times New Roman"/>
          <w:i/>
          <w:iCs/>
          <w:sz w:val="28"/>
          <w:szCs w:val="28"/>
          <w:lang w:val="es-ES_tradnl" w:eastAsia="es-ES"/>
        </w:rPr>
        <w:t>(</w:t>
      </w:r>
      <w:proofErr w:type="spellStart"/>
      <w:r w:rsidRPr="001B7B93">
        <w:rPr>
          <w:rFonts w:ascii="Times New Roman" w:hAnsi="Times New Roman" w:cs="Times New Roman"/>
          <w:i/>
          <w:iCs/>
          <w:sz w:val="28"/>
          <w:szCs w:val="28"/>
          <w:lang w:val="es-ES_tradnl" w:eastAsia="es-ES"/>
        </w:rPr>
        <w:t>iii</w:t>
      </w:r>
      <w:proofErr w:type="spellEnd"/>
      <w:r w:rsidRPr="001B7B93">
        <w:rPr>
          <w:rFonts w:ascii="Times New Roman" w:hAnsi="Times New Roman" w:cs="Times New Roman"/>
          <w:i/>
          <w:iCs/>
          <w:sz w:val="28"/>
          <w:szCs w:val="28"/>
          <w:lang w:val="es-ES_tradnl" w:eastAsia="es-ES"/>
        </w:rPr>
        <w:t xml:space="preserve">) </w:t>
      </w:r>
      <w:r w:rsidRPr="001B7B93">
        <w:rPr>
          <w:rFonts w:ascii="Times New Roman" w:hAnsi="Times New Roman" w:cs="Times New Roman"/>
          <w:sz w:val="28"/>
          <w:szCs w:val="28"/>
          <w:lang w:val="es-ES_tradnl" w:eastAsia="es-ES"/>
        </w:rPr>
        <w:t xml:space="preserve">se ordene afectar la póliza de cumplimiento por $333.022.065; </w:t>
      </w:r>
      <w:r w:rsidRPr="001B7B93">
        <w:rPr>
          <w:rFonts w:ascii="Times New Roman" w:hAnsi="Times New Roman" w:cs="Times New Roman"/>
          <w:i/>
          <w:iCs/>
          <w:sz w:val="28"/>
          <w:szCs w:val="28"/>
          <w:lang w:val="es-ES_tradnl" w:eastAsia="es-ES"/>
        </w:rPr>
        <w:t>(</w:t>
      </w:r>
      <w:proofErr w:type="spellStart"/>
      <w:r w:rsidRPr="001B7B93">
        <w:rPr>
          <w:rFonts w:ascii="Times New Roman" w:hAnsi="Times New Roman" w:cs="Times New Roman"/>
          <w:i/>
          <w:iCs/>
          <w:sz w:val="28"/>
          <w:szCs w:val="28"/>
          <w:lang w:val="es-ES_tradnl" w:eastAsia="es-ES"/>
        </w:rPr>
        <w:t>iv</w:t>
      </w:r>
      <w:proofErr w:type="spellEnd"/>
      <w:r w:rsidRPr="001B7B93">
        <w:rPr>
          <w:rFonts w:ascii="Times New Roman" w:hAnsi="Times New Roman" w:cs="Times New Roman"/>
          <w:i/>
          <w:iCs/>
          <w:sz w:val="28"/>
          <w:szCs w:val="28"/>
          <w:lang w:val="es-ES_tradnl" w:eastAsia="es-ES"/>
        </w:rPr>
        <w:t xml:space="preserve">) </w:t>
      </w:r>
      <w:r w:rsidRPr="001B7B93">
        <w:rPr>
          <w:rFonts w:ascii="Times New Roman" w:hAnsi="Times New Roman" w:cs="Times New Roman"/>
          <w:sz w:val="28"/>
          <w:szCs w:val="28"/>
          <w:lang w:val="es-ES_tradnl" w:eastAsia="es-ES"/>
        </w:rPr>
        <w:t xml:space="preserve">en subsidio de la pretensión anterior, que se condene al municipio a pagar la suma indicada, y </w:t>
      </w:r>
      <w:r w:rsidRPr="001B7B93">
        <w:rPr>
          <w:rFonts w:ascii="Times New Roman" w:hAnsi="Times New Roman" w:cs="Times New Roman"/>
          <w:i/>
          <w:iCs/>
          <w:sz w:val="28"/>
          <w:szCs w:val="28"/>
          <w:lang w:val="es-ES_tradnl" w:eastAsia="es-ES"/>
        </w:rPr>
        <w:t xml:space="preserve">(v) </w:t>
      </w:r>
      <w:r w:rsidRPr="001B7B93">
        <w:rPr>
          <w:rFonts w:ascii="Times New Roman" w:hAnsi="Times New Roman" w:cs="Times New Roman"/>
          <w:sz w:val="28"/>
          <w:szCs w:val="28"/>
          <w:lang w:val="es-ES_tradnl" w:eastAsia="es-ES"/>
        </w:rPr>
        <w:t>se declare judicialmente liquidado el convenio interadministrativo.</w:t>
      </w:r>
    </w:p>
    <w:p w14:paraId="465FB57D" w14:textId="77777777" w:rsidR="00000000" w:rsidRPr="001B7B93" w:rsidRDefault="00000000" w:rsidP="00415080">
      <w:pPr>
        <w:pStyle w:val="Prrafodelista"/>
        <w:spacing w:after="0" w:line="240" w:lineRule="auto"/>
        <w:ind w:left="0" w:right="-8"/>
        <w:jc w:val="both"/>
        <w:rPr>
          <w:rFonts w:ascii="Times New Roman" w:hAnsi="Times New Roman" w:cs="Times New Roman"/>
          <w:sz w:val="28"/>
          <w:szCs w:val="28"/>
          <w:lang w:val="es-ES_tradnl" w:eastAsia="es-ES"/>
        </w:rPr>
      </w:pPr>
    </w:p>
    <w:p w14:paraId="60C24F6E" w14:textId="77777777" w:rsidR="00000000" w:rsidRPr="001B7B93" w:rsidRDefault="001B7B93" w:rsidP="00E75ACF">
      <w:pPr>
        <w:pStyle w:val="Prrafodelista"/>
        <w:numPr>
          <w:ilvl w:val="3"/>
          <w:numId w:val="2"/>
        </w:numPr>
        <w:spacing w:after="0" w:line="240" w:lineRule="auto"/>
        <w:ind w:left="0" w:right="-8" w:firstLine="0"/>
        <w:jc w:val="both"/>
        <w:rPr>
          <w:rFonts w:ascii="Times New Roman" w:hAnsi="Times New Roman" w:cs="Times New Roman"/>
          <w:sz w:val="28"/>
          <w:szCs w:val="28"/>
          <w:lang w:eastAsia="es-ES"/>
        </w:rPr>
      </w:pPr>
      <w:r w:rsidRPr="001B7B93">
        <w:rPr>
          <w:rFonts w:ascii="Times New Roman" w:hAnsi="Times New Roman" w:cs="Times New Roman"/>
          <w:sz w:val="28"/>
          <w:szCs w:val="28"/>
          <w:lang w:eastAsia="es-ES"/>
        </w:rPr>
        <w:t>Las anteriores pretensiones se fundamentan en que la entidad demandante celebró un convenio interadministrativo con el Municipio</w:t>
      </w:r>
      <w:r w:rsidRPr="001B7B93">
        <w:rPr>
          <w:rFonts w:ascii="Times New Roman" w:hAnsi="Times New Roman" w:cs="Times New Roman"/>
          <w:sz w:val="28"/>
          <w:szCs w:val="28"/>
          <w:lang w:val="es-ES_tradnl" w:eastAsia="es-ES"/>
        </w:rPr>
        <w:t xml:space="preserve"> de Ricaurte (Nariño)</w:t>
      </w:r>
      <w:r w:rsidRPr="001B7B93">
        <w:rPr>
          <w:rFonts w:ascii="Times New Roman" w:hAnsi="Times New Roman" w:cs="Times New Roman"/>
          <w:sz w:val="28"/>
          <w:szCs w:val="28"/>
          <w:lang w:eastAsia="es-ES"/>
        </w:rPr>
        <w:t>, cuyo objeto consistió en “aunar esfuerzos administrativos, técnicos y financieros para ejecutar el proyecto denominado ‘CONSTRUCCION DE PUENTE PEATONAL DE RICAURTE NARIÑO’, de conformidad con la ficha de estructuración definitiva del proyecto No. A-432, así como en los estudios y diseños suministrados por FONADE […]”</w:t>
      </w:r>
      <w:r w:rsidRPr="001B7B93">
        <w:rPr>
          <w:rStyle w:val="Refdenotaalpie"/>
          <w:rFonts w:ascii="Times New Roman" w:hAnsi="Times New Roman" w:cs="Times New Roman"/>
          <w:sz w:val="28"/>
          <w:szCs w:val="28"/>
          <w:lang w:eastAsia="es-ES"/>
        </w:rPr>
        <w:footnoteReference w:id="3"/>
      </w:r>
      <w:r w:rsidRPr="001B7B93">
        <w:rPr>
          <w:rFonts w:ascii="Times New Roman" w:hAnsi="Times New Roman" w:cs="Times New Roman"/>
          <w:sz w:val="28"/>
          <w:szCs w:val="28"/>
          <w:lang w:eastAsia="es-ES"/>
        </w:rPr>
        <w:t xml:space="preserve">. En virtud de dicho convenio, el municipio celebró un contrato de obra con el Consorcio Ricaurte JEJ 2019. En la demanda se señaló que el consorcio incumplió el contrato celebrado con el municipio y que este último no desplegó las actuaciones tendientes a precaver dicha situación, lo que implicó que la entidad territorial demandada incumpliera el convenio interadministrativo celebrado con </w:t>
      </w:r>
      <w:proofErr w:type="spellStart"/>
      <w:r w:rsidRPr="001B7B93">
        <w:rPr>
          <w:rFonts w:ascii="Times New Roman" w:hAnsi="Times New Roman" w:cs="Times New Roman"/>
          <w:sz w:val="28"/>
          <w:szCs w:val="28"/>
          <w:lang w:eastAsia="es-ES"/>
        </w:rPr>
        <w:t>ENTerritorio</w:t>
      </w:r>
      <w:proofErr w:type="spellEnd"/>
      <w:r w:rsidRPr="001B7B93">
        <w:rPr>
          <w:rFonts w:ascii="Times New Roman" w:hAnsi="Times New Roman" w:cs="Times New Roman"/>
          <w:sz w:val="28"/>
          <w:szCs w:val="28"/>
          <w:lang w:eastAsia="es-ES"/>
        </w:rPr>
        <w:t xml:space="preserve"> (en su momento, FONADE).</w:t>
      </w:r>
    </w:p>
    <w:p w14:paraId="196E12B1" w14:textId="77777777" w:rsidR="00000000" w:rsidRPr="001B7B93" w:rsidRDefault="00000000" w:rsidP="0064491B">
      <w:pPr>
        <w:pStyle w:val="Prrafodelista"/>
        <w:rPr>
          <w:rFonts w:ascii="Times New Roman" w:hAnsi="Times New Roman" w:cs="Times New Roman"/>
          <w:sz w:val="28"/>
          <w:szCs w:val="28"/>
          <w:lang w:eastAsia="es-ES"/>
        </w:rPr>
      </w:pPr>
    </w:p>
    <w:p w14:paraId="2ECFE113" w14:textId="77777777" w:rsidR="00000000" w:rsidRPr="001B7B93" w:rsidRDefault="001B7B93" w:rsidP="003F666A">
      <w:pPr>
        <w:pStyle w:val="Prrafodelista"/>
        <w:numPr>
          <w:ilvl w:val="3"/>
          <w:numId w:val="2"/>
        </w:numPr>
        <w:spacing w:after="0" w:line="240" w:lineRule="auto"/>
        <w:ind w:left="0" w:right="-8" w:firstLine="0"/>
        <w:jc w:val="both"/>
        <w:rPr>
          <w:rFonts w:ascii="Times New Roman" w:hAnsi="Times New Roman" w:cs="Times New Roman"/>
          <w:sz w:val="28"/>
          <w:szCs w:val="28"/>
          <w:lang w:val="es-ES_tradnl" w:eastAsia="es-ES"/>
        </w:rPr>
      </w:pPr>
      <w:r w:rsidRPr="001B7B93">
        <w:rPr>
          <w:rFonts w:ascii="Times New Roman" w:hAnsi="Times New Roman" w:cs="Times New Roman"/>
          <w:sz w:val="28"/>
          <w:szCs w:val="28"/>
          <w:lang w:val="es-ES_tradnl" w:eastAsia="es-ES"/>
        </w:rPr>
        <w:t xml:space="preserve">Por reparto, el proceso correspondió al </w:t>
      </w:r>
      <w:r w:rsidRPr="001B7B93">
        <w:rPr>
          <w:rFonts w:ascii="Times New Roman" w:eastAsia="Times New Roman" w:hAnsi="Times New Roman" w:cs="Times New Roman"/>
          <w:bCs/>
          <w:color w:val="000000" w:themeColor="text1"/>
          <w:sz w:val="28"/>
          <w:szCs w:val="28"/>
          <w:lang w:val="es-ES_tradnl" w:eastAsia="es-ES"/>
        </w:rPr>
        <w:t>Juzgado Primero Administrativo de Pasto</w:t>
      </w:r>
      <w:r w:rsidRPr="001B7B93">
        <w:rPr>
          <w:rFonts w:ascii="Times New Roman" w:hAnsi="Times New Roman" w:cs="Times New Roman"/>
          <w:sz w:val="28"/>
          <w:szCs w:val="28"/>
        </w:rPr>
        <w:t>. Dicha autoridad judicial,</w:t>
      </w:r>
      <w:r w:rsidRPr="001B7B93">
        <w:rPr>
          <w:rFonts w:ascii="Times New Roman" w:hAnsi="Times New Roman" w:cs="Times New Roman"/>
          <w:sz w:val="28"/>
          <w:szCs w:val="28"/>
          <w:lang w:val="es-ES_tradnl" w:eastAsia="es-ES"/>
        </w:rPr>
        <w:t xml:space="preserve"> mediante auto del 6 de febrero de 2023</w:t>
      </w:r>
      <w:r w:rsidRPr="001B7B93">
        <w:rPr>
          <w:rStyle w:val="Refdenotaalpie"/>
          <w:rFonts w:ascii="Times New Roman" w:hAnsi="Times New Roman" w:cs="Times New Roman"/>
          <w:sz w:val="28"/>
          <w:szCs w:val="28"/>
          <w:lang w:val="es-ES_tradnl" w:eastAsia="es-ES"/>
        </w:rPr>
        <w:footnoteReference w:id="4"/>
      </w:r>
      <w:r w:rsidRPr="001B7B93">
        <w:rPr>
          <w:rFonts w:ascii="Times New Roman" w:hAnsi="Times New Roman" w:cs="Times New Roman"/>
          <w:sz w:val="28"/>
          <w:szCs w:val="28"/>
          <w:lang w:val="es-ES_tradnl" w:eastAsia="es-ES"/>
        </w:rPr>
        <w:t xml:space="preserve">, declaró la falta de jurisdicción para conocer del asunto y ordenó remitir el </w:t>
      </w:r>
      <w:r w:rsidRPr="001B7B93">
        <w:rPr>
          <w:rFonts w:ascii="Times New Roman" w:hAnsi="Times New Roman" w:cs="Times New Roman"/>
          <w:sz w:val="28"/>
          <w:szCs w:val="28"/>
          <w:lang w:val="es-ES_tradnl" w:eastAsia="es-ES"/>
        </w:rPr>
        <w:lastRenderedPageBreak/>
        <w:t xml:space="preserve">expediente a reparto de los juzgados Civiles de Circuito de Túquerres. Manifestó que el asunto no correspondía a la jurisdicción de lo contencioso administrativo (en adelante JCA), con fundamento en el artículo 105 de la Ley 1437 de 2011, que establece los asuntos sobre los que </w:t>
      </w:r>
      <w:r w:rsidRPr="001B7B93">
        <w:rPr>
          <w:rFonts w:ascii="Times New Roman" w:hAnsi="Times New Roman" w:cs="Times New Roman"/>
          <w:i/>
          <w:iCs/>
          <w:sz w:val="28"/>
          <w:szCs w:val="28"/>
          <w:lang w:val="es-ES_tradnl" w:eastAsia="es-ES"/>
        </w:rPr>
        <w:t xml:space="preserve">no </w:t>
      </w:r>
      <w:r w:rsidRPr="001B7B93">
        <w:rPr>
          <w:rFonts w:ascii="Times New Roman" w:hAnsi="Times New Roman" w:cs="Times New Roman"/>
          <w:sz w:val="28"/>
          <w:szCs w:val="28"/>
          <w:lang w:val="es-ES_tradnl" w:eastAsia="es-ES"/>
        </w:rPr>
        <w:t>conoce dicha jurisdicción</w:t>
      </w:r>
      <w:r w:rsidRPr="001B7B93">
        <w:rPr>
          <w:rStyle w:val="Refdenotaalpie"/>
          <w:rFonts w:ascii="Times New Roman" w:hAnsi="Times New Roman" w:cs="Times New Roman"/>
          <w:sz w:val="28"/>
          <w:szCs w:val="28"/>
          <w:lang w:val="es-ES_tradnl" w:eastAsia="es-ES"/>
        </w:rPr>
        <w:footnoteReference w:id="5"/>
      </w:r>
      <w:r w:rsidRPr="001B7B93">
        <w:rPr>
          <w:rFonts w:ascii="Times New Roman" w:hAnsi="Times New Roman" w:cs="Times New Roman"/>
          <w:sz w:val="28"/>
          <w:szCs w:val="28"/>
          <w:lang w:val="es-ES_tradnl" w:eastAsia="es-ES"/>
        </w:rPr>
        <w:t>. Explicó que la controversia se relaciona con una controversia contractual, en la que interviene una entidad pública de carácter financiero (</w:t>
      </w:r>
      <w:proofErr w:type="spellStart"/>
      <w:r w:rsidRPr="001B7B93">
        <w:rPr>
          <w:rFonts w:ascii="Times New Roman" w:hAnsi="Times New Roman" w:cs="Times New Roman"/>
          <w:sz w:val="28"/>
          <w:szCs w:val="28"/>
          <w:lang w:val="es-ES_tradnl" w:eastAsia="es-ES"/>
        </w:rPr>
        <w:t>ENTerritorio</w:t>
      </w:r>
      <w:proofErr w:type="spellEnd"/>
      <w:r w:rsidRPr="001B7B93">
        <w:rPr>
          <w:rFonts w:ascii="Times New Roman" w:hAnsi="Times New Roman" w:cs="Times New Roman"/>
          <w:sz w:val="28"/>
          <w:szCs w:val="28"/>
          <w:lang w:val="es-ES_tradnl" w:eastAsia="es-ES"/>
        </w:rPr>
        <w:t xml:space="preserve">), la cual es vigilada por la Superintendencia Financiera y el convenio celebrado entre la demandante y el municipio corresponde al giro ordinario de los negocios de </w:t>
      </w:r>
      <w:proofErr w:type="spellStart"/>
      <w:r w:rsidRPr="001B7B93">
        <w:rPr>
          <w:rFonts w:ascii="Times New Roman" w:hAnsi="Times New Roman" w:cs="Times New Roman"/>
          <w:sz w:val="28"/>
          <w:szCs w:val="28"/>
          <w:lang w:val="es-ES_tradnl" w:eastAsia="es-ES"/>
        </w:rPr>
        <w:t>ENTerritorio</w:t>
      </w:r>
      <w:proofErr w:type="spellEnd"/>
      <w:r w:rsidRPr="001B7B93">
        <w:rPr>
          <w:rFonts w:ascii="Times New Roman" w:hAnsi="Times New Roman" w:cs="Times New Roman"/>
          <w:sz w:val="28"/>
          <w:szCs w:val="28"/>
          <w:lang w:val="es-ES_tradnl" w:eastAsia="es-ES"/>
        </w:rPr>
        <w:t xml:space="preserve"> (antes FONADE). Por ello, consideró que se configura la excepción del numeral primero de la norma citada.</w:t>
      </w:r>
    </w:p>
    <w:p w14:paraId="77FA6865" w14:textId="77777777" w:rsidR="00000000" w:rsidRPr="001B7B93" w:rsidRDefault="00000000" w:rsidP="001E1DD1">
      <w:pPr>
        <w:pStyle w:val="Prrafodelista"/>
        <w:rPr>
          <w:rFonts w:ascii="Times New Roman" w:hAnsi="Times New Roman" w:cs="Times New Roman"/>
          <w:sz w:val="28"/>
          <w:szCs w:val="28"/>
          <w:lang w:val="es-ES_tradnl" w:eastAsia="es-ES"/>
        </w:rPr>
      </w:pPr>
    </w:p>
    <w:p w14:paraId="5C83EA5E" w14:textId="77777777" w:rsidR="00000000" w:rsidRPr="001B7B93" w:rsidRDefault="001B7B93" w:rsidP="0042747F">
      <w:pPr>
        <w:pStyle w:val="Prrafodelista"/>
        <w:numPr>
          <w:ilvl w:val="3"/>
          <w:numId w:val="2"/>
        </w:numPr>
        <w:spacing w:after="0" w:line="240" w:lineRule="auto"/>
        <w:ind w:left="0" w:right="-8" w:firstLine="0"/>
        <w:jc w:val="both"/>
        <w:rPr>
          <w:rFonts w:ascii="Times New Roman" w:hAnsi="Times New Roman" w:cs="Times New Roman"/>
          <w:sz w:val="28"/>
          <w:szCs w:val="28"/>
          <w:lang w:val="es-ES_tradnl" w:eastAsia="es-ES"/>
        </w:rPr>
      </w:pPr>
      <w:r w:rsidRPr="001B7B93">
        <w:rPr>
          <w:rFonts w:ascii="Times New Roman" w:hAnsi="Times New Roman" w:cs="Times New Roman"/>
          <w:color w:val="000000"/>
          <w:sz w:val="28"/>
          <w:szCs w:val="28"/>
        </w:rPr>
        <w:t xml:space="preserve">Efectuado el nuevo reparto, el proceso correspondió al </w:t>
      </w:r>
      <w:r w:rsidRPr="001B7B93">
        <w:rPr>
          <w:rFonts w:ascii="Times New Roman" w:hAnsi="Times New Roman" w:cs="Times New Roman"/>
          <w:sz w:val="28"/>
          <w:szCs w:val="28"/>
        </w:rPr>
        <w:t xml:space="preserve">Juzgado Primero Civil del Circuito de Túquerres, el cual, </w:t>
      </w:r>
      <w:r w:rsidRPr="001B7B93">
        <w:rPr>
          <w:rFonts w:ascii="Times New Roman" w:hAnsi="Times New Roman" w:cs="Times New Roman"/>
          <w:color w:val="000000"/>
          <w:sz w:val="28"/>
          <w:szCs w:val="28"/>
        </w:rPr>
        <w:t>mediante auto del 8 de junio de 2023</w:t>
      </w:r>
      <w:r w:rsidRPr="001B7B93">
        <w:rPr>
          <w:rStyle w:val="Refdenotaalpie"/>
          <w:rFonts w:ascii="Times New Roman" w:hAnsi="Times New Roman" w:cs="Times New Roman"/>
          <w:color w:val="000000"/>
          <w:sz w:val="28"/>
          <w:szCs w:val="28"/>
        </w:rPr>
        <w:footnoteReference w:customMarkFollows="1" w:id="6"/>
        <w:t>5</w:t>
      </w:r>
      <w:r w:rsidRPr="001B7B93">
        <w:rPr>
          <w:rFonts w:ascii="Times New Roman" w:hAnsi="Times New Roman" w:cs="Times New Roman"/>
          <w:color w:val="000000"/>
          <w:sz w:val="28"/>
          <w:szCs w:val="28"/>
        </w:rPr>
        <w:t xml:space="preserve">, </w:t>
      </w:r>
      <w:r w:rsidRPr="001B7B93">
        <w:rPr>
          <w:rFonts w:ascii="Times New Roman" w:eastAsia="Times New Roman" w:hAnsi="Times New Roman" w:cs="Times New Roman"/>
          <w:bCs/>
          <w:color w:val="000000" w:themeColor="text1"/>
          <w:sz w:val="28"/>
          <w:szCs w:val="28"/>
          <w:lang w:val="es-ES_tradnl" w:eastAsia="es-ES"/>
        </w:rPr>
        <w:t>declaró su falta de competencia y propuso conflicto negativo de jurisdicciones</w:t>
      </w:r>
      <w:r w:rsidRPr="001B7B93">
        <w:rPr>
          <w:rFonts w:ascii="Times New Roman" w:eastAsia="Times New Roman" w:hAnsi="Times New Roman" w:cs="Times New Roman"/>
          <w:bCs/>
          <w:color w:val="000000" w:themeColor="text1"/>
          <w:sz w:val="28"/>
          <w:szCs w:val="28"/>
          <w:lang w:eastAsia="es-ES"/>
        </w:rPr>
        <w:t>. Para ello, señaló que, pese a que en principio se cumpliría la excepción establecida en el artículo 105.1 de la Ley 1437 de 2011, la entidad de carácter financiero (</w:t>
      </w:r>
      <w:proofErr w:type="spellStart"/>
      <w:r w:rsidRPr="001B7B93">
        <w:rPr>
          <w:rFonts w:ascii="Times New Roman" w:eastAsia="Times New Roman" w:hAnsi="Times New Roman" w:cs="Times New Roman"/>
          <w:bCs/>
          <w:color w:val="000000" w:themeColor="text1"/>
          <w:sz w:val="28"/>
          <w:szCs w:val="28"/>
          <w:lang w:eastAsia="es-ES"/>
        </w:rPr>
        <w:t>ENTerritorio</w:t>
      </w:r>
      <w:proofErr w:type="spellEnd"/>
      <w:r w:rsidRPr="001B7B93">
        <w:rPr>
          <w:rFonts w:ascii="Times New Roman" w:eastAsia="Times New Roman" w:hAnsi="Times New Roman" w:cs="Times New Roman"/>
          <w:bCs/>
          <w:color w:val="000000" w:themeColor="text1"/>
          <w:sz w:val="28"/>
          <w:szCs w:val="28"/>
          <w:lang w:eastAsia="es-ES"/>
        </w:rPr>
        <w:t>) demandó a otra entidad pública –Municipio de Ricaurte–, lo cual lleva a que la jurisdicción competente sea la JCA. Para sustentar lo anterior, citó el Auto 924 de 2022 de la Corte Constitucional</w:t>
      </w:r>
      <w:r w:rsidRPr="001B7B93">
        <w:rPr>
          <w:rStyle w:val="Refdenotaalpie"/>
          <w:rFonts w:ascii="Times New Roman" w:eastAsia="Times New Roman" w:hAnsi="Times New Roman" w:cs="Times New Roman"/>
          <w:bCs/>
          <w:color w:val="000000" w:themeColor="text1"/>
          <w:sz w:val="28"/>
          <w:szCs w:val="28"/>
          <w:lang w:eastAsia="es-ES"/>
        </w:rPr>
        <w:footnoteReference w:id="7"/>
      </w:r>
      <w:r w:rsidRPr="001B7B93">
        <w:rPr>
          <w:rFonts w:ascii="Times New Roman" w:eastAsia="Times New Roman" w:hAnsi="Times New Roman" w:cs="Times New Roman"/>
          <w:bCs/>
          <w:color w:val="000000" w:themeColor="text1"/>
          <w:sz w:val="28"/>
          <w:szCs w:val="28"/>
          <w:lang w:eastAsia="es-ES"/>
        </w:rPr>
        <w:t xml:space="preserve">, y precisó que, atendiendo a la naturaleza de las partes del litigio, el asunto corresponde a la justicia administrativa.  </w:t>
      </w:r>
    </w:p>
    <w:p w14:paraId="4BC305C5" w14:textId="77777777" w:rsidR="00000000" w:rsidRPr="001B7B93" w:rsidRDefault="00000000" w:rsidP="00D23BF8">
      <w:pPr>
        <w:pStyle w:val="Prrafodelista"/>
        <w:spacing w:after="0"/>
        <w:contextualSpacing w:val="0"/>
        <w:rPr>
          <w:rFonts w:ascii="Times New Roman" w:eastAsia="Times New Roman" w:hAnsi="Times New Roman" w:cs="Times New Roman"/>
          <w:bCs/>
          <w:color w:val="000000" w:themeColor="text1"/>
          <w:sz w:val="28"/>
          <w:szCs w:val="28"/>
          <w:lang w:val="es-ES_tradnl" w:eastAsia="es-ES"/>
        </w:rPr>
      </w:pPr>
    </w:p>
    <w:p w14:paraId="13C12671" w14:textId="77777777" w:rsidR="00000000" w:rsidRPr="001B7B93" w:rsidRDefault="001B7B93" w:rsidP="002278B6">
      <w:pPr>
        <w:numPr>
          <w:ilvl w:val="3"/>
          <w:numId w:val="2"/>
        </w:numPr>
        <w:spacing w:after="0" w:line="240" w:lineRule="auto"/>
        <w:ind w:left="0" w:right="-8" w:firstLine="0"/>
        <w:jc w:val="both"/>
        <w:rPr>
          <w:rFonts w:ascii="Times New Roman" w:eastAsia="Times New Roman" w:hAnsi="Times New Roman" w:cs="Times New Roman"/>
          <w:sz w:val="28"/>
          <w:szCs w:val="28"/>
          <w:lang w:val="es-ES_tradnl" w:eastAsia="es-ES"/>
        </w:rPr>
      </w:pPr>
      <w:r w:rsidRPr="001B7B93">
        <w:rPr>
          <w:rFonts w:ascii="Times New Roman" w:eastAsia="Times New Roman" w:hAnsi="Times New Roman" w:cs="Times New Roman"/>
          <w:sz w:val="28"/>
          <w:szCs w:val="28"/>
          <w:lang w:val="es-ES_tradnl" w:eastAsia="es-ES"/>
        </w:rPr>
        <w:t>El 16 de agosto de 2023, el expediente fue asignado al despacho de la magistrada sustanciadora. Luego, el 18 de agosto de 2023, la Secretaría General de la Corte Constitucional lo remitió al referido despacho</w:t>
      </w:r>
      <w:r w:rsidRPr="001B7B93">
        <w:rPr>
          <w:rFonts w:ascii="Times New Roman" w:eastAsia="Times New Roman" w:hAnsi="Times New Roman" w:cs="Times New Roman"/>
          <w:sz w:val="28"/>
          <w:szCs w:val="28"/>
          <w:vertAlign w:val="superscript"/>
          <w:lang w:val="es-ES_tradnl" w:eastAsia="es-ES"/>
        </w:rPr>
        <w:footnoteReference w:id="8"/>
      </w:r>
      <w:r w:rsidRPr="001B7B93">
        <w:rPr>
          <w:rFonts w:ascii="Times New Roman" w:eastAsia="Times New Roman" w:hAnsi="Times New Roman" w:cs="Times New Roman"/>
          <w:sz w:val="28"/>
          <w:szCs w:val="28"/>
          <w:lang w:val="es-ES_tradnl" w:eastAsia="es-ES"/>
        </w:rPr>
        <w:t xml:space="preserve">. </w:t>
      </w:r>
    </w:p>
    <w:p w14:paraId="73EC88A7" w14:textId="77777777" w:rsidR="00000000" w:rsidRPr="001B7B93" w:rsidRDefault="001B7B93" w:rsidP="00433480">
      <w:pPr>
        <w:spacing w:after="0" w:line="240" w:lineRule="auto"/>
        <w:ind w:right="-8"/>
        <w:jc w:val="both"/>
        <w:rPr>
          <w:rFonts w:ascii="Times New Roman" w:hAnsi="Times New Roman" w:cs="Times New Roman"/>
          <w:i/>
          <w:iCs/>
          <w:sz w:val="28"/>
          <w:szCs w:val="28"/>
          <w:lang w:val="es-ES_tradnl"/>
        </w:rPr>
      </w:pPr>
      <w:r w:rsidRPr="001B7B93">
        <w:rPr>
          <w:rFonts w:ascii="Times New Roman" w:eastAsia="Times New Roman" w:hAnsi="Times New Roman" w:cs="Times New Roman"/>
          <w:sz w:val="28"/>
          <w:szCs w:val="28"/>
          <w:lang w:val="es-ES_tradnl" w:eastAsia="es-ES"/>
        </w:rPr>
        <w:t xml:space="preserve"> </w:t>
      </w:r>
    </w:p>
    <w:p w14:paraId="54435312" w14:textId="77777777" w:rsidR="00000000" w:rsidRPr="001B7B93" w:rsidRDefault="001B7B93" w:rsidP="003E6001">
      <w:pPr>
        <w:pStyle w:val="Sinespaciado"/>
        <w:numPr>
          <w:ilvl w:val="0"/>
          <w:numId w:val="1"/>
        </w:numPr>
        <w:jc w:val="both"/>
        <w:rPr>
          <w:rFonts w:ascii="Times New Roman" w:hAnsi="Times New Roman" w:cs="Times New Roman"/>
          <w:b/>
          <w:bCs/>
          <w:iCs/>
          <w:sz w:val="28"/>
          <w:szCs w:val="28"/>
          <w:shd w:val="clear" w:color="auto" w:fill="FFFFFF"/>
          <w:lang w:val="es-ES_tradnl"/>
        </w:rPr>
      </w:pPr>
      <w:r w:rsidRPr="001B7B93">
        <w:rPr>
          <w:rFonts w:ascii="Times New Roman" w:hAnsi="Times New Roman" w:cs="Times New Roman"/>
          <w:b/>
          <w:bCs/>
          <w:iCs/>
          <w:sz w:val="28"/>
          <w:szCs w:val="28"/>
          <w:shd w:val="clear" w:color="auto" w:fill="FFFFFF"/>
          <w:lang w:val="es-ES_tradnl"/>
        </w:rPr>
        <w:t>CONSIDERACIONES</w:t>
      </w:r>
    </w:p>
    <w:p w14:paraId="35D6C2AA" w14:textId="77777777" w:rsidR="00000000" w:rsidRPr="001B7B93" w:rsidRDefault="00000000" w:rsidP="003E6001">
      <w:pPr>
        <w:spacing w:after="0"/>
        <w:rPr>
          <w:rFonts w:ascii="Times New Roman" w:hAnsi="Times New Roman" w:cs="Times New Roman"/>
          <w:iCs/>
          <w:sz w:val="28"/>
          <w:szCs w:val="28"/>
          <w:shd w:val="clear" w:color="auto" w:fill="FFFFFF"/>
          <w:lang w:val="es-ES_tradnl"/>
        </w:rPr>
      </w:pPr>
    </w:p>
    <w:p w14:paraId="0AF6C788" w14:textId="77777777" w:rsidR="00000000" w:rsidRPr="001B7B93" w:rsidRDefault="001B7B93" w:rsidP="003E6001">
      <w:pPr>
        <w:pStyle w:val="Sinespaciado"/>
        <w:numPr>
          <w:ilvl w:val="0"/>
          <w:numId w:val="3"/>
        </w:numPr>
        <w:ind w:left="360"/>
        <w:jc w:val="both"/>
        <w:rPr>
          <w:rFonts w:ascii="Times New Roman" w:hAnsi="Times New Roman" w:cs="Times New Roman"/>
          <w:b/>
          <w:bCs/>
          <w:color w:val="000000" w:themeColor="text1"/>
          <w:sz w:val="28"/>
          <w:szCs w:val="28"/>
          <w:lang w:val="es-ES_tradnl"/>
        </w:rPr>
      </w:pPr>
      <w:r w:rsidRPr="001B7B93">
        <w:rPr>
          <w:rFonts w:ascii="Times New Roman" w:hAnsi="Times New Roman" w:cs="Times New Roman"/>
          <w:b/>
          <w:bCs/>
          <w:color w:val="000000" w:themeColor="text1"/>
          <w:sz w:val="28"/>
          <w:szCs w:val="28"/>
          <w:lang w:val="es-ES_tradnl"/>
        </w:rPr>
        <w:lastRenderedPageBreak/>
        <w:t>Competencia</w:t>
      </w:r>
    </w:p>
    <w:p w14:paraId="385162BB" w14:textId="77777777" w:rsidR="00000000" w:rsidRPr="001B7B93" w:rsidRDefault="00000000" w:rsidP="003E6001">
      <w:pPr>
        <w:spacing w:after="0"/>
        <w:rPr>
          <w:rFonts w:ascii="Times New Roman" w:hAnsi="Times New Roman" w:cs="Times New Roman"/>
          <w:iCs/>
          <w:sz w:val="28"/>
          <w:szCs w:val="28"/>
          <w:shd w:val="clear" w:color="auto" w:fill="FFFFFF"/>
          <w:lang w:val="es-ES_tradnl"/>
        </w:rPr>
      </w:pPr>
    </w:p>
    <w:p w14:paraId="25456DDC" w14:textId="77777777" w:rsidR="00000000" w:rsidRPr="001B7B93" w:rsidRDefault="001B7B93" w:rsidP="003E6001">
      <w:pPr>
        <w:pStyle w:val="Prrafodelista"/>
        <w:numPr>
          <w:ilvl w:val="3"/>
          <w:numId w:val="2"/>
        </w:numPr>
        <w:spacing w:after="0" w:line="240" w:lineRule="auto"/>
        <w:ind w:left="0" w:right="-8" w:firstLine="0"/>
        <w:contextualSpacing w:val="0"/>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sz w:val="28"/>
          <w:szCs w:val="28"/>
          <w:shd w:val="clear" w:color="auto" w:fill="FFFFFF"/>
          <w:lang w:val="es-ES_tradnl"/>
        </w:rPr>
        <w:t xml:space="preserve">La Corte Constitucional es competente para resolver el presente conflicto de jurisdicciones, </w:t>
      </w:r>
      <w:r w:rsidRPr="001B7B93">
        <w:rPr>
          <w:rFonts w:ascii="Times New Roman" w:hAnsi="Times New Roman" w:cs="Times New Roman"/>
          <w:sz w:val="28"/>
          <w:szCs w:val="28"/>
          <w:lang w:val="es-ES_tradnl"/>
        </w:rPr>
        <w:t>de</w:t>
      </w:r>
      <w:r w:rsidRPr="001B7B93">
        <w:rPr>
          <w:rFonts w:ascii="Times New Roman" w:hAnsi="Times New Roman" w:cs="Times New Roman"/>
          <w:sz w:val="28"/>
          <w:szCs w:val="28"/>
          <w:shd w:val="clear" w:color="auto" w:fill="FFFFFF"/>
          <w:lang w:val="es-ES_tradnl"/>
        </w:rPr>
        <w:t xml:space="preserve"> conformidad con lo dispuesto por el numeral 11 del artículo 241 de la Constitución Política. </w:t>
      </w:r>
    </w:p>
    <w:p w14:paraId="73946729" w14:textId="77777777" w:rsidR="00000000" w:rsidRPr="001B7B93" w:rsidRDefault="00000000" w:rsidP="003E6001">
      <w:pPr>
        <w:pStyle w:val="Prrafodelista"/>
        <w:spacing w:after="0"/>
        <w:ind w:left="0" w:right="-8"/>
        <w:jc w:val="both"/>
        <w:rPr>
          <w:rFonts w:ascii="Times New Roman" w:hAnsi="Times New Roman" w:cs="Times New Roman"/>
          <w:sz w:val="28"/>
          <w:szCs w:val="28"/>
          <w:shd w:val="clear" w:color="auto" w:fill="FFFFFF"/>
          <w:lang w:val="es-ES_tradnl"/>
        </w:rPr>
      </w:pPr>
    </w:p>
    <w:p w14:paraId="1F4692B9" w14:textId="77777777" w:rsidR="00000000" w:rsidRPr="001B7B93" w:rsidRDefault="001B7B93" w:rsidP="003E6001">
      <w:pPr>
        <w:pStyle w:val="Sinespaciado"/>
        <w:numPr>
          <w:ilvl w:val="0"/>
          <w:numId w:val="3"/>
        </w:numPr>
        <w:ind w:left="360"/>
        <w:jc w:val="both"/>
        <w:rPr>
          <w:rFonts w:ascii="Times New Roman" w:hAnsi="Times New Roman" w:cs="Times New Roman"/>
          <w:b/>
          <w:bCs/>
          <w:sz w:val="28"/>
          <w:szCs w:val="28"/>
          <w:shd w:val="clear" w:color="auto" w:fill="FFFFFF"/>
          <w:lang w:val="es-ES_tradnl"/>
        </w:rPr>
      </w:pPr>
      <w:r w:rsidRPr="001B7B93">
        <w:rPr>
          <w:rFonts w:ascii="Times New Roman" w:hAnsi="Times New Roman" w:cs="Times New Roman"/>
          <w:b/>
          <w:bCs/>
          <w:color w:val="000000" w:themeColor="text1"/>
          <w:sz w:val="28"/>
          <w:szCs w:val="28"/>
          <w:lang w:val="es-ES_tradnl"/>
        </w:rPr>
        <w:t>Delimitación del asunto objeto de revisión y metodología</w:t>
      </w:r>
    </w:p>
    <w:p w14:paraId="71777C60" w14:textId="77777777" w:rsidR="00000000" w:rsidRPr="001B7B93" w:rsidRDefault="00000000" w:rsidP="003E6001">
      <w:pPr>
        <w:pStyle w:val="Prrafodelista"/>
        <w:spacing w:after="0"/>
        <w:ind w:left="0" w:right="-8"/>
        <w:jc w:val="both"/>
        <w:rPr>
          <w:rFonts w:ascii="Times New Roman" w:hAnsi="Times New Roman" w:cs="Times New Roman"/>
          <w:sz w:val="28"/>
          <w:szCs w:val="28"/>
          <w:shd w:val="clear" w:color="auto" w:fill="FFFFFF"/>
          <w:lang w:val="es-ES_tradnl"/>
        </w:rPr>
      </w:pPr>
    </w:p>
    <w:p w14:paraId="0FEB5F6C" w14:textId="77777777" w:rsidR="00000000" w:rsidRPr="001B7B93" w:rsidRDefault="001B7B93" w:rsidP="00097613">
      <w:pPr>
        <w:pStyle w:val="Prrafodelista"/>
        <w:numPr>
          <w:ilvl w:val="3"/>
          <w:numId w:val="2"/>
        </w:numPr>
        <w:spacing w:after="0" w:line="240" w:lineRule="auto"/>
        <w:ind w:left="0" w:right="-8" w:firstLine="0"/>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sz w:val="28"/>
          <w:szCs w:val="28"/>
          <w:lang w:val="es-ES_tradnl"/>
        </w:rPr>
        <w:t xml:space="preserve">La Sala Plena debe resolver la controversia suscitada entre el </w:t>
      </w:r>
      <w:r w:rsidRPr="001B7B93">
        <w:rPr>
          <w:rFonts w:ascii="Times New Roman" w:eastAsia="Times New Roman" w:hAnsi="Times New Roman" w:cs="Times New Roman"/>
          <w:bCs/>
          <w:color w:val="000000" w:themeColor="text1"/>
          <w:sz w:val="28"/>
          <w:szCs w:val="28"/>
          <w:lang w:val="es-ES_tradnl" w:eastAsia="es-ES"/>
        </w:rPr>
        <w:t>Juzgado Primero Administrativo de Pasto y el Juzgado Primero Civil del Circuito de Túquerres</w:t>
      </w:r>
      <w:r w:rsidRPr="001B7B93">
        <w:rPr>
          <w:rFonts w:ascii="Times New Roman" w:hAnsi="Times New Roman" w:cs="Times New Roman"/>
          <w:sz w:val="28"/>
          <w:szCs w:val="28"/>
          <w:lang w:val="es-ES_tradnl"/>
        </w:rPr>
        <w:t xml:space="preserve">, la cual versa sobre la competencia para conocer la demanda interpuesta por </w:t>
      </w:r>
      <w:r w:rsidRPr="001B7B93">
        <w:rPr>
          <w:rFonts w:ascii="Times New Roman" w:hAnsi="Times New Roman" w:cs="Times New Roman"/>
          <w:sz w:val="28"/>
          <w:szCs w:val="28"/>
          <w:lang w:val="es-ES_tradnl" w:eastAsia="es-ES"/>
        </w:rPr>
        <w:t>la Empresa Nacional Promotora de Desarrollo Territorial contra el Municipio de Ricaurte Nariño y la Aseguradora Solidaria de Colombia</w:t>
      </w:r>
      <w:r w:rsidRPr="001B7B93">
        <w:rPr>
          <w:rFonts w:ascii="Times New Roman" w:hAnsi="Times New Roman" w:cs="Times New Roman"/>
          <w:sz w:val="28"/>
          <w:szCs w:val="28"/>
          <w:lang w:val="es-ES_tradnl"/>
        </w:rPr>
        <w:t xml:space="preserve"> (párr.</w:t>
      </w:r>
      <w:r w:rsidRPr="001B7B93">
        <w:rPr>
          <w:rFonts w:ascii="Times New Roman" w:hAnsi="Times New Roman" w:cs="Times New Roman"/>
          <w:i/>
          <w:iCs/>
          <w:sz w:val="28"/>
          <w:szCs w:val="28"/>
          <w:lang w:val="es-ES_tradnl"/>
        </w:rPr>
        <w:t xml:space="preserve"> </w:t>
      </w:r>
      <w:r w:rsidRPr="001B7B93">
        <w:rPr>
          <w:rFonts w:ascii="Times New Roman" w:hAnsi="Times New Roman" w:cs="Times New Roman"/>
          <w:sz w:val="28"/>
          <w:szCs w:val="28"/>
          <w:lang w:val="es-ES_tradnl"/>
        </w:rPr>
        <w:t>1 y 2</w:t>
      </w:r>
      <w:r w:rsidRPr="001B7B93">
        <w:rPr>
          <w:rFonts w:ascii="Times New Roman" w:hAnsi="Times New Roman" w:cs="Times New Roman"/>
          <w:i/>
          <w:iCs/>
          <w:sz w:val="28"/>
          <w:szCs w:val="28"/>
          <w:lang w:val="es-ES_tradnl"/>
        </w:rPr>
        <w:t xml:space="preserve"> supra</w:t>
      </w:r>
      <w:r w:rsidRPr="001B7B93">
        <w:rPr>
          <w:rFonts w:ascii="Times New Roman" w:hAnsi="Times New Roman" w:cs="Times New Roman"/>
          <w:sz w:val="28"/>
          <w:szCs w:val="28"/>
          <w:lang w:val="es-ES_tradnl"/>
        </w:rPr>
        <w:t>). Para ello, la Sala, en primer lugar, verificará si la controversia entre estas autoridades judiciales cumple con los presupuestos subjetivo, objetivo y normativo de los conflictos de jurisdicciones (</w:t>
      </w:r>
      <w:r w:rsidRPr="001B7B93">
        <w:rPr>
          <w:rFonts w:ascii="Times New Roman" w:hAnsi="Times New Roman" w:cs="Times New Roman"/>
          <w:b/>
          <w:sz w:val="28"/>
          <w:szCs w:val="28"/>
          <w:lang w:val="es-ES_tradnl"/>
        </w:rPr>
        <w:t xml:space="preserve">II.3 </w:t>
      </w:r>
      <w:r w:rsidRPr="001B7B93">
        <w:rPr>
          <w:rFonts w:ascii="Times New Roman" w:hAnsi="Times New Roman" w:cs="Times New Roman"/>
          <w:b/>
          <w:i/>
          <w:sz w:val="28"/>
          <w:szCs w:val="28"/>
          <w:lang w:val="es-ES_tradnl"/>
        </w:rPr>
        <w:t>infra</w:t>
      </w:r>
      <w:r w:rsidRPr="001B7B93">
        <w:rPr>
          <w:rFonts w:ascii="Times New Roman" w:hAnsi="Times New Roman" w:cs="Times New Roman"/>
          <w:sz w:val="28"/>
          <w:szCs w:val="28"/>
          <w:lang w:val="es-ES_tradnl"/>
        </w:rPr>
        <w:t xml:space="preserve">). En segundo lugar, de constatarse el cumplimiento de tales presupuestos, reiterará las reglas relacionadas con la </w:t>
      </w:r>
      <w:r w:rsidRPr="001B7B93">
        <w:rPr>
          <w:rFonts w:ascii="Times New Roman" w:hAnsi="Times New Roman" w:cs="Times New Roman"/>
          <w:color w:val="000000" w:themeColor="text1"/>
          <w:sz w:val="28"/>
          <w:szCs w:val="28"/>
          <w:lang w:val="es-ES_tradnl"/>
        </w:rPr>
        <w:t xml:space="preserve">competencia para conocer de las controversias contractuales que involucren a una entidad pública financiera, cuando la parte procesal del extremo pasivo sea otra entidad o autoridad pública </w:t>
      </w:r>
      <w:r w:rsidRPr="001B7B93">
        <w:rPr>
          <w:rFonts w:ascii="Times New Roman" w:hAnsi="Times New Roman" w:cs="Times New Roman"/>
          <w:bCs/>
          <w:iCs/>
          <w:sz w:val="28"/>
          <w:szCs w:val="28"/>
          <w:lang w:val="es-ES_tradnl"/>
        </w:rPr>
        <w:t>(</w:t>
      </w:r>
      <w:r w:rsidRPr="001B7B93">
        <w:rPr>
          <w:rFonts w:ascii="Times New Roman" w:hAnsi="Times New Roman" w:cs="Times New Roman"/>
          <w:b/>
          <w:bCs/>
          <w:iCs/>
          <w:sz w:val="28"/>
          <w:szCs w:val="28"/>
          <w:lang w:val="es-ES_tradnl"/>
        </w:rPr>
        <w:t xml:space="preserve">II.4 </w:t>
      </w:r>
      <w:r w:rsidRPr="001B7B93">
        <w:rPr>
          <w:rFonts w:ascii="Times New Roman" w:hAnsi="Times New Roman" w:cs="Times New Roman"/>
          <w:b/>
          <w:bCs/>
          <w:i/>
          <w:iCs/>
          <w:sz w:val="28"/>
          <w:szCs w:val="28"/>
          <w:lang w:val="es-ES_tradnl"/>
        </w:rPr>
        <w:t>infra</w:t>
      </w:r>
      <w:r w:rsidRPr="001B7B93">
        <w:rPr>
          <w:rFonts w:ascii="Times New Roman" w:hAnsi="Times New Roman" w:cs="Times New Roman"/>
          <w:bCs/>
          <w:iCs/>
          <w:sz w:val="28"/>
          <w:szCs w:val="28"/>
          <w:lang w:val="es-ES_tradnl"/>
        </w:rPr>
        <w:t xml:space="preserve">). Por último, </w:t>
      </w:r>
      <w:r w:rsidRPr="001B7B93">
        <w:rPr>
          <w:rFonts w:ascii="Times New Roman" w:hAnsi="Times New Roman" w:cs="Times New Roman"/>
          <w:sz w:val="28"/>
          <w:szCs w:val="28"/>
          <w:lang w:val="es-ES_tradnl"/>
        </w:rPr>
        <w:t>resolverá el conflicto y determinará cuál es la autoridad judicial que debe asumir o continuar con el conocimiento del proceso</w:t>
      </w:r>
      <w:r w:rsidRPr="001B7B93">
        <w:rPr>
          <w:rFonts w:ascii="Times New Roman" w:hAnsi="Times New Roman" w:cs="Times New Roman"/>
          <w:b/>
          <w:bCs/>
          <w:iCs/>
          <w:sz w:val="28"/>
          <w:szCs w:val="28"/>
          <w:lang w:val="es-ES_tradnl"/>
        </w:rPr>
        <w:t xml:space="preserve"> </w:t>
      </w:r>
      <w:r w:rsidRPr="001B7B93">
        <w:rPr>
          <w:rFonts w:ascii="Times New Roman" w:hAnsi="Times New Roman" w:cs="Times New Roman"/>
          <w:bCs/>
          <w:iCs/>
          <w:sz w:val="28"/>
          <w:szCs w:val="28"/>
          <w:lang w:val="es-ES_tradnl"/>
        </w:rPr>
        <w:t>(</w:t>
      </w:r>
      <w:r w:rsidRPr="001B7B93">
        <w:rPr>
          <w:rFonts w:ascii="Times New Roman" w:hAnsi="Times New Roman" w:cs="Times New Roman"/>
          <w:b/>
          <w:bCs/>
          <w:iCs/>
          <w:sz w:val="28"/>
          <w:szCs w:val="28"/>
          <w:lang w:val="es-ES_tradnl"/>
        </w:rPr>
        <w:t xml:space="preserve">II.5 </w:t>
      </w:r>
      <w:r w:rsidRPr="001B7B93">
        <w:rPr>
          <w:rFonts w:ascii="Times New Roman" w:hAnsi="Times New Roman" w:cs="Times New Roman"/>
          <w:b/>
          <w:bCs/>
          <w:i/>
          <w:iCs/>
          <w:sz w:val="28"/>
          <w:szCs w:val="28"/>
          <w:lang w:val="es-ES_tradnl"/>
        </w:rPr>
        <w:t>infra</w:t>
      </w:r>
      <w:r w:rsidRPr="001B7B93">
        <w:rPr>
          <w:rFonts w:ascii="Times New Roman" w:hAnsi="Times New Roman" w:cs="Times New Roman"/>
          <w:bCs/>
          <w:iCs/>
          <w:sz w:val="28"/>
          <w:szCs w:val="28"/>
          <w:lang w:val="es-ES_tradnl"/>
        </w:rPr>
        <w:t>)</w:t>
      </w:r>
      <w:r w:rsidRPr="001B7B93">
        <w:rPr>
          <w:rFonts w:ascii="Times New Roman" w:hAnsi="Times New Roman" w:cs="Times New Roman"/>
          <w:sz w:val="28"/>
          <w:szCs w:val="28"/>
          <w:lang w:val="es-ES_tradnl"/>
        </w:rPr>
        <w:t>.</w:t>
      </w:r>
    </w:p>
    <w:p w14:paraId="53B85F1E" w14:textId="77777777" w:rsidR="00000000" w:rsidRPr="001B7B93" w:rsidRDefault="00000000" w:rsidP="00D00B09">
      <w:pPr>
        <w:pStyle w:val="Prrafodelista"/>
        <w:spacing w:after="0" w:line="240" w:lineRule="auto"/>
        <w:ind w:left="0" w:right="-8"/>
        <w:jc w:val="both"/>
        <w:rPr>
          <w:rFonts w:ascii="Times New Roman" w:hAnsi="Times New Roman" w:cs="Times New Roman"/>
          <w:sz w:val="28"/>
          <w:szCs w:val="28"/>
          <w:shd w:val="clear" w:color="auto" w:fill="FFFFFF"/>
          <w:lang w:val="es-ES_tradnl"/>
        </w:rPr>
      </w:pPr>
    </w:p>
    <w:p w14:paraId="6325D42B" w14:textId="77777777" w:rsidR="00000000" w:rsidRPr="001B7B93" w:rsidRDefault="001B7B93" w:rsidP="001D77F8">
      <w:pPr>
        <w:pStyle w:val="Sinespaciado"/>
        <w:numPr>
          <w:ilvl w:val="0"/>
          <w:numId w:val="3"/>
        </w:numPr>
        <w:ind w:left="360"/>
        <w:jc w:val="both"/>
        <w:rPr>
          <w:rFonts w:ascii="Times New Roman" w:hAnsi="Times New Roman" w:cs="Times New Roman"/>
          <w:b/>
          <w:bCs/>
          <w:color w:val="000000" w:themeColor="text1"/>
          <w:sz w:val="28"/>
          <w:szCs w:val="28"/>
          <w:lang w:val="es-ES_tradnl"/>
        </w:rPr>
      </w:pPr>
      <w:r w:rsidRPr="001B7B93">
        <w:rPr>
          <w:rFonts w:ascii="Times New Roman" w:hAnsi="Times New Roman" w:cs="Times New Roman"/>
          <w:b/>
          <w:bCs/>
          <w:color w:val="000000" w:themeColor="text1"/>
          <w:sz w:val="28"/>
          <w:szCs w:val="28"/>
          <w:lang w:val="es-ES_tradnl"/>
        </w:rPr>
        <w:t>Verificación de los presupuestos para la configuración de un conflicto de jurisdicciones</w:t>
      </w:r>
    </w:p>
    <w:p w14:paraId="3D496065" w14:textId="77777777" w:rsidR="00000000" w:rsidRPr="001B7B93" w:rsidRDefault="00000000" w:rsidP="000A77C3">
      <w:pPr>
        <w:pStyle w:val="Prrafodelista"/>
        <w:ind w:left="0" w:right="-8"/>
        <w:jc w:val="both"/>
        <w:rPr>
          <w:rFonts w:ascii="Times New Roman" w:hAnsi="Times New Roman" w:cs="Times New Roman"/>
          <w:sz w:val="28"/>
          <w:szCs w:val="28"/>
          <w:shd w:val="clear" w:color="auto" w:fill="FFFFFF"/>
          <w:lang w:val="es-ES_tradnl"/>
        </w:rPr>
      </w:pPr>
    </w:p>
    <w:p w14:paraId="4303D650" w14:textId="77777777" w:rsidR="00000000" w:rsidRPr="001B7B93" w:rsidRDefault="001B7B93" w:rsidP="007746B2">
      <w:pPr>
        <w:pStyle w:val="Prrafodelista"/>
        <w:numPr>
          <w:ilvl w:val="3"/>
          <w:numId w:val="2"/>
        </w:numPr>
        <w:spacing w:after="0" w:line="240" w:lineRule="auto"/>
        <w:ind w:left="0" w:right="-8" w:firstLine="0"/>
        <w:contextualSpacing w:val="0"/>
        <w:jc w:val="both"/>
        <w:rPr>
          <w:rFonts w:ascii="Times New Roman" w:hAnsi="Times New Roman" w:cs="Times New Roman"/>
          <w:color w:val="000000" w:themeColor="text1"/>
          <w:sz w:val="28"/>
          <w:szCs w:val="28"/>
          <w:shd w:val="clear" w:color="auto" w:fill="FFFFFF"/>
          <w:lang w:val="es-ES_tradnl"/>
        </w:rPr>
      </w:pPr>
      <w:bookmarkStart w:id="1" w:name="_Hlk56588488"/>
      <w:r w:rsidRPr="001B7B93">
        <w:rPr>
          <w:rFonts w:ascii="Times New Roman" w:hAnsi="Times New Roman" w:cs="Times New Roman"/>
          <w:i/>
          <w:color w:val="000000" w:themeColor="text1"/>
          <w:sz w:val="28"/>
          <w:szCs w:val="28"/>
          <w:lang w:val="es-ES_tradnl"/>
        </w:rPr>
        <w:t>Presupuestos de los conflictos de jurisdicciones</w:t>
      </w:r>
      <w:r w:rsidRPr="001B7B93">
        <w:rPr>
          <w:rFonts w:ascii="Times New Roman" w:hAnsi="Times New Roman" w:cs="Times New Roman"/>
          <w:color w:val="000000" w:themeColor="text1"/>
          <w:sz w:val="28"/>
          <w:szCs w:val="28"/>
          <w:lang w:val="es-ES_tradnl"/>
        </w:rPr>
        <w:t xml:space="preserve">. Los conflictos de competencia entre jurisdicciones se presentan cuando </w:t>
      </w:r>
      <w:r w:rsidRPr="001B7B93">
        <w:rPr>
          <w:rFonts w:ascii="Times New Roman" w:hAnsi="Times New Roman" w:cs="Times New Roman"/>
          <w:iCs/>
          <w:color w:val="000000" w:themeColor="text1"/>
          <w:sz w:val="28"/>
          <w:szCs w:val="28"/>
          <w:lang w:val="es-ES_tradnl"/>
        </w:rPr>
        <w:t>dos o más autoridades judiciales “se disputan el conocimiento de un proceso, bien sea porque estiman que a ninguno le corresponde (negativo), o porque consideran que es de su exclusiva incumbencia (positivo)”</w:t>
      </w:r>
      <w:r w:rsidRPr="001B7B93">
        <w:rPr>
          <w:rFonts w:ascii="Times New Roman" w:hAnsi="Times New Roman" w:cs="Times New Roman"/>
          <w:color w:val="000000" w:themeColor="text1"/>
          <w:sz w:val="28"/>
          <w:szCs w:val="28"/>
          <w:vertAlign w:val="superscript"/>
          <w:lang w:val="es-ES_tradnl"/>
        </w:rPr>
        <w:footnoteReference w:id="9"/>
      </w:r>
      <w:r w:rsidRPr="001B7B93">
        <w:rPr>
          <w:rFonts w:ascii="Times New Roman" w:hAnsi="Times New Roman" w:cs="Times New Roman"/>
          <w:color w:val="000000" w:themeColor="text1"/>
          <w:sz w:val="28"/>
          <w:szCs w:val="28"/>
          <w:lang w:val="es-ES_tradnl"/>
        </w:rPr>
        <w:t xml:space="preserve">. La Corte Constitucional ha sostenido, en reiterada jurisprudencia, que para que este tipo de conflictos se </w:t>
      </w:r>
      <w:r w:rsidRPr="001B7B93">
        <w:rPr>
          <w:rFonts w:ascii="Times New Roman" w:hAnsi="Times New Roman" w:cs="Times New Roman"/>
          <w:color w:val="000000" w:themeColor="text1"/>
          <w:sz w:val="28"/>
          <w:szCs w:val="28"/>
          <w:lang w:val="es-ES_tradnl"/>
        </w:rPr>
        <w:lastRenderedPageBreak/>
        <w:t>configuren es necesario que se acrediten tres presupuestos: subjetivo, objetivo y normativo</w:t>
      </w:r>
      <w:r w:rsidRPr="001B7B93">
        <w:rPr>
          <w:rFonts w:ascii="Times New Roman" w:hAnsi="Times New Roman" w:cs="Times New Roman"/>
          <w:color w:val="000000" w:themeColor="text1"/>
          <w:sz w:val="28"/>
          <w:szCs w:val="28"/>
          <w:vertAlign w:val="superscript"/>
          <w:lang w:val="es-ES_tradnl"/>
        </w:rPr>
        <w:footnoteReference w:id="10"/>
      </w:r>
      <w:r w:rsidRPr="001B7B93">
        <w:rPr>
          <w:rFonts w:ascii="Times New Roman" w:hAnsi="Times New Roman" w:cs="Times New Roman"/>
          <w:color w:val="000000" w:themeColor="text1"/>
          <w:sz w:val="28"/>
          <w:szCs w:val="28"/>
          <w:shd w:val="clear" w:color="auto" w:fill="FFFFFF"/>
          <w:lang w:val="es-ES_tradnl"/>
        </w:rPr>
        <w:t>, los cuales se explican en el siguiente cuadro:</w:t>
      </w:r>
    </w:p>
    <w:p w14:paraId="054189D1" w14:textId="77777777" w:rsidR="00000000" w:rsidRPr="001B7B93" w:rsidRDefault="00000000" w:rsidP="007746B2">
      <w:pPr>
        <w:spacing w:after="0"/>
        <w:ind w:right="-8"/>
        <w:contextualSpacing/>
        <w:jc w:val="both"/>
        <w:rPr>
          <w:rFonts w:ascii="Times New Roman" w:hAnsi="Times New Roman" w:cs="Times New Roman"/>
          <w:color w:val="000000" w:themeColor="text1"/>
          <w:sz w:val="28"/>
          <w:szCs w:val="28"/>
          <w:lang w:val="es-ES_tradnl"/>
        </w:rPr>
      </w:pPr>
    </w:p>
    <w:tbl>
      <w:tblPr>
        <w:tblStyle w:val="Tablaconcuadrcula1"/>
        <w:tblW w:w="8784" w:type="dxa"/>
        <w:tblLook w:val="04A0" w:firstRow="1" w:lastRow="0" w:firstColumn="1" w:lastColumn="0" w:noHBand="0" w:noVBand="1"/>
      </w:tblPr>
      <w:tblGrid>
        <w:gridCol w:w="2122"/>
        <w:gridCol w:w="6662"/>
      </w:tblGrid>
      <w:tr w:rsidR="007746B2" w:rsidRPr="001B7B93" w14:paraId="3BE4C96D" w14:textId="77777777" w:rsidTr="00D303B2">
        <w:trPr>
          <w:trHeight w:val="416"/>
          <w:tblHeader/>
        </w:trPr>
        <w:tc>
          <w:tcPr>
            <w:tcW w:w="8784" w:type="dxa"/>
            <w:gridSpan w:val="2"/>
            <w:shd w:val="clear" w:color="auto" w:fill="BFBFBF" w:themeFill="background1" w:themeFillShade="BF"/>
            <w:vAlign w:val="center"/>
          </w:tcPr>
          <w:p w14:paraId="3E50C6BB" w14:textId="77777777" w:rsidR="00000000" w:rsidRPr="001B7B93" w:rsidRDefault="001B7B93" w:rsidP="001D0BBC">
            <w:pPr>
              <w:spacing w:after="0" w:line="240" w:lineRule="auto"/>
              <w:jc w:val="center"/>
              <w:rPr>
                <w:rFonts w:eastAsia="Times New Roman"/>
                <w:b/>
                <w:bCs/>
                <w:lang w:val="es-ES_tradnl" w:eastAsia="es-ES"/>
              </w:rPr>
            </w:pPr>
            <w:r w:rsidRPr="001B7B93">
              <w:rPr>
                <w:rFonts w:eastAsia="Times New Roman"/>
                <w:b/>
                <w:bCs/>
                <w:lang w:val="es-ES_tradnl" w:eastAsia="es-ES"/>
              </w:rPr>
              <w:t>Presupuestos de los conflictos de jurisdicciones</w:t>
            </w:r>
          </w:p>
        </w:tc>
      </w:tr>
      <w:tr w:rsidR="007746B2" w:rsidRPr="001B7B93" w14:paraId="654FC4B4" w14:textId="77777777" w:rsidTr="0080192B">
        <w:trPr>
          <w:trHeight w:val="695"/>
        </w:trPr>
        <w:tc>
          <w:tcPr>
            <w:tcW w:w="2122" w:type="dxa"/>
          </w:tcPr>
          <w:p w14:paraId="53103E1A" w14:textId="77777777" w:rsidR="00000000" w:rsidRPr="001B7B93" w:rsidRDefault="001B7B93" w:rsidP="007746B2">
            <w:pPr>
              <w:spacing w:after="0" w:line="240" w:lineRule="auto"/>
              <w:jc w:val="center"/>
              <w:rPr>
                <w:rFonts w:eastAsia="Times New Roman"/>
                <w:lang w:val="es-ES_tradnl" w:eastAsia="es-ES"/>
              </w:rPr>
            </w:pPr>
            <w:r w:rsidRPr="001B7B93">
              <w:rPr>
                <w:rFonts w:eastAsia="Times New Roman"/>
                <w:i/>
                <w:iCs/>
                <w:lang w:val="es-ES_tradnl" w:eastAsia="es-ES"/>
              </w:rPr>
              <w:t>Subjetivo</w:t>
            </w:r>
          </w:p>
        </w:tc>
        <w:tc>
          <w:tcPr>
            <w:tcW w:w="6662" w:type="dxa"/>
          </w:tcPr>
          <w:p w14:paraId="312B4DAD" w14:textId="77777777" w:rsidR="00000000" w:rsidRPr="001B7B93" w:rsidRDefault="001B7B93" w:rsidP="007746B2">
            <w:pPr>
              <w:spacing w:after="0" w:line="240" w:lineRule="auto"/>
              <w:jc w:val="both"/>
              <w:rPr>
                <w:rFonts w:eastAsia="Times New Roman"/>
                <w:lang w:val="es-ES_tradnl" w:eastAsia="es-ES"/>
              </w:rPr>
            </w:pPr>
            <w:r w:rsidRPr="001B7B93">
              <w:rPr>
                <w:rFonts w:eastAsia="Times New Roman"/>
                <w:lang w:val="es-ES_tradnl" w:eastAsia="es-ES"/>
              </w:rPr>
              <w:t xml:space="preserve">Exige que la controversia se presente entre por lo menos dos autoridades que administren justicia y formen parte de distintas jurisdicciones. </w:t>
            </w:r>
            <w:r w:rsidRPr="001B7B93">
              <w:rPr>
                <w:lang w:val="es-ES_tradnl"/>
              </w:rPr>
              <w:t>De este modo, “el conflicto de jurisdicción no puede provocarse autónomamente por las partes del respectivo proceso”</w:t>
            </w:r>
            <w:r w:rsidRPr="001B7B93">
              <w:rPr>
                <w:vertAlign w:val="superscript"/>
                <w:lang w:val="es-ES_tradnl"/>
              </w:rPr>
              <w:t xml:space="preserve"> </w:t>
            </w:r>
            <w:r w:rsidRPr="001B7B93">
              <w:rPr>
                <w:vertAlign w:val="superscript"/>
                <w:lang w:val="es-ES_tradnl"/>
              </w:rPr>
              <w:footnoteReference w:id="11"/>
            </w:r>
            <w:r w:rsidRPr="001B7B93">
              <w:rPr>
                <w:i/>
                <w:lang w:val="es-ES_tradnl"/>
              </w:rPr>
              <w:t>.</w:t>
            </w:r>
          </w:p>
        </w:tc>
      </w:tr>
      <w:tr w:rsidR="007746B2" w:rsidRPr="001B7B93" w14:paraId="398677A0" w14:textId="77777777" w:rsidTr="0080192B">
        <w:tc>
          <w:tcPr>
            <w:tcW w:w="2122" w:type="dxa"/>
          </w:tcPr>
          <w:p w14:paraId="403A2BF2" w14:textId="77777777" w:rsidR="00000000" w:rsidRPr="001B7B93" w:rsidRDefault="001B7B93" w:rsidP="007746B2">
            <w:pPr>
              <w:spacing w:after="0" w:line="240" w:lineRule="auto"/>
              <w:jc w:val="center"/>
              <w:rPr>
                <w:rFonts w:eastAsia="Times New Roman"/>
                <w:lang w:val="es-ES_tradnl" w:eastAsia="es-ES"/>
              </w:rPr>
            </w:pPr>
            <w:r w:rsidRPr="001B7B93">
              <w:rPr>
                <w:rFonts w:eastAsia="Times New Roman"/>
                <w:i/>
                <w:iCs/>
                <w:lang w:val="es-ES_tradnl" w:eastAsia="es-ES"/>
              </w:rPr>
              <w:t>Objetivo</w:t>
            </w:r>
          </w:p>
        </w:tc>
        <w:tc>
          <w:tcPr>
            <w:tcW w:w="6662" w:type="dxa"/>
          </w:tcPr>
          <w:p w14:paraId="12B4B4BD" w14:textId="77777777" w:rsidR="00000000" w:rsidRPr="001B7B93" w:rsidRDefault="001B7B93" w:rsidP="007746B2">
            <w:pPr>
              <w:spacing w:after="0" w:line="240" w:lineRule="auto"/>
              <w:jc w:val="both"/>
              <w:rPr>
                <w:rFonts w:eastAsia="Times New Roman"/>
                <w:lang w:val="es-ES_tradnl" w:eastAsia="es-ES"/>
              </w:rPr>
            </w:pPr>
            <w:r w:rsidRPr="001B7B93">
              <w:rPr>
                <w:rFonts w:eastAsia="Times New Roman"/>
                <w:lang w:val="es-ES_tradnl" w:eastAsia="es-ES"/>
              </w:rPr>
              <w:t>Implica que la disputa debe recaer sobre el conocimiento de una causa de naturaleza judicial, no política o administrativa</w:t>
            </w:r>
            <w:r w:rsidRPr="001B7B93">
              <w:rPr>
                <w:rFonts w:eastAsia="Times New Roman"/>
                <w:vertAlign w:val="superscript"/>
                <w:lang w:val="es-ES_tradnl" w:eastAsia="es-ES"/>
              </w:rPr>
              <w:footnoteReference w:id="12"/>
            </w:r>
            <w:r w:rsidRPr="001B7B93">
              <w:rPr>
                <w:rFonts w:eastAsia="Times New Roman"/>
                <w:lang w:val="es-ES_tradnl" w:eastAsia="es-ES"/>
              </w:rPr>
              <w:t>.</w:t>
            </w:r>
          </w:p>
        </w:tc>
      </w:tr>
      <w:tr w:rsidR="007746B2" w:rsidRPr="001B7B93" w14:paraId="693A0ADB" w14:textId="77777777" w:rsidTr="0080192B">
        <w:tc>
          <w:tcPr>
            <w:tcW w:w="2122" w:type="dxa"/>
          </w:tcPr>
          <w:p w14:paraId="76A7FB1B" w14:textId="77777777" w:rsidR="00000000" w:rsidRPr="001B7B93" w:rsidRDefault="001B7B93" w:rsidP="007746B2">
            <w:pPr>
              <w:spacing w:after="0" w:line="240" w:lineRule="auto"/>
              <w:jc w:val="center"/>
              <w:rPr>
                <w:rFonts w:eastAsia="Times New Roman"/>
                <w:lang w:val="es-ES_tradnl" w:eastAsia="es-ES"/>
              </w:rPr>
            </w:pPr>
            <w:r w:rsidRPr="001B7B93">
              <w:rPr>
                <w:rFonts w:eastAsia="Times New Roman"/>
                <w:i/>
                <w:iCs/>
                <w:lang w:val="es-ES_tradnl" w:eastAsia="es-ES"/>
              </w:rPr>
              <w:t>Normativo</w:t>
            </w:r>
          </w:p>
        </w:tc>
        <w:tc>
          <w:tcPr>
            <w:tcW w:w="6662" w:type="dxa"/>
          </w:tcPr>
          <w:p w14:paraId="25592DAD" w14:textId="77777777" w:rsidR="00000000" w:rsidRPr="001B7B93" w:rsidRDefault="001B7B93" w:rsidP="007746B2">
            <w:pPr>
              <w:spacing w:after="0" w:line="240" w:lineRule="auto"/>
              <w:jc w:val="both"/>
              <w:rPr>
                <w:rFonts w:eastAsia="Times New Roman"/>
                <w:lang w:val="es-ES_tradnl" w:eastAsia="es-ES"/>
              </w:rPr>
            </w:pPr>
            <w:r w:rsidRPr="001B7B93">
              <w:rPr>
                <w:rFonts w:eastAsia="Times New Roman"/>
                <w:lang w:val="es-ES_tradnl" w:eastAsia="es-ES"/>
              </w:rPr>
              <w:t>Exige constatar que las autoridades judiciales en colisión hayan manifestado expresamente las razones de índole constitucional o legal, por las cuales consideran que son competentes o no para conocer del asunto concreto</w:t>
            </w:r>
            <w:r w:rsidRPr="001B7B93">
              <w:rPr>
                <w:rFonts w:eastAsia="Times New Roman"/>
                <w:vertAlign w:val="superscript"/>
                <w:lang w:val="es-ES_tradnl" w:eastAsia="es-ES"/>
              </w:rPr>
              <w:footnoteReference w:id="13"/>
            </w:r>
            <w:r w:rsidRPr="001B7B93">
              <w:rPr>
                <w:rFonts w:eastAsia="Times New Roman"/>
                <w:lang w:val="es-ES_tradnl" w:eastAsia="es-ES"/>
              </w:rPr>
              <w:t>.</w:t>
            </w:r>
          </w:p>
        </w:tc>
      </w:tr>
    </w:tbl>
    <w:p w14:paraId="72BF588F" w14:textId="77777777" w:rsidR="00000000" w:rsidRPr="001B7B93" w:rsidRDefault="00000000" w:rsidP="00CE73F1">
      <w:pPr>
        <w:spacing w:after="0" w:line="240" w:lineRule="auto"/>
        <w:ind w:right="-6"/>
        <w:contextualSpacing/>
        <w:jc w:val="both"/>
        <w:rPr>
          <w:rFonts w:ascii="Times New Roman" w:hAnsi="Times New Roman" w:cs="Times New Roman"/>
          <w:color w:val="000000" w:themeColor="text1"/>
          <w:sz w:val="28"/>
          <w:szCs w:val="28"/>
          <w:shd w:val="clear" w:color="auto" w:fill="FFFFFF"/>
          <w:lang w:val="es-ES_tradnl"/>
        </w:rPr>
      </w:pPr>
    </w:p>
    <w:p w14:paraId="31B56075" w14:textId="77777777" w:rsidR="00000000" w:rsidRPr="001B7B93" w:rsidRDefault="001B7B93" w:rsidP="007746B2">
      <w:pPr>
        <w:pStyle w:val="Prrafodelista"/>
        <w:numPr>
          <w:ilvl w:val="3"/>
          <w:numId w:val="2"/>
        </w:numPr>
        <w:spacing w:after="0" w:line="240" w:lineRule="auto"/>
        <w:ind w:left="0" w:right="-8" w:firstLine="0"/>
        <w:contextualSpacing w:val="0"/>
        <w:jc w:val="both"/>
        <w:rPr>
          <w:rFonts w:ascii="Times New Roman" w:hAnsi="Times New Roman" w:cs="Times New Roman"/>
          <w:color w:val="000000" w:themeColor="text1"/>
          <w:sz w:val="28"/>
          <w:szCs w:val="28"/>
          <w:shd w:val="clear" w:color="auto" w:fill="FFFFFF"/>
          <w:lang w:val="es-ES_tradnl"/>
        </w:rPr>
      </w:pPr>
      <w:r w:rsidRPr="001B7B93">
        <w:rPr>
          <w:rFonts w:ascii="Times New Roman" w:hAnsi="Times New Roman" w:cs="Times New Roman"/>
          <w:i/>
          <w:color w:val="000000" w:themeColor="text1"/>
          <w:sz w:val="28"/>
          <w:szCs w:val="28"/>
          <w:lang w:val="es-ES_tradnl"/>
        </w:rPr>
        <w:t>La controversia sub examine configura un conflicto de jurisdicciones</w:t>
      </w:r>
      <w:r w:rsidRPr="001B7B93">
        <w:rPr>
          <w:rFonts w:ascii="Times New Roman" w:hAnsi="Times New Roman" w:cs="Times New Roman"/>
          <w:color w:val="000000" w:themeColor="text1"/>
          <w:sz w:val="28"/>
          <w:szCs w:val="28"/>
          <w:lang w:val="es-ES_tradnl"/>
        </w:rPr>
        <w:t>. Esto, por las siguientes razones:</w:t>
      </w:r>
    </w:p>
    <w:p w14:paraId="164241BF" w14:textId="77777777" w:rsidR="00000000" w:rsidRPr="001B7B93" w:rsidRDefault="00000000" w:rsidP="00881AA1">
      <w:pPr>
        <w:spacing w:after="0"/>
        <w:ind w:left="720"/>
        <w:rPr>
          <w:rFonts w:ascii="Times New Roman" w:hAnsi="Times New Roman" w:cs="Times New Roman"/>
          <w:color w:val="000000" w:themeColor="text1"/>
          <w:sz w:val="28"/>
          <w:szCs w:val="28"/>
          <w:lang w:val="es-ES_tradnl"/>
        </w:rPr>
      </w:pPr>
    </w:p>
    <w:p w14:paraId="06E0FCAE" w14:textId="77777777" w:rsidR="00000000" w:rsidRPr="001B7B93" w:rsidRDefault="001B7B93" w:rsidP="006E2E39">
      <w:pPr>
        <w:pStyle w:val="Prrafodelista"/>
        <w:numPr>
          <w:ilvl w:val="0"/>
          <w:numId w:val="4"/>
        </w:numPr>
        <w:spacing w:after="0" w:line="240" w:lineRule="auto"/>
        <w:ind w:left="709"/>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sz w:val="28"/>
          <w:szCs w:val="28"/>
          <w:lang w:val="es-ES_tradnl"/>
        </w:rPr>
        <w:t xml:space="preserve">Satisface el </w:t>
      </w:r>
      <w:r w:rsidRPr="001B7B93">
        <w:rPr>
          <w:rFonts w:ascii="Times New Roman" w:hAnsi="Times New Roman" w:cs="Times New Roman"/>
          <w:i/>
          <w:iCs/>
          <w:sz w:val="28"/>
          <w:szCs w:val="28"/>
          <w:lang w:val="es-ES_tradnl"/>
        </w:rPr>
        <w:t>presupuesto subjetivo</w:t>
      </w:r>
      <w:r w:rsidRPr="001B7B93">
        <w:rPr>
          <w:rFonts w:ascii="Times New Roman" w:hAnsi="Times New Roman" w:cs="Times New Roman"/>
          <w:sz w:val="28"/>
          <w:szCs w:val="28"/>
          <w:lang w:val="es-ES_tradnl"/>
        </w:rPr>
        <w:t xml:space="preserve">, porque enfrenta a dos autoridades judiciales de distintas jurisdicciones, esto es, </w:t>
      </w:r>
      <w:r w:rsidRPr="001B7B93">
        <w:rPr>
          <w:rFonts w:ascii="Times New Roman" w:hAnsi="Times New Roman" w:cs="Times New Roman"/>
          <w:i/>
          <w:iCs/>
          <w:sz w:val="28"/>
          <w:szCs w:val="28"/>
          <w:lang w:val="es-ES_tradnl"/>
        </w:rPr>
        <w:t>(i)</w:t>
      </w:r>
      <w:r w:rsidRPr="001B7B93">
        <w:rPr>
          <w:rFonts w:ascii="Times New Roman" w:hAnsi="Times New Roman" w:cs="Times New Roman"/>
          <w:sz w:val="28"/>
          <w:szCs w:val="28"/>
          <w:lang w:val="es-ES_tradnl"/>
        </w:rPr>
        <w:t xml:space="preserve"> </w:t>
      </w:r>
      <w:r w:rsidRPr="001B7B93">
        <w:rPr>
          <w:rFonts w:ascii="Times New Roman" w:eastAsia="Times New Roman" w:hAnsi="Times New Roman" w:cs="Times New Roman"/>
          <w:bCs/>
          <w:color w:val="000000" w:themeColor="text1"/>
          <w:sz w:val="28"/>
          <w:szCs w:val="28"/>
          <w:lang w:val="es-ES_tradnl" w:eastAsia="es-ES"/>
        </w:rPr>
        <w:t>el Juzgado Primero Civil del Circuito de Túquerres</w:t>
      </w:r>
      <w:r w:rsidRPr="001B7B93">
        <w:rPr>
          <w:rFonts w:ascii="Times New Roman" w:hAnsi="Times New Roman" w:cs="Times New Roman"/>
          <w:sz w:val="28"/>
          <w:szCs w:val="28"/>
          <w:lang w:val="es-ES_tradnl"/>
        </w:rPr>
        <w:t xml:space="preserve">, que forma parte de la jurisdicción ordinaria, y </w:t>
      </w:r>
      <w:r w:rsidRPr="001B7B93">
        <w:rPr>
          <w:rFonts w:ascii="Times New Roman" w:hAnsi="Times New Roman" w:cs="Times New Roman"/>
          <w:i/>
          <w:iCs/>
          <w:sz w:val="28"/>
          <w:szCs w:val="28"/>
          <w:lang w:val="es-ES_tradnl"/>
        </w:rPr>
        <w:t>(</w:t>
      </w:r>
      <w:proofErr w:type="spellStart"/>
      <w:r w:rsidRPr="001B7B93">
        <w:rPr>
          <w:rFonts w:ascii="Times New Roman" w:hAnsi="Times New Roman" w:cs="Times New Roman"/>
          <w:i/>
          <w:iCs/>
          <w:sz w:val="28"/>
          <w:szCs w:val="28"/>
          <w:lang w:val="es-ES_tradnl"/>
        </w:rPr>
        <w:t>ii</w:t>
      </w:r>
      <w:proofErr w:type="spellEnd"/>
      <w:r w:rsidRPr="001B7B93">
        <w:rPr>
          <w:rFonts w:ascii="Times New Roman" w:hAnsi="Times New Roman" w:cs="Times New Roman"/>
          <w:i/>
          <w:iCs/>
          <w:sz w:val="28"/>
          <w:szCs w:val="28"/>
          <w:lang w:val="es-ES_tradnl"/>
        </w:rPr>
        <w:t>)</w:t>
      </w:r>
      <w:r w:rsidRPr="001B7B93">
        <w:rPr>
          <w:rFonts w:ascii="Times New Roman" w:hAnsi="Times New Roman" w:cs="Times New Roman"/>
          <w:sz w:val="28"/>
          <w:szCs w:val="28"/>
          <w:lang w:val="es-ES_tradnl"/>
        </w:rPr>
        <w:t xml:space="preserve"> el</w:t>
      </w:r>
      <w:r w:rsidRPr="001B7B93">
        <w:rPr>
          <w:rFonts w:ascii="Times New Roman" w:eastAsia="Times New Roman" w:hAnsi="Times New Roman" w:cs="Times New Roman"/>
          <w:bCs/>
          <w:color w:val="000000" w:themeColor="text1"/>
          <w:sz w:val="28"/>
          <w:szCs w:val="28"/>
          <w:lang w:val="es-ES_tradnl" w:eastAsia="es-ES"/>
        </w:rPr>
        <w:t xml:space="preserve"> Juzgado Primero Administrativo de Pasto</w:t>
      </w:r>
      <w:r w:rsidRPr="001B7B93">
        <w:rPr>
          <w:rFonts w:ascii="Times New Roman" w:hAnsi="Times New Roman" w:cs="Times New Roman"/>
          <w:sz w:val="28"/>
          <w:szCs w:val="28"/>
          <w:lang w:val="es-ES_tradnl"/>
        </w:rPr>
        <w:t>, que hace parte de la jurisdicción de lo contencioso administrativo</w:t>
      </w:r>
      <w:r w:rsidRPr="001B7B93">
        <w:rPr>
          <w:rStyle w:val="Refdenotaalpie"/>
          <w:rFonts w:ascii="Times New Roman" w:hAnsi="Times New Roman" w:cs="Times New Roman"/>
          <w:color w:val="000000" w:themeColor="text1"/>
          <w:sz w:val="28"/>
          <w:szCs w:val="28"/>
          <w:lang w:val="es-ES_tradnl"/>
        </w:rPr>
        <w:footnoteReference w:id="14"/>
      </w:r>
      <w:r w:rsidRPr="001B7B93">
        <w:rPr>
          <w:rFonts w:ascii="Times New Roman" w:hAnsi="Times New Roman" w:cs="Times New Roman"/>
          <w:color w:val="000000" w:themeColor="text1"/>
          <w:sz w:val="28"/>
          <w:szCs w:val="28"/>
          <w:lang w:val="es-ES_tradnl"/>
        </w:rPr>
        <w:t>.</w:t>
      </w:r>
    </w:p>
    <w:p w14:paraId="004A4CD9" w14:textId="77777777" w:rsidR="00000000" w:rsidRPr="001B7B93" w:rsidRDefault="001B7B93" w:rsidP="006E2E39">
      <w:pPr>
        <w:pStyle w:val="Prrafodelista"/>
        <w:spacing w:after="0" w:line="240" w:lineRule="auto"/>
        <w:ind w:left="709"/>
        <w:jc w:val="both"/>
        <w:rPr>
          <w:rFonts w:ascii="Times New Roman" w:hAnsi="Times New Roman" w:cs="Times New Roman"/>
          <w:sz w:val="28"/>
          <w:szCs w:val="28"/>
          <w:shd w:val="clear" w:color="auto" w:fill="FFFFFF"/>
          <w:lang w:val="es-ES_tradnl"/>
        </w:rPr>
      </w:pPr>
      <w:r w:rsidRPr="001B7B93">
        <w:rPr>
          <w:rFonts w:ascii="Times New Roman" w:eastAsia="Times New Roman" w:hAnsi="Times New Roman" w:cs="Times New Roman"/>
          <w:bCs/>
          <w:color w:val="000000" w:themeColor="text1"/>
          <w:sz w:val="28"/>
          <w:szCs w:val="28"/>
          <w:lang w:val="es-ES_tradnl" w:eastAsia="es-ES"/>
        </w:rPr>
        <w:t xml:space="preserve"> </w:t>
      </w:r>
    </w:p>
    <w:p w14:paraId="3D72C5B2" w14:textId="77777777" w:rsidR="00000000" w:rsidRPr="001B7B93" w:rsidRDefault="001B7B93" w:rsidP="006E2E39">
      <w:pPr>
        <w:pStyle w:val="Prrafodelista"/>
        <w:numPr>
          <w:ilvl w:val="0"/>
          <w:numId w:val="4"/>
        </w:numPr>
        <w:spacing w:after="0" w:line="240" w:lineRule="auto"/>
        <w:ind w:left="709"/>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sz w:val="28"/>
          <w:szCs w:val="28"/>
          <w:lang w:val="es-ES_tradnl"/>
        </w:rPr>
        <w:lastRenderedPageBreak/>
        <w:t xml:space="preserve">El conflicto cumple con el </w:t>
      </w:r>
      <w:r w:rsidRPr="001B7B93">
        <w:rPr>
          <w:rFonts w:ascii="Times New Roman" w:hAnsi="Times New Roman" w:cs="Times New Roman"/>
          <w:i/>
          <w:iCs/>
          <w:sz w:val="28"/>
          <w:szCs w:val="28"/>
          <w:lang w:val="es-ES_tradnl"/>
        </w:rPr>
        <w:t>presupuesto objetivo</w:t>
      </w:r>
      <w:r w:rsidRPr="001B7B93">
        <w:rPr>
          <w:rFonts w:ascii="Times New Roman" w:hAnsi="Times New Roman" w:cs="Times New Roman"/>
          <w:sz w:val="28"/>
          <w:szCs w:val="28"/>
          <w:lang w:val="es-ES_tradnl"/>
        </w:rPr>
        <w:t xml:space="preserve">, puesto que las autoridades judiciales rechazan el conocimiento de la demanda interpuesta por </w:t>
      </w:r>
      <w:r w:rsidRPr="001B7B93">
        <w:rPr>
          <w:rFonts w:ascii="Times New Roman" w:hAnsi="Times New Roman" w:cs="Times New Roman"/>
          <w:sz w:val="28"/>
          <w:szCs w:val="28"/>
          <w:lang w:val="es-ES_tradnl" w:eastAsia="es-ES"/>
        </w:rPr>
        <w:t>la Empresa Nacional Promotora de Desarrollo Territorial contra el Municipio de Ricaurte Nariño y la Aseguradora Solidaria de Colombia</w:t>
      </w:r>
      <w:r w:rsidRPr="001B7B93">
        <w:rPr>
          <w:rFonts w:ascii="Times New Roman" w:hAnsi="Times New Roman" w:cs="Times New Roman"/>
          <w:sz w:val="28"/>
          <w:szCs w:val="28"/>
          <w:lang w:val="es-ES_tradnl"/>
        </w:rPr>
        <w:t xml:space="preserve"> (párr. 1 y 2), la cual debe resolverse por medio de un trámite de naturaleza </w:t>
      </w:r>
      <w:r w:rsidRPr="001B7B93">
        <w:rPr>
          <w:rFonts w:ascii="Times New Roman" w:hAnsi="Times New Roman" w:cs="Times New Roman"/>
          <w:i/>
          <w:sz w:val="28"/>
          <w:szCs w:val="28"/>
          <w:lang w:val="es-ES_tradnl"/>
        </w:rPr>
        <w:t>judicial</w:t>
      </w:r>
      <w:r w:rsidRPr="001B7B93">
        <w:rPr>
          <w:rFonts w:ascii="Times New Roman" w:hAnsi="Times New Roman" w:cs="Times New Roman"/>
          <w:sz w:val="28"/>
          <w:szCs w:val="28"/>
          <w:lang w:val="es-ES_tradnl"/>
        </w:rPr>
        <w:t xml:space="preserve">. </w:t>
      </w:r>
    </w:p>
    <w:p w14:paraId="77172597" w14:textId="77777777" w:rsidR="00000000" w:rsidRPr="001B7B93" w:rsidRDefault="00000000" w:rsidP="006E2E39">
      <w:pPr>
        <w:pStyle w:val="Prrafodelista"/>
        <w:ind w:left="709"/>
        <w:rPr>
          <w:rFonts w:ascii="Times New Roman" w:hAnsi="Times New Roman" w:cs="Times New Roman"/>
          <w:sz w:val="28"/>
          <w:szCs w:val="28"/>
          <w:shd w:val="clear" w:color="auto" w:fill="FFFFFF"/>
          <w:lang w:val="es-ES_tradnl"/>
        </w:rPr>
      </w:pPr>
    </w:p>
    <w:p w14:paraId="4E09F79C" w14:textId="77777777" w:rsidR="00000000" w:rsidRPr="001B7B93" w:rsidRDefault="001B7B93" w:rsidP="006E2E39">
      <w:pPr>
        <w:pStyle w:val="Prrafodelista"/>
        <w:numPr>
          <w:ilvl w:val="0"/>
          <w:numId w:val="4"/>
        </w:numPr>
        <w:spacing w:after="0" w:line="240" w:lineRule="auto"/>
        <w:ind w:left="709"/>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color w:val="000000" w:themeColor="text1"/>
          <w:sz w:val="28"/>
          <w:szCs w:val="28"/>
          <w:lang w:val="es-ES_tradnl"/>
        </w:rPr>
        <w:t xml:space="preserve">El </w:t>
      </w:r>
      <w:r w:rsidRPr="001B7B93">
        <w:rPr>
          <w:rFonts w:ascii="Times New Roman" w:hAnsi="Times New Roman" w:cs="Times New Roman"/>
          <w:i/>
          <w:iCs/>
          <w:color w:val="000000" w:themeColor="text1"/>
          <w:sz w:val="28"/>
          <w:szCs w:val="28"/>
          <w:lang w:val="es-ES_tradnl"/>
        </w:rPr>
        <w:t>presupuesto normativo</w:t>
      </w:r>
      <w:r w:rsidRPr="001B7B93">
        <w:rPr>
          <w:rFonts w:ascii="Times New Roman" w:hAnsi="Times New Roman" w:cs="Times New Roman"/>
          <w:color w:val="000000" w:themeColor="text1"/>
          <w:sz w:val="28"/>
          <w:szCs w:val="28"/>
          <w:lang w:val="es-ES_tradnl"/>
        </w:rPr>
        <w:t xml:space="preserve"> se encuentra acreditado, debido a que las autoridades judiciales enfrentadas expusieron las razones de índole legal por las cuales consideran que carecen de competencia para conocer del asunto (ver </w:t>
      </w:r>
      <w:proofErr w:type="spellStart"/>
      <w:r w:rsidRPr="001B7B93">
        <w:rPr>
          <w:rFonts w:ascii="Times New Roman" w:hAnsi="Times New Roman" w:cs="Times New Roman"/>
          <w:color w:val="000000" w:themeColor="text1"/>
          <w:sz w:val="28"/>
          <w:szCs w:val="28"/>
          <w:lang w:val="es-ES_tradnl"/>
        </w:rPr>
        <w:t>párrs</w:t>
      </w:r>
      <w:proofErr w:type="spellEnd"/>
      <w:r w:rsidRPr="001B7B93">
        <w:rPr>
          <w:rFonts w:ascii="Times New Roman" w:hAnsi="Times New Roman" w:cs="Times New Roman"/>
          <w:color w:val="000000" w:themeColor="text1"/>
          <w:sz w:val="28"/>
          <w:szCs w:val="28"/>
          <w:lang w:val="es-ES_tradnl"/>
        </w:rPr>
        <w:t xml:space="preserve">. 3 y 4 </w:t>
      </w:r>
      <w:r w:rsidRPr="001B7B93">
        <w:rPr>
          <w:rFonts w:ascii="Times New Roman" w:hAnsi="Times New Roman" w:cs="Times New Roman"/>
          <w:i/>
          <w:iCs/>
          <w:color w:val="000000" w:themeColor="text1"/>
          <w:sz w:val="28"/>
          <w:szCs w:val="28"/>
          <w:lang w:val="es-ES_tradnl"/>
        </w:rPr>
        <w:t>supra</w:t>
      </w:r>
      <w:r w:rsidRPr="001B7B93">
        <w:rPr>
          <w:rFonts w:ascii="Times New Roman" w:hAnsi="Times New Roman" w:cs="Times New Roman"/>
          <w:color w:val="000000" w:themeColor="text1"/>
          <w:sz w:val="28"/>
          <w:szCs w:val="28"/>
          <w:lang w:val="es-ES_tradnl"/>
        </w:rPr>
        <w:t>).</w:t>
      </w:r>
    </w:p>
    <w:p w14:paraId="6F6CE8EC" w14:textId="77777777" w:rsidR="00000000" w:rsidRPr="001B7B93" w:rsidRDefault="00000000" w:rsidP="00472E5F">
      <w:pPr>
        <w:pStyle w:val="Prrafodelista"/>
        <w:spacing w:after="0"/>
        <w:ind w:left="0" w:right="-8"/>
        <w:jc w:val="both"/>
        <w:rPr>
          <w:rFonts w:ascii="Times New Roman" w:hAnsi="Times New Roman" w:cs="Times New Roman"/>
          <w:sz w:val="28"/>
          <w:szCs w:val="28"/>
          <w:shd w:val="clear" w:color="auto" w:fill="FFFFFF"/>
          <w:lang w:val="es-ES_tradnl"/>
        </w:rPr>
      </w:pPr>
    </w:p>
    <w:p w14:paraId="403089FD" w14:textId="77777777" w:rsidR="00000000" w:rsidRPr="001B7B93" w:rsidRDefault="001B7B93" w:rsidP="00CA152E">
      <w:pPr>
        <w:pStyle w:val="Sinespaciado"/>
        <w:numPr>
          <w:ilvl w:val="0"/>
          <w:numId w:val="3"/>
        </w:numPr>
        <w:ind w:left="360"/>
        <w:jc w:val="both"/>
        <w:rPr>
          <w:rFonts w:ascii="Times New Roman" w:hAnsi="Times New Roman" w:cs="Times New Roman"/>
          <w:b/>
          <w:bCs/>
          <w:color w:val="000000" w:themeColor="text1"/>
          <w:sz w:val="28"/>
          <w:szCs w:val="28"/>
          <w:lang w:val="es-ES_tradnl"/>
        </w:rPr>
      </w:pPr>
      <w:r w:rsidRPr="001B7B93">
        <w:rPr>
          <w:rFonts w:ascii="Times New Roman" w:hAnsi="Times New Roman" w:cs="Times New Roman"/>
          <w:b/>
          <w:bCs/>
          <w:color w:val="000000" w:themeColor="text1"/>
          <w:sz w:val="28"/>
          <w:szCs w:val="28"/>
          <w:lang w:val="es-ES_tradnl"/>
        </w:rPr>
        <w:t>Competencia para conocer de las controversias contractuales que involucren a una entidad pública financiera, cuando la parte procesal del extremo pasivo sea otra entidad o autoridad pública. Reiteración del Auto 429 de 2022</w:t>
      </w:r>
      <w:r w:rsidRPr="001B7B93">
        <w:rPr>
          <w:rFonts w:ascii="Times New Roman" w:hAnsi="Times New Roman" w:cs="Times New Roman"/>
          <w:b/>
          <w:bCs/>
          <w:color w:val="000000" w:themeColor="text1"/>
          <w:sz w:val="28"/>
          <w:szCs w:val="28"/>
          <w:vertAlign w:val="superscript"/>
          <w:lang w:val="es-ES_tradnl"/>
        </w:rPr>
        <w:footnoteReference w:id="15"/>
      </w:r>
    </w:p>
    <w:p w14:paraId="212A8A40" w14:textId="77777777" w:rsidR="00000000" w:rsidRPr="001B7B93" w:rsidRDefault="00000000" w:rsidP="00CA152E">
      <w:pPr>
        <w:pStyle w:val="Prrafodelista"/>
        <w:ind w:left="0" w:right="-8"/>
        <w:jc w:val="both"/>
        <w:rPr>
          <w:rFonts w:ascii="Times New Roman" w:hAnsi="Times New Roman" w:cs="Times New Roman"/>
          <w:sz w:val="28"/>
          <w:lang w:val="uz-Cyrl-UZ"/>
        </w:rPr>
      </w:pPr>
    </w:p>
    <w:p w14:paraId="78067CD5" w14:textId="77777777" w:rsidR="00000000" w:rsidRPr="001B7B93" w:rsidRDefault="001B7B93" w:rsidP="009B62DB">
      <w:pPr>
        <w:pStyle w:val="Prrafodelista"/>
        <w:numPr>
          <w:ilvl w:val="3"/>
          <w:numId w:val="2"/>
        </w:numPr>
        <w:spacing w:after="0" w:line="240" w:lineRule="auto"/>
        <w:ind w:left="0" w:right="-8" w:firstLine="0"/>
        <w:contextualSpacing w:val="0"/>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sz w:val="28"/>
          <w:szCs w:val="28"/>
          <w:shd w:val="clear" w:color="auto" w:fill="FFFFFF"/>
          <w:lang w:val="es-ES_tradnl"/>
        </w:rPr>
        <w:t xml:space="preserve">La Sala Plena de la Corte Constitucional, mediante el </w:t>
      </w:r>
      <w:r w:rsidRPr="001B7B93">
        <w:rPr>
          <w:rFonts w:ascii="Times New Roman" w:hAnsi="Times New Roman" w:cs="Times New Roman"/>
          <w:b/>
          <w:bCs/>
          <w:sz w:val="28"/>
          <w:szCs w:val="28"/>
          <w:shd w:val="clear" w:color="auto" w:fill="FFFFFF"/>
          <w:lang w:val="es-ES_tradnl"/>
        </w:rPr>
        <w:t>Auto 429 de 2022</w:t>
      </w:r>
      <w:r w:rsidRPr="001B7B93">
        <w:rPr>
          <w:rFonts w:ascii="Times New Roman" w:hAnsi="Times New Roman" w:cs="Times New Roman"/>
          <w:sz w:val="28"/>
          <w:szCs w:val="28"/>
          <w:shd w:val="clear" w:color="auto" w:fill="FFFFFF"/>
          <w:lang w:val="es-ES_tradnl"/>
        </w:rPr>
        <w:t>, estableció la regla de decisión según la cual: “[l]a competencia judicial para conocer de litigios que pretendan la declaratoria de incumplimiento de un contrato o convenio celebrado por entidad[es] públicas, y que no involucre la responsabilidad de entidades públicas con calidad de instituciones financieras por sus actividades relativas al giro ordinario de sus negocios, corresponde a la jurisdicción de lo contencioso administrativo, de acuerdo con el numeral 2º del artículo 104 de la Ley 1437 de 2011”</w:t>
      </w:r>
      <w:r w:rsidRPr="001B7B93">
        <w:rPr>
          <w:rStyle w:val="Refdenotaalpie"/>
          <w:rFonts w:ascii="Times New Roman" w:hAnsi="Times New Roman" w:cs="Times New Roman"/>
          <w:sz w:val="28"/>
          <w:szCs w:val="28"/>
          <w:shd w:val="clear" w:color="auto" w:fill="FFFFFF"/>
          <w:lang w:val="es-ES_tradnl"/>
        </w:rPr>
        <w:footnoteReference w:id="16"/>
      </w:r>
      <w:r w:rsidRPr="001B7B93">
        <w:rPr>
          <w:rFonts w:ascii="Times New Roman" w:hAnsi="Times New Roman" w:cs="Times New Roman"/>
          <w:sz w:val="28"/>
          <w:szCs w:val="28"/>
          <w:shd w:val="clear" w:color="auto" w:fill="FFFFFF"/>
          <w:lang w:val="es-ES_tradnl"/>
        </w:rPr>
        <w:t>.</w:t>
      </w:r>
    </w:p>
    <w:p w14:paraId="2BEFF170" w14:textId="77777777" w:rsidR="00000000" w:rsidRPr="001B7B93" w:rsidRDefault="00000000" w:rsidP="000E1978">
      <w:pPr>
        <w:pStyle w:val="Prrafodelista"/>
        <w:spacing w:after="0" w:line="240" w:lineRule="auto"/>
        <w:ind w:left="0"/>
        <w:contextualSpacing w:val="0"/>
        <w:jc w:val="both"/>
        <w:rPr>
          <w:rFonts w:ascii="Times New Roman" w:hAnsi="Times New Roman" w:cs="Times New Roman"/>
          <w:sz w:val="28"/>
          <w:szCs w:val="28"/>
          <w:shd w:val="clear" w:color="auto" w:fill="FFFFFF"/>
          <w:lang w:val="es-ES_tradnl"/>
        </w:rPr>
      </w:pPr>
    </w:p>
    <w:p w14:paraId="2F0E2B7B" w14:textId="77777777" w:rsidR="00000000" w:rsidRPr="001B7B93" w:rsidRDefault="001B7B93" w:rsidP="009B62DB">
      <w:pPr>
        <w:pStyle w:val="Prrafodelista"/>
        <w:numPr>
          <w:ilvl w:val="3"/>
          <w:numId w:val="2"/>
        </w:numPr>
        <w:spacing w:after="0" w:line="240" w:lineRule="auto"/>
        <w:ind w:left="0" w:right="-8" w:firstLine="0"/>
        <w:contextualSpacing w:val="0"/>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sz w:val="28"/>
          <w:szCs w:val="28"/>
          <w:shd w:val="clear" w:color="auto" w:fill="FFFFFF"/>
          <w:lang w:val="es-ES_tradnl"/>
        </w:rPr>
        <w:t>En el auto indicado, la Sala Plena de la Corte Constitucional precisó el alcance de la excepción prevista en el numeral 1° del artículo 105 de la Ley 1437 de 2011, estableciendo que “[p]ara definir la jurisdicción competente, se debe tener en cuenta la condición de todas las partes en litigio, incluida la entidad catalogada como institución financiera</w:t>
      </w:r>
      <w:r w:rsidRPr="001B7B93">
        <w:rPr>
          <w:rFonts w:ascii="Times New Roman" w:hAnsi="Times New Roman" w:cs="Times New Roman"/>
          <w:sz w:val="28"/>
          <w:szCs w:val="28"/>
          <w:shd w:val="clear" w:color="auto" w:fill="FFFFFF"/>
          <w:vertAlign w:val="superscript"/>
          <w:lang w:val="es-ES_tradnl"/>
        </w:rPr>
        <w:footnoteReference w:id="17"/>
      </w:r>
      <w:r w:rsidRPr="001B7B93">
        <w:rPr>
          <w:rFonts w:ascii="Times New Roman" w:hAnsi="Times New Roman" w:cs="Times New Roman"/>
          <w:sz w:val="28"/>
          <w:szCs w:val="28"/>
          <w:shd w:val="clear" w:color="auto" w:fill="FFFFFF"/>
          <w:lang w:val="es-ES_tradnl"/>
        </w:rPr>
        <w:t xml:space="preserve">. Cuando la institución </w:t>
      </w:r>
      <w:r w:rsidRPr="001B7B93">
        <w:rPr>
          <w:rFonts w:ascii="Times New Roman" w:hAnsi="Times New Roman" w:cs="Times New Roman"/>
          <w:sz w:val="28"/>
          <w:szCs w:val="28"/>
          <w:shd w:val="clear" w:color="auto" w:fill="FFFFFF"/>
          <w:lang w:val="es-ES_tradnl"/>
        </w:rPr>
        <w:lastRenderedPageBreak/>
        <w:t>financiera no se encuentra en el extremo pasivo del proceso y en el mismo participan además otras entidades públicas, el asunto será competencia de la jurisdicción de lo contencioso administrativo, ‘</w:t>
      </w:r>
      <w:r w:rsidRPr="001B7B93">
        <w:rPr>
          <w:rFonts w:ascii="Times New Roman" w:hAnsi="Times New Roman" w:cs="Times New Roman"/>
          <w:i/>
          <w:iCs/>
          <w:sz w:val="28"/>
          <w:szCs w:val="28"/>
          <w:shd w:val="clear" w:color="auto" w:fill="FFFFFF"/>
          <w:lang w:val="es-ES_tradnl"/>
        </w:rPr>
        <w:t>sin que sea necesario determinar si el objeto del negocio jurídico demandado corresponda, o no, al giro ordinario de los negocios</w:t>
      </w:r>
      <w:r w:rsidRPr="001B7B93">
        <w:rPr>
          <w:rFonts w:ascii="Times New Roman" w:hAnsi="Times New Roman" w:cs="Times New Roman"/>
          <w:sz w:val="28"/>
          <w:szCs w:val="28"/>
          <w:shd w:val="clear" w:color="auto" w:fill="FFFFFF"/>
          <w:lang w:val="es-ES_tradnl"/>
        </w:rPr>
        <w:t>’</w:t>
      </w:r>
      <w:r w:rsidRPr="001B7B93">
        <w:rPr>
          <w:rFonts w:ascii="Times New Roman" w:hAnsi="Times New Roman" w:cs="Times New Roman"/>
          <w:sz w:val="28"/>
          <w:szCs w:val="28"/>
          <w:shd w:val="clear" w:color="auto" w:fill="FFFFFF"/>
          <w:vertAlign w:val="superscript"/>
          <w:lang w:val="es-ES_tradnl"/>
        </w:rPr>
        <w:footnoteReference w:id="18"/>
      </w:r>
      <w:r w:rsidRPr="001B7B93">
        <w:rPr>
          <w:rFonts w:ascii="Times New Roman" w:hAnsi="Times New Roman" w:cs="Times New Roman"/>
          <w:sz w:val="28"/>
          <w:szCs w:val="28"/>
          <w:shd w:val="clear" w:color="auto" w:fill="FFFFFF"/>
          <w:lang w:val="es-ES_tradnl"/>
        </w:rPr>
        <w:t xml:space="preserve"> de la institución financiera involucrada”.</w:t>
      </w:r>
    </w:p>
    <w:p w14:paraId="4DA6E6B3" w14:textId="77777777" w:rsidR="00000000" w:rsidRPr="001B7B93" w:rsidRDefault="00000000" w:rsidP="00DF4F15">
      <w:pPr>
        <w:pStyle w:val="Prrafodelista"/>
        <w:rPr>
          <w:rFonts w:ascii="Times New Roman" w:hAnsi="Times New Roman" w:cs="Times New Roman"/>
          <w:sz w:val="28"/>
          <w:szCs w:val="28"/>
          <w:shd w:val="clear" w:color="auto" w:fill="FFFFFF"/>
          <w:lang w:val="es-ES_tradnl"/>
        </w:rPr>
      </w:pPr>
    </w:p>
    <w:p w14:paraId="16ED32C7" w14:textId="77777777" w:rsidR="00000000" w:rsidRPr="001B7B93" w:rsidRDefault="001B7B93" w:rsidP="009B62DB">
      <w:pPr>
        <w:pStyle w:val="Prrafodelista"/>
        <w:numPr>
          <w:ilvl w:val="3"/>
          <w:numId w:val="2"/>
        </w:numPr>
        <w:spacing w:after="0" w:line="240" w:lineRule="auto"/>
        <w:ind w:left="0" w:right="-8" w:firstLine="0"/>
        <w:contextualSpacing w:val="0"/>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sz w:val="28"/>
          <w:szCs w:val="28"/>
          <w:shd w:val="clear" w:color="auto" w:fill="FFFFFF"/>
          <w:lang w:val="es-ES_tradnl"/>
        </w:rPr>
        <w:t>Para sustentar la postura anterior, la Corte Constitucional señaló que la Sección Tercera del Consejo de Estado</w:t>
      </w:r>
      <w:r w:rsidRPr="001B7B93">
        <w:rPr>
          <w:rStyle w:val="Refdenotaalpie"/>
          <w:rFonts w:ascii="Times New Roman" w:hAnsi="Times New Roman" w:cs="Times New Roman"/>
          <w:sz w:val="28"/>
          <w:szCs w:val="28"/>
          <w:shd w:val="clear" w:color="auto" w:fill="FFFFFF"/>
          <w:lang w:val="es-ES_tradnl"/>
        </w:rPr>
        <w:footnoteReference w:id="19"/>
      </w:r>
      <w:r w:rsidRPr="001B7B93">
        <w:rPr>
          <w:rFonts w:ascii="Times New Roman" w:hAnsi="Times New Roman" w:cs="Times New Roman"/>
          <w:sz w:val="28"/>
          <w:szCs w:val="28"/>
          <w:shd w:val="clear" w:color="auto" w:fill="FFFFFF"/>
          <w:lang w:val="es-ES_tradnl"/>
        </w:rPr>
        <w:t xml:space="preserve"> sostuvo que en esos eventos la competencia se establece con fundamento en el criterio orgánico que adoptó la Ley 80 de 1993, que unificó en la categoría de </w:t>
      </w:r>
      <w:r w:rsidRPr="001B7B93">
        <w:rPr>
          <w:rFonts w:ascii="Times New Roman" w:hAnsi="Times New Roman" w:cs="Times New Roman"/>
          <w:i/>
          <w:iCs/>
          <w:sz w:val="28"/>
          <w:szCs w:val="28"/>
          <w:shd w:val="clear" w:color="auto" w:fill="FFFFFF"/>
          <w:lang w:val="es-ES_tradnl"/>
        </w:rPr>
        <w:t xml:space="preserve">contrato estatal </w:t>
      </w:r>
      <w:r w:rsidRPr="001B7B93">
        <w:rPr>
          <w:rFonts w:ascii="Times New Roman" w:hAnsi="Times New Roman" w:cs="Times New Roman"/>
          <w:sz w:val="28"/>
          <w:szCs w:val="28"/>
          <w:shd w:val="clear" w:color="auto" w:fill="FFFFFF"/>
          <w:lang w:val="es-ES_tradnl"/>
        </w:rPr>
        <w:t>a todos los contratos celebrados por una entidad estatal, por lo que “[b]asta con que el contrato haya sido celebrado por una entidad estatal, para que su juzgamiento corresponda a esta jurisdicción, como expresamente lo dispone el artículo 75”</w:t>
      </w:r>
      <w:r w:rsidRPr="001B7B93">
        <w:rPr>
          <w:rStyle w:val="Refdenotaalpie"/>
          <w:rFonts w:ascii="Times New Roman" w:hAnsi="Times New Roman" w:cs="Times New Roman"/>
          <w:sz w:val="28"/>
          <w:szCs w:val="28"/>
          <w:shd w:val="clear" w:color="auto" w:fill="FFFFFF"/>
          <w:lang w:val="es-ES_tradnl"/>
        </w:rPr>
        <w:footnoteReference w:id="20"/>
      </w:r>
      <w:r w:rsidRPr="001B7B93">
        <w:rPr>
          <w:rFonts w:ascii="Times New Roman" w:hAnsi="Times New Roman" w:cs="Times New Roman"/>
          <w:sz w:val="28"/>
          <w:szCs w:val="28"/>
          <w:shd w:val="clear" w:color="auto" w:fill="FFFFFF"/>
          <w:lang w:val="es-ES_tradnl"/>
        </w:rPr>
        <w:t xml:space="preserve">. La norma indicada prescribe que “el juez competente para conocer de las controversias derivadas de los contratos estatales y de los procesos de ejecución o cumplimiento será el de la jurisdicción contencioso administrativa”. El </w:t>
      </w:r>
      <w:r w:rsidRPr="001B7B93">
        <w:rPr>
          <w:rFonts w:ascii="Times New Roman" w:hAnsi="Times New Roman" w:cs="Times New Roman"/>
          <w:b/>
          <w:bCs/>
          <w:sz w:val="28"/>
          <w:szCs w:val="28"/>
          <w:shd w:val="clear" w:color="auto" w:fill="FFFFFF"/>
          <w:lang w:val="es-ES_tradnl"/>
        </w:rPr>
        <w:t>Auto 429 de 2022</w:t>
      </w:r>
      <w:r w:rsidRPr="001B7B93">
        <w:rPr>
          <w:rFonts w:ascii="Times New Roman" w:hAnsi="Times New Roman" w:cs="Times New Roman"/>
          <w:sz w:val="28"/>
          <w:szCs w:val="28"/>
          <w:shd w:val="clear" w:color="auto" w:fill="FFFFFF"/>
          <w:lang w:val="es-ES_tradnl"/>
        </w:rPr>
        <w:t xml:space="preserve"> señaló que ello resulta concordante con el numeral 2 del artículo 104 de la Ley 1437 de 2011, según el cual, corresponde a la JCA conocer de los procesos “relativos a los contratos, cualquiera que sea su régimen, en los que sea parte una entidad pública o un particular en ejercicio de funciones propias del Estado”.</w:t>
      </w:r>
    </w:p>
    <w:p w14:paraId="24C1B64A" w14:textId="77777777" w:rsidR="00000000" w:rsidRPr="001B7B93" w:rsidRDefault="00000000" w:rsidP="00602222">
      <w:pPr>
        <w:pStyle w:val="Prrafodelista"/>
        <w:rPr>
          <w:rFonts w:ascii="Times New Roman" w:hAnsi="Times New Roman" w:cs="Times New Roman"/>
          <w:sz w:val="28"/>
          <w:szCs w:val="28"/>
          <w:shd w:val="clear" w:color="auto" w:fill="FFFFFF"/>
          <w:lang w:val="es-ES_tradnl"/>
        </w:rPr>
      </w:pPr>
    </w:p>
    <w:p w14:paraId="367AFEFD" w14:textId="77777777" w:rsidR="00000000" w:rsidRPr="001B7B93" w:rsidRDefault="001B7B93" w:rsidP="009B62DB">
      <w:pPr>
        <w:pStyle w:val="Prrafodelista"/>
        <w:numPr>
          <w:ilvl w:val="3"/>
          <w:numId w:val="2"/>
        </w:numPr>
        <w:spacing w:after="0" w:line="240" w:lineRule="auto"/>
        <w:ind w:left="0" w:right="-8" w:firstLine="0"/>
        <w:contextualSpacing w:val="0"/>
        <w:jc w:val="both"/>
        <w:rPr>
          <w:rFonts w:ascii="Times New Roman" w:hAnsi="Times New Roman" w:cs="Times New Roman"/>
          <w:sz w:val="28"/>
          <w:szCs w:val="28"/>
          <w:shd w:val="clear" w:color="auto" w:fill="FFFFFF"/>
          <w:lang w:val="es-ES_tradnl"/>
        </w:rPr>
      </w:pPr>
      <w:r w:rsidRPr="001B7B93">
        <w:rPr>
          <w:rFonts w:ascii="Times New Roman" w:hAnsi="Times New Roman" w:cs="Times New Roman"/>
          <w:sz w:val="28"/>
          <w:szCs w:val="28"/>
          <w:shd w:val="clear" w:color="auto" w:fill="FFFFFF"/>
          <w:lang w:val="es-ES_tradnl"/>
        </w:rPr>
        <w:t>Con fundamento en lo anterior, la Sala Plena de la Corte Constitucional concluyó que: “la jurisdicción de lo contencioso administrativo es competente para conocer aquellos asuntos que involucren a una entidad pública que tenga la calidad de institución financiera cuando: (i) la mencionada institución financiera no sea la parte demandada dentro del litigio; (</w:t>
      </w:r>
      <w:proofErr w:type="spellStart"/>
      <w:r w:rsidRPr="001B7B93">
        <w:rPr>
          <w:rFonts w:ascii="Times New Roman" w:hAnsi="Times New Roman" w:cs="Times New Roman"/>
          <w:sz w:val="28"/>
          <w:szCs w:val="28"/>
          <w:shd w:val="clear" w:color="auto" w:fill="FFFFFF"/>
          <w:lang w:val="es-ES_tradnl"/>
        </w:rPr>
        <w:t>ii</w:t>
      </w:r>
      <w:proofErr w:type="spellEnd"/>
      <w:r w:rsidRPr="001B7B93">
        <w:rPr>
          <w:rFonts w:ascii="Times New Roman" w:hAnsi="Times New Roman" w:cs="Times New Roman"/>
          <w:sz w:val="28"/>
          <w:szCs w:val="28"/>
          <w:shd w:val="clear" w:color="auto" w:fill="FFFFFF"/>
          <w:lang w:val="es-ES_tradnl"/>
        </w:rPr>
        <w:t>) la controversia se genere por el incumplimiento de un contrato estatal; y (</w:t>
      </w:r>
      <w:proofErr w:type="spellStart"/>
      <w:r w:rsidRPr="001B7B93">
        <w:rPr>
          <w:rFonts w:ascii="Times New Roman" w:hAnsi="Times New Roman" w:cs="Times New Roman"/>
          <w:sz w:val="28"/>
          <w:szCs w:val="28"/>
          <w:shd w:val="clear" w:color="auto" w:fill="FFFFFF"/>
          <w:lang w:val="es-ES_tradnl"/>
        </w:rPr>
        <w:t>iii</w:t>
      </w:r>
      <w:proofErr w:type="spellEnd"/>
      <w:r w:rsidRPr="001B7B93">
        <w:rPr>
          <w:rFonts w:ascii="Times New Roman" w:hAnsi="Times New Roman" w:cs="Times New Roman"/>
          <w:sz w:val="28"/>
          <w:szCs w:val="28"/>
          <w:shd w:val="clear" w:color="auto" w:fill="FFFFFF"/>
          <w:lang w:val="es-ES_tradnl"/>
        </w:rPr>
        <w:t>) las partes procesales sean entidades y/o autoridades públicas”</w:t>
      </w:r>
      <w:r w:rsidRPr="001B7B93">
        <w:rPr>
          <w:rStyle w:val="Refdenotaalpie"/>
          <w:rFonts w:ascii="Times New Roman" w:hAnsi="Times New Roman" w:cs="Times New Roman"/>
          <w:sz w:val="28"/>
          <w:szCs w:val="28"/>
          <w:shd w:val="clear" w:color="auto" w:fill="FFFFFF"/>
          <w:lang w:val="es-ES_tradnl"/>
        </w:rPr>
        <w:footnoteReference w:id="21"/>
      </w:r>
      <w:r w:rsidRPr="001B7B93">
        <w:rPr>
          <w:rFonts w:ascii="Times New Roman" w:hAnsi="Times New Roman" w:cs="Times New Roman"/>
          <w:sz w:val="28"/>
          <w:szCs w:val="28"/>
          <w:shd w:val="clear" w:color="auto" w:fill="FFFFFF"/>
          <w:lang w:val="es-ES_tradnl"/>
        </w:rPr>
        <w:t>.</w:t>
      </w:r>
    </w:p>
    <w:p w14:paraId="2794FC0A" w14:textId="77777777" w:rsidR="00000000" w:rsidRPr="001B7B93" w:rsidRDefault="00000000" w:rsidP="00820847">
      <w:pPr>
        <w:pStyle w:val="Prrafodelista"/>
        <w:spacing w:after="0" w:line="240" w:lineRule="auto"/>
        <w:ind w:left="0"/>
        <w:contextualSpacing w:val="0"/>
        <w:jc w:val="both"/>
        <w:rPr>
          <w:rFonts w:ascii="Times New Roman" w:hAnsi="Times New Roman" w:cs="Times New Roman"/>
          <w:sz w:val="28"/>
          <w:szCs w:val="28"/>
          <w:shd w:val="clear" w:color="auto" w:fill="FFFFFF"/>
          <w:lang w:val="es-ES_tradnl"/>
        </w:rPr>
      </w:pPr>
    </w:p>
    <w:p w14:paraId="1995D417" w14:textId="77777777" w:rsidR="00000000" w:rsidRPr="001B7B93" w:rsidRDefault="001B7B93" w:rsidP="00914F30">
      <w:pPr>
        <w:pStyle w:val="Sinespaciado"/>
        <w:numPr>
          <w:ilvl w:val="0"/>
          <w:numId w:val="3"/>
        </w:numPr>
        <w:ind w:left="360"/>
        <w:jc w:val="both"/>
        <w:rPr>
          <w:rFonts w:ascii="Times New Roman" w:hAnsi="Times New Roman" w:cs="Times New Roman"/>
          <w:b/>
          <w:bCs/>
          <w:sz w:val="28"/>
          <w:szCs w:val="28"/>
          <w:shd w:val="clear" w:color="auto" w:fill="FFFFFF"/>
          <w:lang w:val="uz-Cyrl-UZ"/>
        </w:rPr>
      </w:pPr>
      <w:r w:rsidRPr="001B7B93">
        <w:rPr>
          <w:rFonts w:ascii="Times New Roman" w:hAnsi="Times New Roman" w:cs="Times New Roman"/>
          <w:b/>
          <w:bCs/>
          <w:sz w:val="28"/>
          <w:szCs w:val="28"/>
          <w:shd w:val="clear" w:color="auto" w:fill="FFFFFF"/>
          <w:lang w:val="uz-Cyrl-UZ"/>
        </w:rPr>
        <w:t>Caso concreto</w:t>
      </w:r>
    </w:p>
    <w:p w14:paraId="23F642A2" w14:textId="77777777" w:rsidR="00000000" w:rsidRPr="001B7B93" w:rsidRDefault="00000000" w:rsidP="00F772A2">
      <w:pPr>
        <w:pStyle w:val="Prrafodelista"/>
        <w:spacing w:after="0"/>
        <w:ind w:left="0" w:right="-8"/>
        <w:contextualSpacing w:val="0"/>
        <w:jc w:val="both"/>
        <w:rPr>
          <w:rFonts w:ascii="Times New Roman" w:hAnsi="Times New Roman" w:cs="Times New Roman"/>
          <w:sz w:val="28"/>
          <w:szCs w:val="28"/>
          <w:lang w:val="uz-Cyrl-UZ"/>
        </w:rPr>
      </w:pPr>
    </w:p>
    <w:p w14:paraId="3967173F" w14:textId="77777777" w:rsidR="00000000" w:rsidRPr="001B7B93" w:rsidRDefault="001B7B93" w:rsidP="009B62DB">
      <w:pPr>
        <w:pStyle w:val="Prrafodelista"/>
        <w:numPr>
          <w:ilvl w:val="3"/>
          <w:numId w:val="2"/>
        </w:numPr>
        <w:spacing w:after="0" w:line="240" w:lineRule="auto"/>
        <w:ind w:left="0" w:right="-8" w:firstLine="0"/>
        <w:contextualSpacing w:val="0"/>
        <w:jc w:val="both"/>
        <w:rPr>
          <w:rFonts w:ascii="Times New Roman" w:hAnsi="Times New Roman" w:cs="Times New Roman"/>
          <w:i/>
          <w:iCs/>
          <w:sz w:val="28"/>
          <w:szCs w:val="28"/>
        </w:rPr>
      </w:pPr>
      <w:r w:rsidRPr="001B7B93">
        <w:rPr>
          <w:rFonts w:ascii="Times New Roman" w:hAnsi="Times New Roman" w:cs="Times New Roman"/>
          <w:i/>
          <w:iCs/>
          <w:sz w:val="28"/>
          <w:szCs w:val="28"/>
        </w:rPr>
        <w:t>La jurisdicción de lo contencioso administrativo es la competente para conocer el caso sub examine.</w:t>
      </w:r>
      <w:r w:rsidRPr="001B7B93">
        <w:rPr>
          <w:rFonts w:ascii="Times New Roman" w:hAnsi="Times New Roman" w:cs="Times New Roman"/>
          <w:sz w:val="28"/>
          <w:szCs w:val="28"/>
        </w:rPr>
        <w:t xml:space="preserve"> La Sala Plena considera que</w:t>
      </w:r>
      <w:r w:rsidRPr="001B7B93">
        <w:rPr>
          <w:rFonts w:ascii="Times New Roman" w:hAnsi="Times New Roman" w:cs="Times New Roman"/>
          <w:iCs/>
          <w:sz w:val="28"/>
          <w:szCs w:val="28"/>
        </w:rPr>
        <w:t xml:space="preserve"> </w:t>
      </w:r>
      <w:r w:rsidRPr="001B7B93">
        <w:rPr>
          <w:rFonts w:ascii="Times New Roman" w:hAnsi="Times New Roman" w:cs="Times New Roman"/>
          <w:sz w:val="28"/>
          <w:szCs w:val="28"/>
        </w:rPr>
        <w:t>la demanda interpuesta por</w:t>
      </w:r>
      <w:r w:rsidRPr="001B7B93">
        <w:rPr>
          <w:rFonts w:ascii="Times New Roman" w:hAnsi="Times New Roman" w:cs="Times New Roman"/>
          <w:sz w:val="28"/>
          <w:szCs w:val="28"/>
          <w:lang w:eastAsia="es-ES"/>
        </w:rPr>
        <w:t xml:space="preserve"> </w:t>
      </w:r>
      <w:r w:rsidRPr="001B7B93">
        <w:rPr>
          <w:rFonts w:ascii="Times New Roman" w:hAnsi="Times New Roman" w:cs="Times New Roman"/>
          <w:sz w:val="28"/>
          <w:szCs w:val="28"/>
          <w:lang w:val="es-ES_tradnl" w:eastAsia="es-ES"/>
        </w:rPr>
        <w:t xml:space="preserve">la Empresa Nacional Promotora de Desarrollo Territorial, </w:t>
      </w:r>
      <w:r w:rsidRPr="001B7B93">
        <w:rPr>
          <w:rFonts w:ascii="Times New Roman" w:hAnsi="Times New Roman" w:cs="Times New Roman"/>
          <w:sz w:val="28"/>
          <w:szCs w:val="28"/>
          <w:lang w:val="es-ES_tradnl" w:eastAsia="es-ES"/>
        </w:rPr>
        <w:lastRenderedPageBreak/>
        <w:t>mediante el medio de control de controversias contractuales, contra el Municipio de Ricaurte (Nariño) y la Aseguradora Solidaria de Colombia</w:t>
      </w:r>
      <w:r w:rsidRPr="001B7B93">
        <w:rPr>
          <w:rFonts w:ascii="Times New Roman" w:hAnsi="Times New Roman" w:cs="Times New Roman"/>
          <w:sz w:val="28"/>
          <w:szCs w:val="28"/>
        </w:rPr>
        <w:t>, debe ser conocida por la JCA, por las siguientes razones:</w:t>
      </w:r>
    </w:p>
    <w:p w14:paraId="42F38FEC" w14:textId="77777777" w:rsidR="00000000" w:rsidRPr="001B7B93" w:rsidRDefault="00000000" w:rsidP="003A6585">
      <w:pPr>
        <w:pStyle w:val="Prrafodelista"/>
        <w:spacing w:after="0" w:line="240" w:lineRule="auto"/>
        <w:ind w:left="0"/>
        <w:jc w:val="both"/>
        <w:rPr>
          <w:rFonts w:ascii="Times New Roman" w:hAnsi="Times New Roman" w:cs="Times New Roman"/>
          <w:i/>
          <w:iCs/>
          <w:sz w:val="28"/>
          <w:szCs w:val="28"/>
        </w:rPr>
      </w:pPr>
    </w:p>
    <w:p w14:paraId="14E527E1" w14:textId="77777777" w:rsidR="00000000" w:rsidRPr="001B7B93" w:rsidRDefault="001B7B93" w:rsidP="00CE73F1">
      <w:pPr>
        <w:pStyle w:val="Prrafodelista"/>
        <w:numPr>
          <w:ilvl w:val="0"/>
          <w:numId w:val="5"/>
        </w:numPr>
        <w:spacing w:after="0" w:line="240" w:lineRule="auto"/>
        <w:ind w:right="-8" w:hanging="436"/>
        <w:contextualSpacing w:val="0"/>
        <w:jc w:val="both"/>
        <w:rPr>
          <w:rFonts w:ascii="Times New Roman" w:hAnsi="Times New Roman" w:cs="Times New Roman"/>
          <w:i/>
          <w:iCs/>
          <w:sz w:val="28"/>
          <w:szCs w:val="28"/>
        </w:rPr>
      </w:pPr>
      <w:r w:rsidRPr="001B7B93">
        <w:rPr>
          <w:rFonts w:ascii="Times New Roman" w:hAnsi="Times New Roman" w:cs="Times New Roman"/>
          <w:sz w:val="28"/>
          <w:szCs w:val="28"/>
        </w:rPr>
        <w:t>De acuerdo con lo establecido en los autos 429 de 2022, 1281 de 2022 y el 295 de 2023 “</w:t>
      </w:r>
      <w:r w:rsidRPr="001B7B93">
        <w:rPr>
          <w:rFonts w:ascii="Times New Roman" w:hAnsi="Times New Roman" w:cs="Times New Roman"/>
          <w:sz w:val="28"/>
          <w:szCs w:val="28"/>
          <w:shd w:val="clear" w:color="auto" w:fill="FFFFFF"/>
          <w:lang w:val="es-ES_tradnl"/>
        </w:rPr>
        <w:t>[p]ara definir la jurisdicción competente, se debe tener en cuenta la condición de todas las partes en litigio, incluida la entidad catalogada como institución financiera. Cuando la institución financiera no se encuentra en el extremo pasivo del proceso y en el mismo participan además otras entidades públicas, el asunto será competencia de la jurisdicción de lo contencioso administrativo”.</w:t>
      </w:r>
    </w:p>
    <w:p w14:paraId="36379FBB" w14:textId="77777777" w:rsidR="00000000" w:rsidRPr="001B7B93" w:rsidRDefault="001B7B93" w:rsidP="00CE73F1">
      <w:pPr>
        <w:pStyle w:val="Prrafodelista"/>
        <w:numPr>
          <w:ilvl w:val="0"/>
          <w:numId w:val="5"/>
        </w:numPr>
        <w:spacing w:after="0" w:line="240" w:lineRule="auto"/>
        <w:ind w:right="-8" w:hanging="436"/>
        <w:contextualSpacing w:val="0"/>
        <w:jc w:val="both"/>
        <w:rPr>
          <w:rFonts w:ascii="Times New Roman" w:hAnsi="Times New Roman" w:cs="Times New Roman"/>
          <w:i/>
          <w:iCs/>
          <w:sz w:val="28"/>
          <w:szCs w:val="28"/>
        </w:rPr>
      </w:pPr>
      <w:r w:rsidRPr="001B7B93">
        <w:rPr>
          <w:rFonts w:ascii="Times New Roman" w:hAnsi="Times New Roman" w:cs="Times New Roman"/>
          <w:sz w:val="28"/>
          <w:szCs w:val="28"/>
        </w:rPr>
        <w:t xml:space="preserve">En el caso </w:t>
      </w:r>
      <w:r w:rsidRPr="001B7B93">
        <w:rPr>
          <w:rFonts w:ascii="Times New Roman" w:hAnsi="Times New Roman" w:cs="Times New Roman"/>
          <w:i/>
          <w:iCs/>
          <w:sz w:val="28"/>
          <w:szCs w:val="28"/>
        </w:rPr>
        <w:t>sub examine</w:t>
      </w:r>
      <w:r w:rsidRPr="001B7B93">
        <w:rPr>
          <w:rFonts w:ascii="Times New Roman" w:hAnsi="Times New Roman" w:cs="Times New Roman"/>
          <w:sz w:val="28"/>
          <w:szCs w:val="28"/>
        </w:rPr>
        <w:t>,</w:t>
      </w:r>
      <w:r w:rsidRPr="001B7B93">
        <w:rPr>
          <w:rFonts w:ascii="Times New Roman" w:hAnsi="Times New Roman" w:cs="Times New Roman"/>
          <w:i/>
          <w:iCs/>
          <w:sz w:val="28"/>
          <w:szCs w:val="28"/>
        </w:rPr>
        <w:t xml:space="preserve"> </w:t>
      </w:r>
      <w:r w:rsidRPr="001B7B93">
        <w:rPr>
          <w:rFonts w:ascii="Times New Roman" w:hAnsi="Times New Roman" w:cs="Times New Roman"/>
          <w:sz w:val="28"/>
          <w:szCs w:val="28"/>
        </w:rPr>
        <w:t xml:space="preserve">pese a que </w:t>
      </w:r>
      <w:proofErr w:type="spellStart"/>
      <w:r w:rsidRPr="001B7B93">
        <w:rPr>
          <w:rFonts w:ascii="Times New Roman" w:hAnsi="Times New Roman" w:cs="Times New Roman"/>
          <w:sz w:val="28"/>
          <w:szCs w:val="28"/>
        </w:rPr>
        <w:t>ENTerritorio</w:t>
      </w:r>
      <w:proofErr w:type="spellEnd"/>
      <w:r w:rsidRPr="001B7B93">
        <w:rPr>
          <w:rFonts w:ascii="Times New Roman" w:hAnsi="Times New Roman" w:cs="Times New Roman"/>
          <w:sz w:val="28"/>
          <w:szCs w:val="28"/>
        </w:rPr>
        <w:t xml:space="preserve"> es una entidad financiera de derecho público</w:t>
      </w:r>
      <w:r w:rsidRPr="001B7B93">
        <w:rPr>
          <w:rStyle w:val="Refdenotaalpie"/>
          <w:rFonts w:ascii="Times New Roman" w:hAnsi="Times New Roman" w:cs="Times New Roman"/>
          <w:sz w:val="28"/>
          <w:szCs w:val="28"/>
        </w:rPr>
        <w:footnoteReference w:id="22"/>
      </w:r>
      <w:r w:rsidRPr="001B7B93">
        <w:rPr>
          <w:rFonts w:ascii="Times New Roman" w:hAnsi="Times New Roman" w:cs="Times New Roman"/>
          <w:sz w:val="28"/>
          <w:szCs w:val="28"/>
        </w:rPr>
        <w:t>, funge como parte demandante en el proceso, al haber interpuesto el medio de control de controversias contractuales.</w:t>
      </w:r>
    </w:p>
    <w:p w14:paraId="0EF79D3B" w14:textId="77777777" w:rsidR="00000000" w:rsidRPr="001B7B93" w:rsidRDefault="001B7B93" w:rsidP="00CC1E23">
      <w:pPr>
        <w:pStyle w:val="Prrafodelista"/>
        <w:numPr>
          <w:ilvl w:val="0"/>
          <w:numId w:val="5"/>
        </w:numPr>
        <w:spacing w:after="0" w:line="240" w:lineRule="auto"/>
        <w:ind w:right="-8" w:hanging="436"/>
        <w:contextualSpacing w:val="0"/>
        <w:jc w:val="both"/>
        <w:rPr>
          <w:rFonts w:ascii="Times New Roman" w:hAnsi="Times New Roman" w:cs="Times New Roman"/>
          <w:i/>
          <w:iCs/>
          <w:sz w:val="28"/>
          <w:szCs w:val="28"/>
        </w:rPr>
      </w:pPr>
      <w:r w:rsidRPr="001B7B93">
        <w:rPr>
          <w:rFonts w:ascii="Times New Roman" w:hAnsi="Times New Roman" w:cs="Times New Roman"/>
          <w:sz w:val="28"/>
          <w:szCs w:val="28"/>
        </w:rPr>
        <w:t xml:space="preserve"> La demanda se fundamenta en un posible incumplimiento de un contrato interadministrativo, que es de naturaleza estatal. </w:t>
      </w:r>
    </w:p>
    <w:p w14:paraId="4C57A12C" w14:textId="77777777" w:rsidR="00000000" w:rsidRPr="001B7B93" w:rsidRDefault="001B7B93" w:rsidP="00B73A8D">
      <w:pPr>
        <w:pStyle w:val="Prrafodelista"/>
        <w:numPr>
          <w:ilvl w:val="0"/>
          <w:numId w:val="5"/>
        </w:numPr>
        <w:spacing w:after="0" w:line="240" w:lineRule="auto"/>
        <w:ind w:right="-8" w:hanging="436"/>
        <w:contextualSpacing w:val="0"/>
        <w:jc w:val="both"/>
        <w:rPr>
          <w:rFonts w:ascii="Times New Roman" w:hAnsi="Times New Roman" w:cs="Times New Roman"/>
          <w:i/>
          <w:iCs/>
          <w:sz w:val="28"/>
          <w:szCs w:val="28"/>
        </w:rPr>
      </w:pPr>
      <w:r w:rsidRPr="001B7B93">
        <w:rPr>
          <w:rFonts w:ascii="Times New Roman" w:hAnsi="Times New Roman" w:cs="Times New Roman"/>
          <w:sz w:val="28"/>
          <w:szCs w:val="28"/>
        </w:rPr>
        <w:t xml:space="preserve">Una de las partes en el extremo pasivo del medio de control es el Municipio de Ricaurte, que es una entidad de derecho público, de acuerdo con el artículo 286 de la Constitución. </w:t>
      </w:r>
    </w:p>
    <w:p w14:paraId="58CEEC6D" w14:textId="77777777" w:rsidR="00000000" w:rsidRPr="001B7B93" w:rsidRDefault="00000000" w:rsidP="00CE73F1">
      <w:pPr>
        <w:pStyle w:val="Prrafodelista"/>
        <w:spacing w:after="0" w:line="240" w:lineRule="auto"/>
        <w:ind w:right="-8"/>
        <w:contextualSpacing w:val="0"/>
        <w:jc w:val="both"/>
        <w:rPr>
          <w:rFonts w:ascii="Times New Roman" w:hAnsi="Times New Roman" w:cs="Times New Roman"/>
          <w:i/>
          <w:iCs/>
          <w:sz w:val="28"/>
          <w:szCs w:val="28"/>
        </w:rPr>
      </w:pPr>
    </w:p>
    <w:p w14:paraId="1550EA77" w14:textId="77777777" w:rsidR="00000000" w:rsidRPr="001B7B93" w:rsidRDefault="001B7B93" w:rsidP="008662A6">
      <w:pPr>
        <w:pStyle w:val="Prrafodelista"/>
        <w:numPr>
          <w:ilvl w:val="3"/>
          <w:numId w:val="2"/>
        </w:numPr>
        <w:spacing w:after="0" w:line="240" w:lineRule="auto"/>
        <w:ind w:left="0" w:right="-8" w:firstLine="0"/>
        <w:contextualSpacing w:val="0"/>
        <w:jc w:val="both"/>
        <w:rPr>
          <w:rFonts w:ascii="Times New Roman" w:hAnsi="Times New Roman" w:cs="Times New Roman"/>
          <w:b/>
          <w:color w:val="000000" w:themeColor="text1"/>
          <w:sz w:val="28"/>
          <w:szCs w:val="28"/>
          <w:lang w:val="es-ES"/>
        </w:rPr>
      </w:pPr>
      <w:r w:rsidRPr="001B7B93">
        <w:rPr>
          <w:rFonts w:ascii="Times New Roman" w:hAnsi="Times New Roman" w:cs="Times New Roman"/>
          <w:sz w:val="28"/>
          <w:szCs w:val="28"/>
        </w:rPr>
        <w:t>En tal sentido, se cumplen los criterios establecidos por esta Corporación para que el asunto sea conocido por la jurisdicción de lo contencioso administrativo</w:t>
      </w:r>
      <w:r w:rsidRPr="001B7B93">
        <w:rPr>
          <w:rStyle w:val="Refdenotaalpie"/>
          <w:rFonts w:ascii="Times New Roman" w:hAnsi="Times New Roman" w:cs="Times New Roman"/>
          <w:sz w:val="28"/>
          <w:szCs w:val="28"/>
        </w:rPr>
        <w:footnoteReference w:id="23"/>
      </w:r>
      <w:r w:rsidRPr="001B7B93">
        <w:rPr>
          <w:rFonts w:ascii="Times New Roman" w:hAnsi="Times New Roman" w:cs="Times New Roman"/>
          <w:sz w:val="28"/>
          <w:szCs w:val="28"/>
        </w:rPr>
        <w:t xml:space="preserve">. Por las razones anteriores, y atendiendo a la regla de decisión explicada en el numeral II.4 </w:t>
      </w:r>
      <w:r w:rsidRPr="001B7B93">
        <w:rPr>
          <w:rFonts w:ascii="Times New Roman" w:hAnsi="Times New Roman" w:cs="Times New Roman"/>
          <w:i/>
          <w:iCs/>
          <w:sz w:val="28"/>
          <w:szCs w:val="28"/>
        </w:rPr>
        <w:t>supra</w:t>
      </w:r>
      <w:r w:rsidRPr="001B7B93">
        <w:rPr>
          <w:rFonts w:ascii="Times New Roman" w:hAnsi="Times New Roman" w:cs="Times New Roman"/>
          <w:sz w:val="28"/>
          <w:szCs w:val="28"/>
          <w:shd w:val="clear" w:color="auto" w:fill="FFFFFF"/>
          <w:lang w:val="es-ES_tradnl"/>
        </w:rPr>
        <w:t xml:space="preserve">, la Sala Plena concluye que la autoridad judicial competente </w:t>
      </w:r>
      <w:r w:rsidRPr="001B7B93">
        <w:rPr>
          <w:rFonts w:ascii="Times New Roman" w:hAnsi="Times New Roman" w:cs="Times New Roman"/>
          <w:iCs/>
          <w:sz w:val="28"/>
          <w:szCs w:val="28"/>
        </w:rPr>
        <w:t xml:space="preserve">para conocer de la demanda </w:t>
      </w:r>
      <w:r w:rsidRPr="001B7B93">
        <w:rPr>
          <w:rFonts w:ascii="Times New Roman" w:hAnsi="Times New Roman" w:cs="Times New Roman"/>
          <w:i/>
          <w:sz w:val="28"/>
          <w:szCs w:val="28"/>
        </w:rPr>
        <w:t>sub examine</w:t>
      </w:r>
      <w:r w:rsidRPr="001B7B93">
        <w:rPr>
          <w:rFonts w:ascii="Times New Roman" w:hAnsi="Times New Roman" w:cs="Times New Roman"/>
          <w:iCs/>
          <w:sz w:val="28"/>
          <w:szCs w:val="28"/>
        </w:rPr>
        <w:t xml:space="preserve"> es el</w:t>
      </w:r>
      <w:r w:rsidRPr="001B7B93">
        <w:rPr>
          <w:rFonts w:ascii="Times New Roman" w:eastAsia="Times New Roman" w:hAnsi="Times New Roman" w:cs="Times New Roman"/>
          <w:bCs/>
          <w:color w:val="000000" w:themeColor="text1"/>
          <w:sz w:val="28"/>
          <w:szCs w:val="28"/>
          <w:lang w:eastAsia="es-ES"/>
        </w:rPr>
        <w:t xml:space="preserve"> </w:t>
      </w:r>
      <w:r w:rsidRPr="001B7B93">
        <w:rPr>
          <w:rFonts w:ascii="Times New Roman" w:eastAsia="Times New Roman" w:hAnsi="Times New Roman" w:cs="Times New Roman"/>
          <w:bCs/>
          <w:color w:val="000000" w:themeColor="text1"/>
          <w:sz w:val="28"/>
          <w:szCs w:val="28"/>
          <w:lang w:val="es-ES_tradnl" w:eastAsia="es-ES"/>
        </w:rPr>
        <w:t>Juzgado Primero Administrativo de Pasto</w:t>
      </w:r>
      <w:r w:rsidRPr="001B7B93">
        <w:rPr>
          <w:rFonts w:ascii="Times New Roman" w:hAnsi="Times New Roman" w:cs="Times New Roman"/>
          <w:sz w:val="28"/>
          <w:szCs w:val="28"/>
        </w:rPr>
        <w:t xml:space="preserve">. En tal sentido, se </w:t>
      </w:r>
      <w:r w:rsidRPr="001B7B93">
        <w:rPr>
          <w:rFonts w:ascii="Times New Roman" w:hAnsi="Times New Roman" w:cs="Times New Roman"/>
          <w:iCs/>
          <w:sz w:val="28"/>
          <w:szCs w:val="28"/>
        </w:rPr>
        <w:t>ordenará remitirle el expediente CJU-4315, para lo de su competencia y para que comunique la presente decisión.</w:t>
      </w:r>
    </w:p>
    <w:p w14:paraId="5C3F9B0A" w14:textId="77777777" w:rsidR="00000000" w:rsidRPr="001B7B93" w:rsidRDefault="00000000" w:rsidP="00CE73F1">
      <w:pPr>
        <w:pStyle w:val="Prrafodelista"/>
        <w:spacing w:after="0" w:line="240" w:lineRule="auto"/>
        <w:rPr>
          <w:rFonts w:ascii="Times New Roman" w:hAnsi="Times New Roman" w:cs="Times New Roman"/>
          <w:sz w:val="28"/>
          <w:szCs w:val="28"/>
        </w:rPr>
      </w:pPr>
    </w:p>
    <w:bookmarkEnd w:id="1"/>
    <w:p w14:paraId="0F2BB73C" w14:textId="77777777" w:rsidR="00000000" w:rsidRPr="001B7B93" w:rsidRDefault="001B7B93" w:rsidP="008662A6">
      <w:pPr>
        <w:pStyle w:val="Sinespaciado"/>
        <w:numPr>
          <w:ilvl w:val="0"/>
          <w:numId w:val="1"/>
        </w:numPr>
        <w:jc w:val="both"/>
        <w:rPr>
          <w:rFonts w:ascii="Times New Roman" w:hAnsi="Times New Roman" w:cs="Times New Roman"/>
          <w:b/>
          <w:bCs/>
          <w:iCs/>
          <w:sz w:val="28"/>
          <w:szCs w:val="28"/>
          <w:shd w:val="clear" w:color="auto" w:fill="FFFFFF"/>
          <w:lang w:val="es-ES_tradnl"/>
        </w:rPr>
      </w:pPr>
      <w:r w:rsidRPr="001B7B93">
        <w:rPr>
          <w:rFonts w:ascii="Times New Roman" w:hAnsi="Times New Roman" w:cs="Times New Roman"/>
          <w:b/>
          <w:bCs/>
          <w:iCs/>
          <w:sz w:val="28"/>
          <w:szCs w:val="28"/>
          <w:shd w:val="clear" w:color="auto" w:fill="FFFFFF"/>
          <w:lang w:val="es-ES_tradnl"/>
        </w:rPr>
        <w:t xml:space="preserve">DECISIÓN </w:t>
      </w:r>
    </w:p>
    <w:p w14:paraId="1B214227" w14:textId="77777777" w:rsidR="00000000" w:rsidRPr="001B7B93" w:rsidRDefault="00000000" w:rsidP="00CE73F1">
      <w:pPr>
        <w:pStyle w:val="Prrafodelista"/>
        <w:spacing w:after="0" w:line="240" w:lineRule="auto"/>
        <w:ind w:left="0" w:right="-8"/>
        <w:jc w:val="both"/>
        <w:rPr>
          <w:rFonts w:ascii="Times New Roman" w:hAnsi="Times New Roman" w:cs="Times New Roman"/>
          <w:sz w:val="28"/>
          <w:szCs w:val="28"/>
          <w:lang w:val="es-ES_tradnl"/>
        </w:rPr>
      </w:pPr>
    </w:p>
    <w:p w14:paraId="65F3A556" w14:textId="77777777" w:rsidR="00000000" w:rsidRPr="001B7B93" w:rsidRDefault="001B7B93" w:rsidP="008662A6">
      <w:pPr>
        <w:pStyle w:val="Sinespaciado"/>
        <w:jc w:val="both"/>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lastRenderedPageBreak/>
        <w:t>Con base en las anteriores consideraciones, la Sala Plena de la Corte Constitucional,</w:t>
      </w:r>
    </w:p>
    <w:p w14:paraId="4F1AC5E8" w14:textId="77777777" w:rsidR="00000000" w:rsidRPr="001B7B93" w:rsidRDefault="00000000" w:rsidP="008662A6">
      <w:pPr>
        <w:spacing w:after="0" w:line="240" w:lineRule="auto"/>
        <w:jc w:val="both"/>
        <w:rPr>
          <w:rFonts w:ascii="Times New Roman" w:hAnsi="Times New Roman" w:cs="Times New Roman"/>
          <w:sz w:val="28"/>
          <w:szCs w:val="28"/>
          <w:lang w:val="es-ES_tradnl"/>
        </w:rPr>
      </w:pPr>
    </w:p>
    <w:p w14:paraId="5127442D" w14:textId="77777777" w:rsidR="00000000" w:rsidRPr="001B7B93" w:rsidRDefault="001B7B93" w:rsidP="008662A6">
      <w:pPr>
        <w:spacing w:after="0" w:line="240" w:lineRule="auto"/>
        <w:ind w:right="-235"/>
        <w:jc w:val="center"/>
        <w:outlineLvl w:val="0"/>
        <w:rPr>
          <w:rFonts w:ascii="Times New Roman" w:hAnsi="Times New Roman" w:cs="Times New Roman"/>
          <w:b/>
          <w:sz w:val="28"/>
          <w:szCs w:val="28"/>
          <w:lang w:val="es-ES_tradnl"/>
        </w:rPr>
      </w:pPr>
      <w:r w:rsidRPr="001B7B93">
        <w:rPr>
          <w:rFonts w:ascii="Times New Roman" w:hAnsi="Times New Roman" w:cs="Times New Roman"/>
          <w:b/>
          <w:sz w:val="28"/>
          <w:szCs w:val="28"/>
          <w:lang w:val="es-ES_tradnl"/>
        </w:rPr>
        <w:t>RESUELVE</w:t>
      </w:r>
      <w:r w:rsidRPr="001B7B93">
        <w:rPr>
          <w:rFonts w:ascii="Times New Roman" w:hAnsi="Times New Roman" w:cs="Times New Roman"/>
          <w:sz w:val="28"/>
          <w:szCs w:val="28"/>
          <w:lang w:val="es-ES_tradnl"/>
        </w:rPr>
        <w:t xml:space="preserve"> </w:t>
      </w:r>
    </w:p>
    <w:p w14:paraId="6A6F4597" w14:textId="77777777" w:rsidR="00000000" w:rsidRPr="001B7B93" w:rsidRDefault="00000000" w:rsidP="008662A6">
      <w:pPr>
        <w:spacing w:after="0" w:line="240" w:lineRule="auto"/>
        <w:ind w:right="-235"/>
        <w:jc w:val="both"/>
        <w:rPr>
          <w:rFonts w:ascii="Times New Roman" w:hAnsi="Times New Roman" w:cs="Times New Roman"/>
          <w:b/>
          <w:sz w:val="28"/>
          <w:szCs w:val="28"/>
          <w:lang w:val="es-ES_tradnl"/>
        </w:rPr>
      </w:pPr>
    </w:p>
    <w:p w14:paraId="49CDAA7D" w14:textId="77777777" w:rsidR="00000000" w:rsidRPr="001B7B93" w:rsidRDefault="001B7B93" w:rsidP="008662A6">
      <w:pPr>
        <w:spacing w:after="0" w:line="240" w:lineRule="auto"/>
        <w:jc w:val="both"/>
        <w:rPr>
          <w:rFonts w:ascii="Times New Roman" w:hAnsi="Times New Roman" w:cs="Times New Roman"/>
          <w:bCs/>
          <w:sz w:val="28"/>
          <w:szCs w:val="28"/>
          <w:lang w:val="es-ES_tradnl"/>
        </w:rPr>
      </w:pPr>
      <w:proofErr w:type="gramStart"/>
      <w:r w:rsidRPr="001B7B93">
        <w:rPr>
          <w:rFonts w:ascii="Times New Roman" w:hAnsi="Times New Roman" w:cs="Times New Roman"/>
          <w:b/>
          <w:sz w:val="28"/>
          <w:szCs w:val="28"/>
          <w:lang w:val="es-ES_tradnl"/>
        </w:rPr>
        <w:t>Primero.-</w:t>
      </w:r>
      <w:proofErr w:type="gramEnd"/>
      <w:r w:rsidRPr="001B7B93">
        <w:rPr>
          <w:rFonts w:ascii="Times New Roman" w:hAnsi="Times New Roman" w:cs="Times New Roman"/>
          <w:b/>
          <w:sz w:val="28"/>
          <w:szCs w:val="28"/>
          <w:lang w:val="es-ES_tradnl"/>
        </w:rPr>
        <w:t xml:space="preserve"> </w:t>
      </w:r>
      <w:r w:rsidRPr="001B7B93">
        <w:rPr>
          <w:rFonts w:ascii="Times New Roman" w:hAnsi="Times New Roman" w:cs="Times New Roman"/>
          <w:b/>
          <w:bCs/>
          <w:color w:val="000000" w:themeColor="text1"/>
          <w:sz w:val="28"/>
          <w:szCs w:val="28"/>
          <w:lang w:val="es-ES_tradnl"/>
        </w:rPr>
        <w:t xml:space="preserve">DIRIMIR </w:t>
      </w:r>
      <w:r w:rsidRPr="001B7B93">
        <w:rPr>
          <w:rFonts w:ascii="Times New Roman" w:hAnsi="Times New Roman" w:cs="Times New Roman"/>
          <w:color w:val="000000" w:themeColor="text1"/>
          <w:sz w:val="28"/>
          <w:szCs w:val="28"/>
          <w:lang w:val="es-ES_tradnl"/>
        </w:rPr>
        <w:t xml:space="preserve">el conflicto de jurisdicciones entre el </w:t>
      </w:r>
      <w:r w:rsidRPr="001B7B93">
        <w:rPr>
          <w:rFonts w:ascii="Times New Roman" w:eastAsia="Times New Roman" w:hAnsi="Times New Roman" w:cs="Times New Roman"/>
          <w:bCs/>
          <w:color w:val="000000" w:themeColor="text1"/>
          <w:sz w:val="28"/>
          <w:szCs w:val="28"/>
          <w:lang w:val="es-ES_tradnl" w:eastAsia="es-ES"/>
        </w:rPr>
        <w:t>Juzgado Primero Administrativo de Pasto y el Juzgado Primero Civil del Circuito de Túquerres</w:t>
      </w:r>
      <w:r w:rsidRPr="001B7B93">
        <w:rPr>
          <w:rFonts w:ascii="Times New Roman" w:hAnsi="Times New Roman" w:cs="Times New Roman"/>
          <w:color w:val="000000" w:themeColor="text1"/>
          <w:sz w:val="28"/>
          <w:szCs w:val="28"/>
          <w:lang w:val="es-ES_tradnl"/>
        </w:rPr>
        <w:t>, en el sentido de</w:t>
      </w:r>
      <w:r w:rsidRPr="001B7B93">
        <w:rPr>
          <w:rFonts w:ascii="Times New Roman" w:hAnsi="Times New Roman" w:cs="Times New Roman"/>
          <w:b/>
          <w:bCs/>
          <w:color w:val="000000" w:themeColor="text1"/>
          <w:sz w:val="28"/>
          <w:szCs w:val="28"/>
          <w:lang w:val="es-ES_tradnl"/>
        </w:rPr>
        <w:t xml:space="preserve"> DECLARAR </w:t>
      </w:r>
      <w:r w:rsidRPr="001B7B93">
        <w:rPr>
          <w:rFonts w:ascii="Times New Roman" w:hAnsi="Times New Roman" w:cs="Times New Roman"/>
          <w:color w:val="000000" w:themeColor="text1"/>
          <w:sz w:val="28"/>
          <w:szCs w:val="28"/>
          <w:lang w:val="es-ES_tradnl"/>
        </w:rPr>
        <w:t xml:space="preserve">que el </w:t>
      </w:r>
      <w:r w:rsidRPr="001B7B93">
        <w:rPr>
          <w:rFonts w:ascii="Times New Roman" w:eastAsia="Times New Roman" w:hAnsi="Times New Roman" w:cs="Times New Roman"/>
          <w:bCs/>
          <w:color w:val="000000" w:themeColor="text1"/>
          <w:sz w:val="28"/>
          <w:szCs w:val="28"/>
          <w:lang w:val="es-ES_tradnl" w:eastAsia="es-ES"/>
        </w:rPr>
        <w:t>Juzgado Primero Administrativo de Pasto</w:t>
      </w:r>
      <w:r w:rsidRPr="001B7B93">
        <w:rPr>
          <w:rFonts w:ascii="Times New Roman" w:hAnsi="Times New Roman" w:cs="Times New Roman"/>
          <w:color w:val="000000" w:themeColor="text1"/>
          <w:sz w:val="28"/>
          <w:szCs w:val="28"/>
          <w:lang w:val="es-ES_tradnl"/>
        </w:rPr>
        <w:t xml:space="preserve"> es la autoridad competente para conocer de la demanda instaurada por</w:t>
      </w:r>
      <w:r w:rsidRPr="001B7B93">
        <w:rPr>
          <w:rFonts w:ascii="Times New Roman" w:eastAsia="Times New Roman" w:hAnsi="Times New Roman" w:cs="Times New Roman"/>
          <w:sz w:val="28"/>
          <w:szCs w:val="28"/>
          <w:lang w:val="es-ES_tradnl" w:eastAsia="es-ES"/>
        </w:rPr>
        <w:t xml:space="preserve"> </w:t>
      </w:r>
      <w:r w:rsidRPr="001B7B93">
        <w:rPr>
          <w:rFonts w:ascii="Times New Roman" w:hAnsi="Times New Roman" w:cs="Times New Roman"/>
          <w:sz w:val="28"/>
          <w:szCs w:val="28"/>
          <w:lang w:val="es-ES_tradnl" w:eastAsia="es-ES"/>
        </w:rPr>
        <w:t>la Empresa Nacional Promotora de Desarrollo Territorial contra el Municipio de Ricaurte Nariño y la Aseguradora Solidaria de Colombia.</w:t>
      </w:r>
    </w:p>
    <w:p w14:paraId="7212682E" w14:textId="77777777" w:rsidR="00000000" w:rsidRPr="001B7B93" w:rsidRDefault="00000000" w:rsidP="00764229">
      <w:pPr>
        <w:spacing w:after="0" w:line="240" w:lineRule="auto"/>
        <w:jc w:val="both"/>
        <w:rPr>
          <w:rFonts w:ascii="Times New Roman" w:hAnsi="Times New Roman" w:cs="Times New Roman"/>
          <w:sz w:val="28"/>
          <w:szCs w:val="28"/>
          <w:lang w:val="es-ES_tradnl"/>
        </w:rPr>
      </w:pPr>
    </w:p>
    <w:p w14:paraId="4733A6B2" w14:textId="77777777" w:rsidR="00000000" w:rsidRPr="001B7B93" w:rsidRDefault="001B7B93" w:rsidP="002B43A7">
      <w:pPr>
        <w:spacing w:after="0" w:line="240" w:lineRule="auto"/>
        <w:jc w:val="both"/>
        <w:rPr>
          <w:rFonts w:ascii="Times New Roman" w:hAnsi="Times New Roman" w:cs="Times New Roman"/>
          <w:sz w:val="28"/>
          <w:szCs w:val="28"/>
          <w:lang w:val="es-ES_tradnl"/>
        </w:rPr>
      </w:pPr>
      <w:proofErr w:type="gramStart"/>
      <w:r w:rsidRPr="001B7B93">
        <w:rPr>
          <w:rFonts w:ascii="Times New Roman" w:hAnsi="Times New Roman" w:cs="Times New Roman"/>
          <w:b/>
          <w:sz w:val="28"/>
          <w:szCs w:val="28"/>
          <w:lang w:val="es-ES_tradnl"/>
        </w:rPr>
        <w:t>Segundo.-</w:t>
      </w:r>
      <w:proofErr w:type="gramEnd"/>
      <w:r w:rsidRPr="001B7B93">
        <w:rPr>
          <w:rFonts w:ascii="Times New Roman" w:hAnsi="Times New Roman" w:cs="Times New Roman"/>
          <w:b/>
          <w:sz w:val="28"/>
          <w:szCs w:val="28"/>
          <w:lang w:val="es-ES_tradnl"/>
        </w:rPr>
        <w:t xml:space="preserve"> </w:t>
      </w:r>
      <w:r w:rsidRPr="001B7B93">
        <w:rPr>
          <w:rFonts w:ascii="Times New Roman" w:hAnsi="Times New Roman" w:cs="Times New Roman"/>
          <w:sz w:val="28"/>
          <w:szCs w:val="28"/>
          <w:lang w:val="es-ES_tradnl"/>
        </w:rPr>
        <w:t xml:space="preserve">Por medio de la Secretaría General, </w:t>
      </w:r>
      <w:r w:rsidRPr="001B7B93">
        <w:rPr>
          <w:rFonts w:ascii="Times New Roman" w:hAnsi="Times New Roman" w:cs="Times New Roman"/>
          <w:b/>
          <w:sz w:val="28"/>
          <w:szCs w:val="28"/>
          <w:lang w:val="es-ES_tradnl"/>
        </w:rPr>
        <w:t>REMITIR</w:t>
      </w:r>
      <w:r w:rsidRPr="001B7B93">
        <w:rPr>
          <w:rFonts w:ascii="Times New Roman" w:hAnsi="Times New Roman" w:cs="Times New Roman"/>
          <w:sz w:val="28"/>
          <w:szCs w:val="28"/>
          <w:lang w:val="es-ES_tradnl"/>
        </w:rPr>
        <w:t xml:space="preserve"> el expediente CJU-4315 al </w:t>
      </w:r>
      <w:r w:rsidRPr="001B7B93">
        <w:rPr>
          <w:rFonts w:ascii="Times New Roman" w:eastAsia="Times New Roman" w:hAnsi="Times New Roman" w:cs="Times New Roman"/>
          <w:bCs/>
          <w:color w:val="000000" w:themeColor="text1"/>
          <w:sz w:val="28"/>
          <w:szCs w:val="28"/>
          <w:lang w:val="es-ES_tradnl" w:eastAsia="es-ES"/>
        </w:rPr>
        <w:t>Juzgado Primero Administrativo de Pasto,</w:t>
      </w:r>
      <w:r w:rsidRPr="001B7B93">
        <w:rPr>
          <w:rFonts w:ascii="Times New Roman" w:eastAsia="Times New Roman" w:hAnsi="Times New Roman" w:cs="Times New Roman"/>
          <w:bCs/>
          <w:color w:val="000000" w:themeColor="text1"/>
          <w:sz w:val="28"/>
          <w:szCs w:val="28"/>
          <w:lang w:eastAsia="es-ES"/>
        </w:rPr>
        <w:t xml:space="preserve"> </w:t>
      </w:r>
      <w:r w:rsidRPr="001B7B93">
        <w:rPr>
          <w:rFonts w:ascii="Times New Roman" w:hAnsi="Times New Roman" w:cs="Times New Roman"/>
          <w:sz w:val="28"/>
          <w:szCs w:val="28"/>
          <w:lang w:val="es-ES_tradnl"/>
        </w:rPr>
        <w:t xml:space="preserve">para lo de su competencia y para que comunique la presente decisión a los interesados en este trámite y al </w:t>
      </w:r>
      <w:r w:rsidRPr="001B7B93">
        <w:rPr>
          <w:rFonts w:ascii="Times New Roman" w:eastAsia="Times New Roman" w:hAnsi="Times New Roman" w:cs="Times New Roman"/>
          <w:bCs/>
          <w:color w:val="000000" w:themeColor="text1"/>
          <w:sz w:val="28"/>
          <w:szCs w:val="28"/>
          <w:lang w:val="es-ES_tradnl" w:eastAsia="es-ES"/>
        </w:rPr>
        <w:t>Juzgado Primero Civil del Circuito de Túquerres</w:t>
      </w:r>
      <w:r w:rsidRPr="001B7B93">
        <w:rPr>
          <w:rFonts w:ascii="Times New Roman" w:hAnsi="Times New Roman" w:cs="Times New Roman"/>
          <w:sz w:val="28"/>
          <w:szCs w:val="28"/>
          <w:lang w:val="es-ES_tradnl"/>
        </w:rPr>
        <w:t xml:space="preserve">. </w:t>
      </w:r>
    </w:p>
    <w:p w14:paraId="238EC96A" w14:textId="77777777" w:rsidR="00000000" w:rsidRPr="001B7B93" w:rsidRDefault="00000000" w:rsidP="002B43A7">
      <w:pPr>
        <w:pStyle w:val="Sinespaciado"/>
        <w:jc w:val="both"/>
        <w:rPr>
          <w:rFonts w:ascii="Times New Roman" w:hAnsi="Times New Roman" w:cs="Times New Roman"/>
          <w:color w:val="000000" w:themeColor="text1"/>
          <w:sz w:val="28"/>
          <w:szCs w:val="28"/>
          <w:lang w:val="es-ES_tradnl"/>
        </w:rPr>
      </w:pPr>
    </w:p>
    <w:p w14:paraId="37D1BDAD" w14:textId="77777777" w:rsidR="00000000" w:rsidRPr="001B7B93" w:rsidRDefault="001B7B93" w:rsidP="002B43A7">
      <w:pPr>
        <w:pStyle w:val="Sinespaciado"/>
        <w:jc w:val="both"/>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 xml:space="preserve">Notifíquese, comuníquese y cúmplase. </w:t>
      </w:r>
    </w:p>
    <w:p w14:paraId="04666B58" w14:textId="77777777" w:rsidR="00000000" w:rsidRPr="001B7B93" w:rsidRDefault="00000000" w:rsidP="002B43A7">
      <w:pPr>
        <w:pStyle w:val="Sinespaciado"/>
        <w:jc w:val="both"/>
        <w:rPr>
          <w:rFonts w:ascii="Times New Roman" w:hAnsi="Times New Roman" w:cs="Times New Roman"/>
          <w:color w:val="000000" w:themeColor="text1"/>
          <w:sz w:val="28"/>
          <w:szCs w:val="28"/>
          <w:lang w:val="es-ES_tradnl"/>
        </w:rPr>
      </w:pPr>
    </w:p>
    <w:p w14:paraId="6830CC1C" w14:textId="77777777" w:rsidR="00000000" w:rsidRPr="001B7B93" w:rsidRDefault="00000000" w:rsidP="00BC3F84">
      <w:pPr>
        <w:pStyle w:val="Sinespaciado"/>
        <w:jc w:val="center"/>
        <w:rPr>
          <w:rFonts w:ascii="Times New Roman" w:hAnsi="Times New Roman" w:cs="Times New Roman"/>
          <w:color w:val="000000" w:themeColor="text1"/>
          <w:sz w:val="28"/>
          <w:szCs w:val="28"/>
          <w:lang w:val="es-ES_tradnl"/>
        </w:rPr>
      </w:pPr>
    </w:p>
    <w:p w14:paraId="33133067" w14:textId="77777777" w:rsidR="00000000" w:rsidRPr="001B7B93" w:rsidRDefault="00000000" w:rsidP="00BC3F84">
      <w:pPr>
        <w:pStyle w:val="Sinespaciado"/>
        <w:jc w:val="center"/>
        <w:rPr>
          <w:rFonts w:ascii="Times New Roman" w:hAnsi="Times New Roman" w:cs="Times New Roman"/>
          <w:color w:val="000000" w:themeColor="text1"/>
          <w:sz w:val="28"/>
          <w:szCs w:val="28"/>
          <w:lang w:val="es-ES_tradnl"/>
        </w:rPr>
      </w:pPr>
    </w:p>
    <w:p w14:paraId="0234BE48" w14:textId="77777777" w:rsidR="00000000" w:rsidRPr="001B7B93" w:rsidRDefault="00000000" w:rsidP="00BC3F84">
      <w:pPr>
        <w:pStyle w:val="Sinespaciado"/>
        <w:jc w:val="center"/>
        <w:rPr>
          <w:rFonts w:ascii="Times New Roman" w:hAnsi="Times New Roman" w:cs="Times New Roman"/>
          <w:color w:val="000000" w:themeColor="text1"/>
          <w:sz w:val="28"/>
          <w:szCs w:val="28"/>
          <w:lang w:val="es-ES_tradnl"/>
        </w:rPr>
      </w:pPr>
    </w:p>
    <w:p w14:paraId="3C7481FC"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DIANA FAJARDO RIVERA</w:t>
      </w:r>
    </w:p>
    <w:p w14:paraId="5CAB725F"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Presidenta</w:t>
      </w:r>
    </w:p>
    <w:p w14:paraId="384F7E7A"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Aclaración de voto</w:t>
      </w:r>
    </w:p>
    <w:p w14:paraId="5CB3F199"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7E486E45"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3BBB384A"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186B4607"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666A3788"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NATALIA ÁNGEL CABO</w:t>
      </w:r>
    </w:p>
    <w:p w14:paraId="13E15711"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Magistrada</w:t>
      </w:r>
    </w:p>
    <w:p w14:paraId="46D5E7EA"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172ED374"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7A72BBA4"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1E956CC1"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JUAN CARLOS CORTÉS GONZÁLEZ</w:t>
      </w:r>
    </w:p>
    <w:p w14:paraId="6579EA6C"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Magistrado</w:t>
      </w:r>
    </w:p>
    <w:p w14:paraId="112327ED"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0CBF57CA"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239785B3"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06F0E90A"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 xml:space="preserve">JORGE ENRIQUE IBÁÑEZ NAJAR </w:t>
      </w:r>
    </w:p>
    <w:p w14:paraId="6328E345"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Magistrado</w:t>
      </w:r>
    </w:p>
    <w:p w14:paraId="32A3C893"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50528891"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094E025D"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10BD5B8A"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ALEJANDRO LINARES CANTILLO</w:t>
      </w:r>
    </w:p>
    <w:p w14:paraId="4B6D87FC"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Magistrado</w:t>
      </w:r>
    </w:p>
    <w:p w14:paraId="4406B9FE"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511A313F"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74E00DE8"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52827D2F"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ANTONIO JOSÉ LIZARAZO OCAMPO</w:t>
      </w:r>
    </w:p>
    <w:p w14:paraId="7309504F"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Magistrado</w:t>
      </w:r>
    </w:p>
    <w:p w14:paraId="475AD78B"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030BB841"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73A85766"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1C2DD055"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PAOLA ANDREA MENESES MOSQUERA</w:t>
      </w:r>
    </w:p>
    <w:p w14:paraId="249E030E"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Magistrada</w:t>
      </w:r>
    </w:p>
    <w:p w14:paraId="5CE7F013"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48F1E763"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03469CAE"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46F57F46"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CRISTINA PARDO SCHLESINGER</w:t>
      </w:r>
    </w:p>
    <w:p w14:paraId="532085E2"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Magistrada</w:t>
      </w:r>
    </w:p>
    <w:p w14:paraId="21BD1DB3"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6F291366"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15DA12D0"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6A10789F"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JOSE FERNANDO REYES CUARTAS</w:t>
      </w:r>
    </w:p>
    <w:p w14:paraId="14F05B68"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Magistrado</w:t>
      </w:r>
    </w:p>
    <w:p w14:paraId="63EF70FB"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73CE42F8"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4AEC129D"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5D92E7E0"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ANDREA LILIANA ROMERO LOPEZ</w:t>
      </w:r>
    </w:p>
    <w:p w14:paraId="67D66A38" w14:textId="77777777" w:rsidR="00000000" w:rsidRPr="001B7B93" w:rsidRDefault="001B7B93" w:rsidP="00745ECD">
      <w:pPr>
        <w:pStyle w:val="Sinespaciado"/>
        <w:jc w:val="center"/>
        <w:rPr>
          <w:rFonts w:ascii="Times New Roman" w:hAnsi="Times New Roman" w:cs="Times New Roman"/>
          <w:color w:val="000000" w:themeColor="text1"/>
          <w:sz w:val="28"/>
          <w:szCs w:val="28"/>
          <w:lang w:val="es-ES_tradnl"/>
        </w:rPr>
      </w:pPr>
      <w:r w:rsidRPr="001B7B93">
        <w:rPr>
          <w:rFonts w:ascii="Times New Roman" w:hAnsi="Times New Roman" w:cs="Times New Roman"/>
          <w:color w:val="000000" w:themeColor="text1"/>
          <w:sz w:val="28"/>
          <w:szCs w:val="28"/>
          <w:lang w:val="es-ES_tradnl"/>
        </w:rPr>
        <w:t>Secretaria General</w:t>
      </w:r>
    </w:p>
    <w:p w14:paraId="27B5CB20"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043E49DE"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64A488D0"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17217220"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7923F1F0"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73058CDB" w14:textId="77777777" w:rsidR="00000000" w:rsidRPr="001B7B93" w:rsidRDefault="00000000" w:rsidP="00745ECD">
      <w:pPr>
        <w:pStyle w:val="Sinespaciado"/>
        <w:jc w:val="center"/>
        <w:rPr>
          <w:rFonts w:ascii="Times New Roman" w:hAnsi="Times New Roman" w:cs="Times New Roman"/>
          <w:color w:val="000000" w:themeColor="text1"/>
          <w:sz w:val="28"/>
          <w:szCs w:val="28"/>
          <w:lang w:val="es-ES_tradnl"/>
        </w:rPr>
      </w:pPr>
    </w:p>
    <w:p w14:paraId="36F99363" w14:textId="77777777" w:rsidR="00000000" w:rsidRPr="001B7B93" w:rsidRDefault="00000000" w:rsidP="00344E6F">
      <w:pPr>
        <w:spacing w:after="0" w:line="240" w:lineRule="auto"/>
        <w:ind w:right="45"/>
        <w:contextualSpacing/>
        <w:jc w:val="center"/>
        <w:rPr>
          <w:rFonts w:ascii="Times New Roman" w:hAnsi="Times New Roman" w:cs="Times New Roman"/>
          <w:b/>
          <w:bCs/>
          <w:color w:val="000000"/>
          <w:sz w:val="28"/>
          <w:szCs w:val="28"/>
          <w:lang w:eastAsia="es-ES"/>
        </w:rPr>
      </w:pPr>
    </w:p>
    <w:p w14:paraId="1F98111D" w14:textId="77777777" w:rsidR="00000000" w:rsidRPr="001B7B93" w:rsidRDefault="001B7B93" w:rsidP="00344E6F">
      <w:pPr>
        <w:spacing w:after="0" w:line="240" w:lineRule="auto"/>
        <w:ind w:right="45"/>
        <w:contextualSpacing/>
        <w:jc w:val="center"/>
        <w:rPr>
          <w:rFonts w:ascii="Times New Roman" w:hAnsi="Times New Roman" w:cs="Times New Roman"/>
          <w:b/>
          <w:bCs/>
          <w:color w:val="000000"/>
          <w:sz w:val="28"/>
          <w:szCs w:val="28"/>
          <w:lang w:eastAsia="es-ES"/>
        </w:rPr>
      </w:pPr>
      <w:r w:rsidRPr="001B7B93">
        <w:rPr>
          <w:rFonts w:ascii="Times New Roman" w:hAnsi="Times New Roman" w:cs="Times New Roman"/>
          <w:b/>
          <w:bCs/>
          <w:color w:val="000000"/>
          <w:sz w:val="28"/>
          <w:szCs w:val="28"/>
          <w:lang w:eastAsia="es-ES"/>
        </w:rPr>
        <w:t>ACLARACIÓN DE VOTO DE LA MAGISTRADA</w:t>
      </w:r>
    </w:p>
    <w:p w14:paraId="27D53857" w14:textId="77777777" w:rsidR="00000000" w:rsidRPr="001B7B93" w:rsidRDefault="001B7B93" w:rsidP="00344E6F">
      <w:pPr>
        <w:spacing w:after="0" w:line="240" w:lineRule="auto"/>
        <w:ind w:right="45"/>
        <w:contextualSpacing/>
        <w:jc w:val="center"/>
        <w:rPr>
          <w:rFonts w:ascii="Times New Roman" w:hAnsi="Times New Roman" w:cs="Times New Roman"/>
          <w:b/>
          <w:bCs/>
          <w:color w:val="000000"/>
          <w:sz w:val="28"/>
          <w:szCs w:val="28"/>
          <w:lang w:eastAsia="es-ES"/>
        </w:rPr>
      </w:pPr>
      <w:r w:rsidRPr="001B7B93">
        <w:rPr>
          <w:rFonts w:ascii="Times New Roman" w:hAnsi="Times New Roman" w:cs="Times New Roman"/>
          <w:b/>
          <w:bCs/>
          <w:color w:val="000000"/>
          <w:sz w:val="28"/>
          <w:szCs w:val="28"/>
          <w:lang w:eastAsia="es-ES"/>
        </w:rPr>
        <w:t>DIANA FAJARDO RIVERA</w:t>
      </w:r>
    </w:p>
    <w:p w14:paraId="39DF1AED" w14:textId="77777777" w:rsidR="00000000" w:rsidRPr="001B7B93" w:rsidRDefault="001B7B93" w:rsidP="00344E6F">
      <w:pPr>
        <w:spacing w:after="0" w:line="240" w:lineRule="auto"/>
        <w:ind w:right="45"/>
        <w:contextualSpacing/>
        <w:jc w:val="center"/>
        <w:rPr>
          <w:rFonts w:ascii="Times New Roman" w:hAnsi="Times New Roman" w:cs="Times New Roman"/>
          <w:b/>
          <w:bCs/>
          <w:color w:val="000000"/>
          <w:sz w:val="28"/>
          <w:szCs w:val="28"/>
          <w:lang w:eastAsia="es-ES"/>
        </w:rPr>
      </w:pPr>
      <w:r w:rsidRPr="001B7B93">
        <w:rPr>
          <w:rFonts w:ascii="Times New Roman" w:hAnsi="Times New Roman" w:cs="Times New Roman"/>
          <w:b/>
          <w:bCs/>
          <w:color w:val="000000"/>
          <w:sz w:val="28"/>
          <w:szCs w:val="28"/>
          <w:lang w:eastAsia="es-ES"/>
        </w:rPr>
        <w:t>AL AUTO 2543 DE 2023</w:t>
      </w:r>
    </w:p>
    <w:p w14:paraId="3F18CE37" w14:textId="77777777" w:rsidR="00000000" w:rsidRPr="001B7B93" w:rsidRDefault="00000000" w:rsidP="00344E6F">
      <w:pPr>
        <w:spacing w:after="0" w:line="240" w:lineRule="auto"/>
        <w:ind w:right="45"/>
        <w:contextualSpacing/>
        <w:rPr>
          <w:rFonts w:ascii="Times New Roman" w:hAnsi="Times New Roman" w:cs="Times New Roman"/>
          <w:b/>
          <w:bCs/>
          <w:color w:val="000000"/>
          <w:sz w:val="28"/>
          <w:szCs w:val="28"/>
          <w:lang w:eastAsia="es-ES"/>
        </w:rPr>
      </w:pPr>
    </w:p>
    <w:p w14:paraId="35ABDED6" w14:textId="77777777" w:rsidR="00000000" w:rsidRPr="001B7B93" w:rsidRDefault="00000000" w:rsidP="00344E6F">
      <w:pPr>
        <w:spacing w:after="0" w:line="240" w:lineRule="auto"/>
        <w:ind w:right="45"/>
        <w:contextualSpacing/>
        <w:rPr>
          <w:rFonts w:ascii="Times New Roman" w:hAnsi="Times New Roman" w:cs="Times New Roman"/>
          <w:b/>
          <w:bCs/>
          <w:color w:val="000000"/>
          <w:sz w:val="28"/>
          <w:szCs w:val="28"/>
          <w:lang w:eastAsia="es-ES"/>
        </w:rPr>
      </w:pPr>
    </w:p>
    <w:p w14:paraId="1D907CD4" w14:textId="77777777" w:rsidR="00000000" w:rsidRPr="001B7B93" w:rsidRDefault="001B7B93" w:rsidP="00E519E9">
      <w:pPr>
        <w:spacing w:after="0" w:line="240" w:lineRule="auto"/>
        <w:ind w:left="3969" w:right="45"/>
        <w:contextualSpacing/>
        <w:jc w:val="both"/>
        <w:rPr>
          <w:rFonts w:ascii="Times New Roman" w:hAnsi="Times New Roman" w:cs="Times New Roman"/>
          <w:b/>
          <w:bCs/>
          <w:color w:val="000000"/>
          <w:sz w:val="28"/>
          <w:szCs w:val="28"/>
          <w:lang w:eastAsia="es-ES"/>
        </w:rPr>
      </w:pPr>
      <w:r w:rsidRPr="001B7B93">
        <w:rPr>
          <w:rFonts w:ascii="Times New Roman" w:hAnsi="Times New Roman" w:cs="Times New Roman"/>
          <w:b/>
          <w:bCs/>
          <w:color w:val="000000"/>
          <w:sz w:val="28"/>
          <w:szCs w:val="28"/>
          <w:lang w:eastAsia="es-ES"/>
        </w:rPr>
        <w:t xml:space="preserve">Referencia: </w:t>
      </w:r>
      <w:r w:rsidRPr="001B7B93">
        <w:rPr>
          <w:rFonts w:ascii="Times New Roman" w:hAnsi="Times New Roman" w:cs="Times New Roman"/>
          <w:bCs/>
          <w:color w:val="000000"/>
          <w:sz w:val="28"/>
          <w:szCs w:val="28"/>
          <w:lang w:eastAsia="es-ES"/>
        </w:rPr>
        <w:t>expediente CJU 4315</w:t>
      </w:r>
    </w:p>
    <w:p w14:paraId="4B1196A0" w14:textId="77777777" w:rsidR="00000000" w:rsidRPr="001B7B93" w:rsidRDefault="00000000" w:rsidP="00E519E9">
      <w:pPr>
        <w:spacing w:after="0" w:line="240" w:lineRule="auto"/>
        <w:ind w:left="3969"/>
        <w:contextualSpacing/>
        <w:jc w:val="both"/>
        <w:rPr>
          <w:rFonts w:ascii="Times New Roman" w:hAnsi="Times New Roman" w:cs="Times New Roman"/>
          <w:color w:val="000000"/>
          <w:sz w:val="28"/>
          <w:szCs w:val="28"/>
          <w:lang w:eastAsia="es-ES"/>
        </w:rPr>
      </w:pPr>
    </w:p>
    <w:p w14:paraId="7CCC4825" w14:textId="77777777" w:rsidR="00000000" w:rsidRPr="001B7B93" w:rsidRDefault="001B7B93" w:rsidP="00E519E9">
      <w:pPr>
        <w:spacing w:after="0" w:line="240" w:lineRule="auto"/>
        <w:ind w:left="3969"/>
        <w:contextualSpacing/>
        <w:jc w:val="both"/>
        <w:rPr>
          <w:rFonts w:ascii="Times New Roman" w:hAnsi="Times New Roman" w:cs="Times New Roman"/>
          <w:sz w:val="28"/>
          <w:szCs w:val="28"/>
          <w:lang w:val="es-ES_tradnl"/>
        </w:rPr>
      </w:pPr>
      <w:r w:rsidRPr="001B7B93">
        <w:rPr>
          <w:rFonts w:ascii="Times New Roman" w:hAnsi="Times New Roman" w:cs="Times New Roman"/>
          <w:sz w:val="28"/>
          <w:szCs w:val="28"/>
          <w:lang w:val="es-ES_tradnl"/>
        </w:rPr>
        <w:t xml:space="preserve">Conflicto de jurisdicciones entre </w:t>
      </w:r>
      <w:r w:rsidRPr="001B7B93">
        <w:rPr>
          <w:rFonts w:ascii="Times New Roman" w:hAnsi="Times New Roman" w:cs="Times New Roman"/>
          <w:sz w:val="28"/>
          <w:szCs w:val="28"/>
        </w:rPr>
        <w:t xml:space="preserve">el </w:t>
      </w:r>
      <w:r w:rsidRPr="001B7B93">
        <w:rPr>
          <w:rFonts w:ascii="Times New Roman" w:hAnsi="Times New Roman" w:cs="Times New Roman"/>
          <w:bCs/>
          <w:sz w:val="28"/>
          <w:szCs w:val="28"/>
          <w:lang w:val="es-ES_tradnl"/>
        </w:rPr>
        <w:t>Juzgado Primero Administrativo de Pasto y el Juzgado Primero Civil del Circuito de Túquerres</w:t>
      </w:r>
    </w:p>
    <w:p w14:paraId="43F8B358" w14:textId="77777777" w:rsidR="00000000" w:rsidRPr="001B7B93" w:rsidRDefault="00000000" w:rsidP="00E519E9">
      <w:pPr>
        <w:spacing w:after="0" w:line="240" w:lineRule="auto"/>
        <w:ind w:left="3969"/>
        <w:contextualSpacing/>
        <w:jc w:val="both"/>
        <w:rPr>
          <w:rFonts w:ascii="Times New Roman" w:hAnsi="Times New Roman" w:cs="Times New Roman"/>
          <w:color w:val="000000"/>
          <w:sz w:val="28"/>
          <w:szCs w:val="28"/>
          <w:lang w:eastAsia="es-ES"/>
        </w:rPr>
      </w:pPr>
    </w:p>
    <w:p w14:paraId="37051335" w14:textId="77777777" w:rsidR="00000000" w:rsidRPr="001B7B93" w:rsidRDefault="001B7B93" w:rsidP="00E519E9">
      <w:pPr>
        <w:spacing w:after="0" w:line="240" w:lineRule="auto"/>
        <w:ind w:left="3969" w:right="45"/>
        <w:contextualSpacing/>
        <w:jc w:val="both"/>
        <w:rPr>
          <w:rFonts w:ascii="Times New Roman" w:hAnsi="Times New Roman" w:cs="Times New Roman"/>
          <w:b/>
          <w:color w:val="000000"/>
          <w:sz w:val="28"/>
          <w:szCs w:val="28"/>
          <w:lang w:eastAsia="es-ES"/>
        </w:rPr>
      </w:pPr>
      <w:r w:rsidRPr="001B7B93">
        <w:rPr>
          <w:rFonts w:ascii="Times New Roman" w:hAnsi="Times New Roman" w:cs="Times New Roman"/>
          <w:b/>
          <w:color w:val="000000"/>
          <w:sz w:val="28"/>
          <w:szCs w:val="28"/>
          <w:lang w:eastAsia="es-ES"/>
        </w:rPr>
        <w:t>Magistrada ponente:</w:t>
      </w:r>
    </w:p>
    <w:p w14:paraId="58BEA2BB" w14:textId="77777777" w:rsidR="00000000" w:rsidRPr="001B7B93" w:rsidRDefault="001B7B93" w:rsidP="00E519E9">
      <w:pPr>
        <w:spacing w:after="0" w:line="240" w:lineRule="auto"/>
        <w:ind w:left="3969"/>
        <w:contextualSpacing/>
        <w:rPr>
          <w:rFonts w:ascii="Times New Roman" w:hAnsi="Times New Roman" w:cs="Times New Roman"/>
          <w:bCs/>
          <w:color w:val="000000"/>
          <w:sz w:val="28"/>
          <w:szCs w:val="28"/>
          <w:lang w:eastAsia="es-ES"/>
        </w:rPr>
      </w:pPr>
      <w:r w:rsidRPr="001B7B93">
        <w:rPr>
          <w:rFonts w:ascii="Times New Roman" w:hAnsi="Times New Roman" w:cs="Times New Roman"/>
          <w:color w:val="000000"/>
          <w:sz w:val="28"/>
          <w:szCs w:val="28"/>
          <w:lang w:eastAsia="es-ES"/>
        </w:rPr>
        <w:t>Paola Andrea Meneses Mosquera</w:t>
      </w:r>
    </w:p>
    <w:p w14:paraId="2475CEE8" w14:textId="77777777" w:rsidR="00000000" w:rsidRPr="001B7B93" w:rsidRDefault="00000000" w:rsidP="00344E6F">
      <w:pPr>
        <w:spacing w:after="0" w:line="240" w:lineRule="auto"/>
        <w:contextualSpacing/>
        <w:rPr>
          <w:rFonts w:ascii="Times New Roman" w:hAnsi="Times New Roman" w:cs="Times New Roman"/>
          <w:color w:val="000000"/>
          <w:sz w:val="28"/>
          <w:szCs w:val="28"/>
        </w:rPr>
      </w:pPr>
    </w:p>
    <w:p w14:paraId="568F4E21" w14:textId="77777777" w:rsidR="00000000" w:rsidRPr="001B7B93" w:rsidRDefault="00000000" w:rsidP="00344E6F">
      <w:pPr>
        <w:spacing w:after="0" w:line="240" w:lineRule="auto"/>
        <w:contextualSpacing/>
        <w:rPr>
          <w:rFonts w:ascii="Times New Roman" w:hAnsi="Times New Roman" w:cs="Times New Roman"/>
          <w:color w:val="000000"/>
          <w:sz w:val="28"/>
          <w:szCs w:val="28"/>
        </w:rPr>
      </w:pPr>
    </w:p>
    <w:p w14:paraId="52B53C80" w14:textId="77777777" w:rsidR="00000000" w:rsidRPr="001B7B93" w:rsidRDefault="001B7B93" w:rsidP="00455A1C">
      <w:pPr>
        <w:numPr>
          <w:ilvl w:val="0"/>
          <w:numId w:val="6"/>
        </w:numPr>
        <w:shd w:val="clear" w:color="auto" w:fill="FFFFFF"/>
        <w:spacing w:after="0" w:line="240" w:lineRule="auto"/>
        <w:ind w:left="0" w:right="23" w:firstLine="0"/>
        <w:contextualSpacing/>
        <w:jc w:val="both"/>
        <w:rPr>
          <w:rFonts w:ascii="Times New Roman" w:hAnsi="Times New Roman" w:cs="Times New Roman"/>
          <w:sz w:val="28"/>
          <w:szCs w:val="28"/>
          <w:lang w:val="es-ES"/>
        </w:rPr>
      </w:pPr>
      <w:r w:rsidRPr="001B7B93">
        <w:rPr>
          <w:rFonts w:ascii="Times New Roman" w:hAnsi="Times New Roman" w:cs="Times New Roman"/>
          <w:sz w:val="28"/>
          <w:szCs w:val="28"/>
          <w:bdr w:val="none" w:sz="0" w:space="0" w:color="auto" w:frame="1"/>
          <w:lang w:val="es-ES_tradnl"/>
        </w:rPr>
        <w:t xml:space="preserve">Con el acostumbrado respeto por las providencias adoptadas por esta Corporación, </w:t>
      </w:r>
      <w:r w:rsidRPr="001B7B93">
        <w:rPr>
          <w:rFonts w:ascii="Times New Roman" w:hAnsi="Times New Roman" w:cs="Times New Roman"/>
          <w:sz w:val="28"/>
          <w:szCs w:val="28"/>
          <w:lang w:val="es-ES"/>
        </w:rPr>
        <w:t>a continuación, presento las razones que me condujeron a aclarar el voto en el Auto 2543 de 2023.</w:t>
      </w:r>
    </w:p>
    <w:p w14:paraId="0DDEE5A7" w14:textId="77777777" w:rsidR="00000000" w:rsidRPr="001B7B93" w:rsidRDefault="00000000" w:rsidP="00C447BC">
      <w:pPr>
        <w:shd w:val="clear" w:color="auto" w:fill="FFFFFF"/>
        <w:spacing w:after="0" w:line="240" w:lineRule="auto"/>
        <w:ind w:right="23"/>
        <w:contextualSpacing/>
        <w:jc w:val="both"/>
        <w:rPr>
          <w:rFonts w:ascii="Times New Roman" w:hAnsi="Times New Roman" w:cs="Times New Roman"/>
          <w:sz w:val="28"/>
          <w:szCs w:val="28"/>
          <w:lang w:val="es-ES"/>
        </w:rPr>
      </w:pPr>
    </w:p>
    <w:p w14:paraId="3B1CE167" w14:textId="77777777" w:rsidR="00000000" w:rsidRPr="001B7B93" w:rsidRDefault="001B7B93" w:rsidP="00455A1C">
      <w:pPr>
        <w:numPr>
          <w:ilvl w:val="0"/>
          <w:numId w:val="6"/>
        </w:numPr>
        <w:shd w:val="clear" w:color="auto" w:fill="FFFFFF"/>
        <w:spacing w:after="0" w:line="240" w:lineRule="auto"/>
        <w:ind w:left="0" w:right="23" w:firstLine="0"/>
        <w:contextualSpacing/>
        <w:jc w:val="both"/>
        <w:rPr>
          <w:rFonts w:ascii="Times New Roman" w:hAnsi="Times New Roman" w:cs="Times New Roman"/>
          <w:sz w:val="28"/>
          <w:szCs w:val="28"/>
          <w:lang w:val="es-ES"/>
        </w:rPr>
      </w:pPr>
      <w:r w:rsidRPr="001B7B93">
        <w:rPr>
          <w:rFonts w:ascii="Times New Roman" w:hAnsi="Times New Roman" w:cs="Times New Roman"/>
          <w:sz w:val="28"/>
          <w:szCs w:val="28"/>
          <w:lang w:val="es-ES"/>
        </w:rPr>
        <w:t xml:space="preserve">En esta providencia se estudió un conflicto negativo de jurisdicciones suscitado entre </w:t>
      </w:r>
      <w:r w:rsidRPr="001B7B93">
        <w:rPr>
          <w:rFonts w:ascii="Times New Roman" w:hAnsi="Times New Roman" w:cs="Times New Roman"/>
          <w:bCs/>
          <w:sz w:val="28"/>
          <w:szCs w:val="28"/>
          <w:lang w:val="es-ES_tradnl"/>
        </w:rPr>
        <w:t>Juzgado Primero Administrativo de Pasto y el Juzgado Primero Civil del Circuito de Túquerres</w:t>
      </w:r>
      <w:r w:rsidRPr="001B7B93">
        <w:rPr>
          <w:rFonts w:ascii="Times New Roman" w:hAnsi="Times New Roman" w:cs="Times New Roman"/>
          <w:sz w:val="28"/>
          <w:szCs w:val="28"/>
          <w:lang w:val="es-ES_tradnl"/>
        </w:rPr>
        <w:t xml:space="preserve">. Esto, con ocasión de una </w:t>
      </w:r>
      <w:r w:rsidRPr="001B7B93">
        <w:rPr>
          <w:rFonts w:ascii="Times New Roman" w:hAnsi="Times New Roman" w:cs="Times New Roman"/>
          <w:sz w:val="28"/>
          <w:szCs w:val="28"/>
        </w:rPr>
        <w:t xml:space="preserve">demanda </w:t>
      </w:r>
      <w:r w:rsidRPr="001B7B93">
        <w:rPr>
          <w:rFonts w:ascii="Times New Roman" w:hAnsi="Times New Roman" w:cs="Times New Roman"/>
          <w:sz w:val="28"/>
          <w:szCs w:val="28"/>
          <w:lang w:val="es-ES_tradnl" w:eastAsia="es-ES"/>
        </w:rPr>
        <w:t>de controversias contractuales presentada por la Empresa Nacional Promotora de Desarrollo Territorial (</w:t>
      </w:r>
      <w:proofErr w:type="spellStart"/>
      <w:r w:rsidRPr="001B7B93">
        <w:rPr>
          <w:rFonts w:ascii="Times New Roman" w:hAnsi="Times New Roman" w:cs="Times New Roman"/>
          <w:sz w:val="28"/>
          <w:szCs w:val="28"/>
          <w:lang w:val="es-ES_tradnl" w:eastAsia="es-ES"/>
        </w:rPr>
        <w:t>ENTerritorio</w:t>
      </w:r>
      <w:proofErr w:type="spellEnd"/>
      <w:r w:rsidRPr="001B7B93">
        <w:rPr>
          <w:rFonts w:ascii="Times New Roman" w:hAnsi="Times New Roman" w:cs="Times New Roman"/>
          <w:sz w:val="28"/>
          <w:szCs w:val="28"/>
          <w:lang w:val="es-ES_tradnl" w:eastAsia="es-ES"/>
        </w:rPr>
        <w:t xml:space="preserve">) contra el Municipio de Ricaurte (Nariño) y la Aseguradora Solidaria de Colombia, mediante la que se solicitó, entre otras cosas, que se declarara el incumplimiento por parte del Municipio de Ricaurte de un convenio interadministrativo suscrito entre ambas partes y que tenía como objeto </w:t>
      </w:r>
      <w:r w:rsidRPr="001B7B93">
        <w:rPr>
          <w:rFonts w:ascii="Times New Roman" w:hAnsi="Times New Roman" w:cs="Times New Roman"/>
          <w:sz w:val="28"/>
          <w:szCs w:val="28"/>
          <w:lang w:eastAsia="es-ES"/>
        </w:rPr>
        <w:t>“</w:t>
      </w:r>
      <w:r w:rsidRPr="001B7B93">
        <w:rPr>
          <w:rFonts w:ascii="Times New Roman" w:hAnsi="Times New Roman" w:cs="Times New Roman"/>
          <w:i/>
          <w:sz w:val="28"/>
          <w:szCs w:val="28"/>
          <w:lang w:eastAsia="es-ES"/>
        </w:rPr>
        <w:t>aunar esfuerzos administrativos, técnicos y financieros para ejecutar el proyecto denominado ‘CONSTRUCCION DE PUENTE PEATONAL DE RICAURTE NARIÑO’</w:t>
      </w:r>
      <w:r w:rsidRPr="001B7B93">
        <w:rPr>
          <w:rFonts w:ascii="Times New Roman" w:hAnsi="Times New Roman" w:cs="Times New Roman"/>
          <w:sz w:val="28"/>
          <w:szCs w:val="28"/>
          <w:lang w:eastAsia="es-ES"/>
        </w:rPr>
        <w:t xml:space="preserve">. </w:t>
      </w:r>
      <w:r w:rsidRPr="001B7B93">
        <w:rPr>
          <w:rFonts w:ascii="Times New Roman" w:hAnsi="Times New Roman" w:cs="Times New Roman"/>
          <w:sz w:val="28"/>
          <w:szCs w:val="28"/>
          <w:lang w:val="es-ES_tradnl" w:eastAsia="es-ES"/>
        </w:rPr>
        <w:t xml:space="preserve"> </w:t>
      </w:r>
    </w:p>
    <w:p w14:paraId="5E000CED" w14:textId="77777777" w:rsidR="00000000" w:rsidRPr="001B7B93" w:rsidRDefault="00000000" w:rsidP="00E97433">
      <w:pPr>
        <w:shd w:val="clear" w:color="auto" w:fill="FFFFFF"/>
        <w:spacing w:after="0" w:line="240" w:lineRule="auto"/>
        <w:ind w:right="23"/>
        <w:contextualSpacing/>
        <w:jc w:val="both"/>
        <w:rPr>
          <w:rFonts w:ascii="Times New Roman" w:hAnsi="Times New Roman" w:cs="Times New Roman"/>
          <w:sz w:val="28"/>
          <w:szCs w:val="28"/>
          <w:lang w:val="es-ES"/>
        </w:rPr>
      </w:pPr>
    </w:p>
    <w:p w14:paraId="42FCB823" w14:textId="77777777" w:rsidR="00000000" w:rsidRPr="001B7B93" w:rsidRDefault="001B7B93" w:rsidP="00E97433">
      <w:pPr>
        <w:numPr>
          <w:ilvl w:val="0"/>
          <w:numId w:val="6"/>
        </w:numPr>
        <w:shd w:val="clear" w:color="auto" w:fill="FFFFFF"/>
        <w:spacing w:after="0" w:line="240" w:lineRule="auto"/>
        <w:ind w:left="0" w:right="23" w:firstLine="0"/>
        <w:contextualSpacing/>
        <w:jc w:val="both"/>
        <w:rPr>
          <w:rFonts w:ascii="Times New Roman" w:hAnsi="Times New Roman" w:cs="Times New Roman"/>
          <w:sz w:val="28"/>
          <w:szCs w:val="28"/>
          <w:lang w:val="es-ES"/>
        </w:rPr>
      </w:pPr>
      <w:r w:rsidRPr="001B7B93">
        <w:rPr>
          <w:rFonts w:ascii="Times New Roman" w:hAnsi="Times New Roman" w:cs="Times New Roman"/>
          <w:sz w:val="28"/>
          <w:szCs w:val="28"/>
          <w:lang w:val="es-ES"/>
        </w:rPr>
        <w:t xml:space="preserve">Al resolver el conflicto, la Sala Plena remitió el asunto a </w:t>
      </w:r>
      <w:r w:rsidRPr="001B7B93">
        <w:rPr>
          <w:rFonts w:ascii="Times New Roman" w:hAnsi="Times New Roman" w:cs="Times New Roman"/>
          <w:sz w:val="28"/>
          <w:szCs w:val="28"/>
        </w:rPr>
        <w:t>la Jurisdicción de lo Contencioso Administrativo con base en la regla de competencia dispuesta en</w:t>
      </w:r>
      <w:r w:rsidRPr="001B7B93">
        <w:rPr>
          <w:rFonts w:ascii="Times New Roman" w:hAnsi="Times New Roman" w:cs="Times New Roman"/>
          <w:color w:val="000000"/>
          <w:sz w:val="28"/>
          <w:szCs w:val="28"/>
        </w:rPr>
        <w:t xml:space="preserve"> el numeral 2 del artículo 104 del Código de Procedimiento Administrativo y de lo Contencioso Administrativo (CPACA), y con fundamento en dos razones. </w:t>
      </w:r>
      <w:r w:rsidRPr="001B7B93">
        <w:rPr>
          <w:rFonts w:ascii="Times New Roman" w:hAnsi="Times New Roman" w:cs="Times New Roman"/>
          <w:i/>
          <w:color w:val="000000"/>
          <w:sz w:val="28"/>
          <w:szCs w:val="28"/>
        </w:rPr>
        <w:t>Primera,</w:t>
      </w:r>
      <w:r w:rsidRPr="001B7B93">
        <w:rPr>
          <w:rFonts w:ascii="Times New Roman" w:hAnsi="Times New Roman" w:cs="Times New Roman"/>
          <w:color w:val="000000"/>
          <w:sz w:val="28"/>
          <w:szCs w:val="28"/>
        </w:rPr>
        <w:t xml:space="preserve"> </w:t>
      </w:r>
      <w:r w:rsidRPr="001B7B93">
        <w:rPr>
          <w:rFonts w:ascii="Times New Roman" w:hAnsi="Times New Roman" w:cs="Times New Roman"/>
          <w:bCs/>
          <w:iCs/>
          <w:sz w:val="28"/>
          <w:szCs w:val="28"/>
          <w:lang w:val="es-ES_tradnl"/>
        </w:rPr>
        <w:t>no se configuró la excepción del numeral 1 del artículo 105 del CPACA que excluye del marco de competencia de la Jurisdicción de lo Contencioso Administrativo a aquellos conflictos en donde una entidad pública financiera sea parte y haya actuado en el “giro ordinario de sus negocios”, pues</w:t>
      </w:r>
      <w:r w:rsidRPr="001B7B93">
        <w:rPr>
          <w:rFonts w:ascii="Times New Roman" w:hAnsi="Times New Roman" w:cs="Times New Roman"/>
          <w:sz w:val="28"/>
          <w:szCs w:val="28"/>
        </w:rPr>
        <w:t xml:space="preserve"> </w:t>
      </w:r>
      <w:proofErr w:type="spellStart"/>
      <w:r w:rsidRPr="001B7B93">
        <w:rPr>
          <w:rFonts w:ascii="Times New Roman" w:hAnsi="Times New Roman" w:cs="Times New Roman"/>
          <w:sz w:val="28"/>
          <w:szCs w:val="28"/>
        </w:rPr>
        <w:t>ENTerritorio</w:t>
      </w:r>
      <w:proofErr w:type="spellEnd"/>
      <w:r w:rsidRPr="001B7B93">
        <w:rPr>
          <w:rFonts w:ascii="Times New Roman" w:hAnsi="Times New Roman" w:cs="Times New Roman"/>
          <w:sz w:val="28"/>
          <w:szCs w:val="28"/>
        </w:rPr>
        <w:t xml:space="preserve"> es una entidad financiera de derecho público que funge como parte </w:t>
      </w:r>
      <w:r w:rsidRPr="001B7B93">
        <w:rPr>
          <w:rFonts w:ascii="Times New Roman" w:hAnsi="Times New Roman" w:cs="Times New Roman"/>
          <w:i/>
          <w:iCs/>
          <w:sz w:val="28"/>
          <w:szCs w:val="28"/>
        </w:rPr>
        <w:t>demandante</w:t>
      </w:r>
      <w:r w:rsidRPr="001B7B93">
        <w:rPr>
          <w:rFonts w:ascii="Times New Roman" w:hAnsi="Times New Roman" w:cs="Times New Roman"/>
          <w:sz w:val="28"/>
          <w:szCs w:val="28"/>
        </w:rPr>
        <w:t xml:space="preserve"> en el proceso, al haber interpuesto el medio de control de controversias contractuales. </w:t>
      </w:r>
      <w:r w:rsidRPr="001B7B93">
        <w:rPr>
          <w:rFonts w:ascii="Times New Roman" w:hAnsi="Times New Roman" w:cs="Times New Roman"/>
          <w:i/>
          <w:sz w:val="28"/>
          <w:szCs w:val="28"/>
        </w:rPr>
        <w:t>Segunda</w:t>
      </w:r>
      <w:r w:rsidRPr="001B7B93">
        <w:rPr>
          <w:rFonts w:ascii="Times New Roman" w:hAnsi="Times New Roman" w:cs="Times New Roman"/>
          <w:sz w:val="28"/>
          <w:szCs w:val="28"/>
        </w:rPr>
        <w:t xml:space="preserve">, la demanda se fundamenta en un posible incumplimiento de un contrato interadministrativo, que es de naturaleza estatal. </w:t>
      </w:r>
    </w:p>
    <w:p w14:paraId="743100F6" w14:textId="77777777" w:rsidR="00000000" w:rsidRPr="001B7B93" w:rsidRDefault="00000000" w:rsidP="00344E6F">
      <w:pPr>
        <w:shd w:val="clear" w:color="auto" w:fill="FFFFFF"/>
        <w:spacing w:after="0" w:line="240" w:lineRule="auto"/>
        <w:ind w:right="23"/>
        <w:contextualSpacing/>
        <w:jc w:val="both"/>
        <w:rPr>
          <w:rFonts w:ascii="Times New Roman" w:hAnsi="Times New Roman" w:cs="Times New Roman"/>
          <w:sz w:val="28"/>
          <w:szCs w:val="28"/>
          <w:lang w:val="es-ES"/>
        </w:rPr>
      </w:pPr>
    </w:p>
    <w:p w14:paraId="16FECCF0" w14:textId="77777777" w:rsidR="00000000" w:rsidRPr="001B7B93" w:rsidRDefault="001B7B93" w:rsidP="00635B43">
      <w:pPr>
        <w:numPr>
          <w:ilvl w:val="0"/>
          <w:numId w:val="6"/>
        </w:numPr>
        <w:shd w:val="clear" w:color="auto" w:fill="FFFFFF"/>
        <w:spacing w:after="0" w:line="240" w:lineRule="auto"/>
        <w:ind w:left="0" w:right="23" w:firstLine="0"/>
        <w:contextualSpacing/>
        <w:jc w:val="both"/>
        <w:rPr>
          <w:rFonts w:ascii="Times New Roman" w:hAnsi="Times New Roman" w:cs="Times New Roman"/>
          <w:sz w:val="28"/>
          <w:szCs w:val="28"/>
        </w:rPr>
      </w:pPr>
      <w:r w:rsidRPr="001B7B93">
        <w:rPr>
          <w:rFonts w:ascii="Times New Roman" w:hAnsi="Times New Roman" w:cs="Times New Roman"/>
          <w:sz w:val="28"/>
          <w:szCs w:val="28"/>
          <w:lang w:val="es-ES"/>
        </w:rPr>
        <w:lastRenderedPageBreak/>
        <w:t xml:space="preserve">En este caso, al igual que en las demás providencias referenciadas en el Auto 2543 de 2023, acompañé la decisión en tanto refleja la posición mayoritaria que se ha ido afianzando en decisiones pasadas y porque, además, los supuestos de hecho encajan dentro de la norma usada para definir el conflicto de jurisdicciones (numeral 2 del artículo 104 del CPACA). Sin embargo, con el ánimo de nutrir la discusión, la Sala </w:t>
      </w:r>
      <w:r w:rsidRPr="001B7B93">
        <w:rPr>
          <w:rFonts w:ascii="Times New Roman" w:hAnsi="Times New Roman" w:cs="Times New Roman"/>
          <w:sz w:val="28"/>
          <w:szCs w:val="28"/>
        </w:rPr>
        <w:t xml:space="preserve">Plena debió haber expuesto las diferentes providencias emitidas por esta misma Corporación y por el Consejo de Estado que han dado una lectura alterna a la excepción prevista en el numeral 1 del artículo 105 del CPACA. </w:t>
      </w:r>
    </w:p>
    <w:p w14:paraId="4808D87F" w14:textId="77777777" w:rsidR="00000000" w:rsidRPr="001B7B93" w:rsidRDefault="00000000" w:rsidP="008A0F04">
      <w:pPr>
        <w:shd w:val="clear" w:color="auto" w:fill="FFFFFF"/>
        <w:spacing w:after="0" w:line="240" w:lineRule="auto"/>
        <w:ind w:right="23"/>
        <w:contextualSpacing/>
        <w:jc w:val="both"/>
        <w:rPr>
          <w:rFonts w:ascii="Times New Roman" w:hAnsi="Times New Roman" w:cs="Times New Roman"/>
          <w:sz w:val="28"/>
          <w:szCs w:val="28"/>
        </w:rPr>
      </w:pPr>
    </w:p>
    <w:p w14:paraId="16665AA7" w14:textId="77777777" w:rsidR="00000000" w:rsidRPr="001B7B93" w:rsidRDefault="001B7B93" w:rsidP="00635B43">
      <w:pPr>
        <w:numPr>
          <w:ilvl w:val="0"/>
          <w:numId w:val="6"/>
        </w:numPr>
        <w:shd w:val="clear" w:color="auto" w:fill="FFFFFF"/>
        <w:spacing w:after="0" w:line="240" w:lineRule="auto"/>
        <w:ind w:left="0" w:right="23" w:firstLine="0"/>
        <w:contextualSpacing/>
        <w:jc w:val="both"/>
        <w:rPr>
          <w:rFonts w:ascii="Times New Roman" w:hAnsi="Times New Roman" w:cs="Times New Roman"/>
          <w:sz w:val="28"/>
          <w:szCs w:val="28"/>
        </w:rPr>
      </w:pPr>
      <w:r w:rsidRPr="001B7B93">
        <w:rPr>
          <w:rFonts w:ascii="Times New Roman" w:hAnsi="Times New Roman" w:cs="Times New Roman"/>
          <w:sz w:val="28"/>
          <w:szCs w:val="28"/>
        </w:rPr>
        <w:t xml:space="preserve">En efecto, si bien en el Auto 2543 de 2023 la Sala Plena siguió la regla de interpretación prevista en el Auto 429 de 2023, este alcance podría presentar tensiones con el entendimiento establecido en otros autos proferidos por esta misma Corporación en casos similares en los que, para aplicar la citada excepción, no se ha exigido que la entidad pública financiera sea la parte pasiva del conflicto; pues la calidad de demandada o demandante sería irrelevante. Aunado a ello, la interpretación acogida en el Auto 2543 tampoco se ha armonizado con el entendimiento del Consejo de Estado respecto al “giro ordinario de los negocios”, como paso a exponer.  </w:t>
      </w:r>
    </w:p>
    <w:p w14:paraId="6FB07C53" w14:textId="77777777" w:rsidR="00000000" w:rsidRPr="001B7B93" w:rsidRDefault="00000000" w:rsidP="008A0F04">
      <w:pPr>
        <w:shd w:val="clear" w:color="auto" w:fill="FFFFFF"/>
        <w:spacing w:after="0" w:line="240" w:lineRule="auto"/>
        <w:ind w:right="23"/>
        <w:contextualSpacing/>
        <w:jc w:val="both"/>
        <w:rPr>
          <w:rFonts w:ascii="Times New Roman" w:hAnsi="Times New Roman" w:cs="Times New Roman"/>
          <w:sz w:val="28"/>
          <w:szCs w:val="28"/>
        </w:rPr>
      </w:pPr>
    </w:p>
    <w:p w14:paraId="609E7D2D" w14:textId="77777777" w:rsidR="00000000" w:rsidRPr="001B7B93" w:rsidRDefault="001B7B93" w:rsidP="008A0F04">
      <w:pPr>
        <w:shd w:val="clear" w:color="auto" w:fill="FFFFFF"/>
        <w:spacing w:after="0" w:line="240" w:lineRule="auto"/>
        <w:ind w:left="567" w:right="23"/>
        <w:contextualSpacing/>
        <w:jc w:val="both"/>
        <w:rPr>
          <w:rFonts w:ascii="Times New Roman" w:hAnsi="Times New Roman" w:cs="Times New Roman"/>
          <w:b/>
          <w:i/>
          <w:iCs/>
          <w:color w:val="000000" w:themeColor="text1"/>
          <w:sz w:val="28"/>
          <w:szCs w:val="28"/>
          <w:lang w:eastAsia="es-ES"/>
        </w:rPr>
      </w:pPr>
      <w:r w:rsidRPr="001B7B93">
        <w:rPr>
          <w:rFonts w:ascii="Times New Roman" w:hAnsi="Times New Roman" w:cs="Times New Roman"/>
          <w:b/>
          <w:i/>
          <w:sz w:val="28"/>
          <w:szCs w:val="28"/>
        </w:rPr>
        <w:t xml:space="preserve">La irrelevancia de que la entidad pública financiera sea la demandada o demandante, a efectos de configurar la excepción del numeral 1 del artículo 105 del CPACA </w:t>
      </w:r>
    </w:p>
    <w:p w14:paraId="3B351F75" w14:textId="77777777" w:rsidR="00000000" w:rsidRPr="001B7B93" w:rsidRDefault="00000000" w:rsidP="008A0F04">
      <w:pPr>
        <w:shd w:val="clear" w:color="auto" w:fill="FFFFFF"/>
        <w:spacing w:after="0" w:line="240" w:lineRule="auto"/>
        <w:ind w:right="23"/>
        <w:contextualSpacing/>
        <w:jc w:val="both"/>
        <w:rPr>
          <w:rFonts w:ascii="Times New Roman" w:hAnsi="Times New Roman" w:cs="Times New Roman"/>
          <w:sz w:val="28"/>
          <w:szCs w:val="28"/>
        </w:rPr>
      </w:pPr>
    </w:p>
    <w:p w14:paraId="0004ABDE" w14:textId="77777777" w:rsidR="00000000" w:rsidRPr="001B7B93" w:rsidRDefault="001B7B93" w:rsidP="00C447BC">
      <w:pPr>
        <w:numPr>
          <w:ilvl w:val="0"/>
          <w:numId w:val="6"/>
        </w:numPr>
        <w:shd w:val="clear" w:color="auto" w:fill="FFFFFF"/>
        <w:spacing w:after="0" w:line="240" w:lineRule="auto"/>
        <w:ind w:left="0" w:right="23" w:firstLine="0"/>
        <w:contextualSpacing/>
        <w:jc w:val="both"/>
        <w:rPr>
          <w:rFonts w:ascii="Times New Roman" w:hAnsi="Times New Roman" w:cs="Times New Roman"/>
          <w:color w:val="000000" w:themeColor="text1"/>
          <w:sz w:val="28"/>
          <w:szCs w:val="28"/>
        </w:rPr>
      </w:pPr>
      <w:r w:rsidRPr="001B7B93">
        <w:rPr>
          <w:rFonts w:ascii="Times New Roman" w:hAnsi="Times New Roman" w:cs="Times New Roman"/>
          <w:sz w:val="28"/>
          <w:szCs w:val="28"/>
        </w:rPr>
        <w:t>En relación con este punto, destaco que, entre otros, en el Auto 766 de 2023</w:t>
      </w:r>
      <w:r w:rsidRPr="001B7B93">
        <w:rPr>
          <w:rFonts w:ascii="Times New Roman" w:hAnsi="Times New Roman" w:cs="Times New Roman"/>
          <w:sz w:val="28"/>
          <w:szCs w:val="28"/>
          <w:vertAlign w:val="superscript"/>
        </w:rPr>
        <w:footnoteReference w:id="24"/>
      </w:r>
      <w:r w:rsidRPr="001B7B93">
        <w:rPr>
          <w:rFonts w:ascii="Times New Roman" w:hAnsi="Times New Roman" w:cs="Times New Roman"/>
          <w:sz w:val="28"/>
          <w:szCs w:val="28"/>
        </w:rPr>
        <w:t xml:space="preserve"> la Corte Constitucional indicó que no es </w:t>
      </w:r>
      <w:r w:rsidRPr="001B7B93">
        <w:rPr>
          <w:rFonts w:ascii="Times New Roman" w:hAnsi="Times New Roman" w:cs="Times New Roman"/>
          <w:color w:val="000000" w:themeColor="text1"/>
          <w:sz w:val="28"/>
          <w:szCs w:val="28"/>
        </w:rPr>
        <w:t>relevante si “</w:t>
      </w:r>
      <w:r w:rsidRPr="001B7B93">
        <w:rPr>
          <w:rFonts w:ascii="Times New Roman" w:hAnsi="Times New Roman" w:cs="Times New Roman"/>
          <w:iCs/>
          <w:color w:val="000000" w:themeColor="text1"/>
          <w:sz w:val="28"/>
          <w:szCs w:val="28"/>
          <w:u w:val="single"/>
          <w:shd w:val="clear" w:color="auto" w:fill="FFFFFF"/>
        </w:rPr>
        <w:t>la entidad pública de carácter financiero sea la parte demandada</w:t>
      </w:r>
      <w:r w:rsidRPr="001B7B93">
        <w:rPr>
          <w:rFonts w:ascii="Times New Roman" w:hAnsi="Times New Roman" w:cs="Times New Roman"/>
          <w:iCs/>
          <w:color w:val="000000" w:themeColor="text1"/>
          <w:sz w:val="28"/>
          <w:szCs w:val="28"/>
          <w:u w:val="single"/>
        </w:rPr>
        <w:t xml:space="preserve"> </w:t>
      </w:r>
      <w:r w:rsidRPr="001B7B93">
        <w:rPr>
          <w:rFonts w:ascii="Times New Roman" w:hAnsi="Times New Roman" w:cs="Times New Roman"/>
          <w:iCs/>
          <w:color w:val="000000" w:themeColor="text1"/>
          <w:sz w:val="28"/>
          <w:szCs w:val="28"/>
          <w:u w:val="single"/>
          <w:shd w:val="clear" w:color="auto" w:fill="FFFFFF"/>
        </w:rPr>
        <w:t>o la parte demandante dentro del proceso,</w:t>
      </w:r>
      <w:r w:rsidRPr="001B7B93">
        <w:rPr>
          <w:rFonts w:ascii="Times New Roman" w:hAnsi="Times New Roman" w:cs="Times New Roman"/>
          <w:iCs/>
          <w:color w:val="000000" w:themeColor="text1"/>
          <w:sz w:val="28"/>
          <w:szCs w:val="28"/>
          <w:shd w:val="clear" w:color="auto" w:fill="FFFFFF"/>
        </w:rPr>
        <w:t xml:space="preserve"> por cuanto el artículo 105.1 de la Ley 1437 de 2011 </w:t>
      </w:r>
      <w:r w:rsidRPr="001B7B93">
        <w:rPr>
          <w:rFonts w:ascii="Times New Roman" w:hAnsi="Times New Roman" w:cs="Times New Roman"/>
          <w:iCs/>
          <w:color w:val="000000" w:themeColor="text1"/>
          <w:sz w:val="28"/>
          <w:szCs w:val="28"/>
          <w:u w:val="single"/>
          <w:shd w:val="clear" w:color="auto" w:fill="FFFFFF"/>
        </w:rPr>
        <w:t>no diferencia si la entidad actúa como parte activa o pasiva en el mismo</w:t>
      </w:r>
      <w:r w:rsidRPr="001B7B93">
        <w:rPr>
          <w:rFonts w:ascii="Times New Roman" w:hAnsi="Times New Roman" w:cs="Times New Roman"/>
          <w:iCs/>
          <w:color w:val="000000" w:themeColor="text1"/>
          <w:sz w:val="28"/>
          <w:szCs w:val="28"/>
          <w:shd w:val="clear" w:color="auto" w:fill="FFFFFF"/>
        </w:rPr>
        <w:t>”.</w:t>
      </w:r>
      <w:r w:rsidRPr="001B7B93">
        <w:rPr>
          <w:rFonts w:ascii="Times New Roman" w:hAnsi="Times New Roman" w:cs="Times New Roman"/>
          <w:color w:val="000000" w:themeColor="text1"/>
          <w:sz w:val="28"/>
          <w:szCs w:val="28"/>
          <w:shd w:val="clear" w:color="auto" w:fill="FFFFFF"/>
        </w:rPr>
        <w:t xml:space="preserve"> Esta lectura tiene sustento en la jurisprudencia del Consejo de Estado que, en decisión del 6 de mayo de 2021 indicó que “[</w:t>
      </w:r>
      <w:r w:rsidRPr="001B7B93">
        <w:rPr>
          <w:rFonts w:ascii="Times New Roman" w:hAnsi="Times New Roman" w:cs="Times New Roman"/>
          <w:color w:val="000000" w:themeColor="text1"/>
          <w:sz w:val="28"/>
          <w:szCs w:val="28"/>
          <w:lang w:val="es-ES"/>
        </w:rPr>
        <w:t>D]e conformidad con la norma transcrita, se tiene que a la Jurisdicción de lo Contencioso Administrativo no le corresponde el conocimiento de las controversias originadas en contratos, cuando se configuren los siguientes tres supuestos: i) </w:t>
      </w:r>
      <w:r w:rsidRPr="001B7B93">
        <w:rPr>
          <w:rFonts w:ascii="Times New Roman" w:hAnsi="Times New Roman" w:cs="Times New Roman"/>
          <w:color w:val="000000" w:themeColor="text1"/>
          <w:sz w:val="28"/>
          <w:szCs w:val="28"/>
        </w:rPr>
        <w:t>uno de los extremos de la relación negocial sea una institución de carácter financiero; </w:t>
      </w:r>
      <w:proofErr w:type="spellStart"/>
      <w:r w:rsidRPr="001B7B93">
        <w:rPr>
          <w:rFonts w:ascii="Times New Roman" w:hAnsi="Times New Roman" w:cs="Times New Roman"/>
          <w:color w:val="000000" w:themeColor="text1"/>
          <w:sz w:val="28"/>
          <w:szCs w:val="28"/>
        </w:rPr>
        <w:t>ii</w:t>
      </w:r>
      <w:proofErr w:type="spellEnd"/>
      <w:r w:rsidRPr="001B7B93">
        <w:rPr>
          <w:rFonts w:ascii="Times New Roman" w:hAnsi="Times New Roman" w:cs="Times New Roman"/>
          <w:color w:val="000000" w:themeColor="text1"/>
          <w:sz w:val="28"/>
          <w:szCs w:val="28"/>
        </w:rPr>
        <w:t>) dicha institución sea vigilada por la Superintendencia Financiera y, </w:t>
      </w:r>
      <w:proofErr w:type="spellStart"/>
      <w:r w:rsidRPr="001B7B93">
        <w:rPr>
          <w:rFonts w:ascii="Times New Roman" w:hAnsi="Times New Roman" w:cs="Times New Roman"/>
          <w:color w:val="000000" w:themeColor="text1"/>
          <w:sz w:val="28"/>
          <w:szCs w:val="28"/>
        </w:rPr>
        <w:t>iii</w:t>
      </w:r>
      <w:proofErr w:type="spellEnd"/>
      <w:r w:rsidRPr="001B7B93">
        <w:rPr>
          <w:rFonts w:ascii="Times New Roman" w:hAnsi="Times New Roman" w:cs="Times New Roman"/>
          <w:color w:val="000000" w:themeColor="text1"/>
          <w:sz w:val="28"/>
          <w:szCs w:val="28"/>
        </w:rPr>
        <w:t xml:space="preserve">) la actuación cuestionada corresponda al giro ordinario de sus </w:t>
      </w:r>
      <w:r w:rsidRPr="001B7B93">
        <w:rPr>
          <w:rFonts w:ascii="Times New Roman" w:hAnsi="Times New Roman" w:cs="Times New Roman"/>
          <w:color w:val="000000" w:themeColor="text1"/>
          <w:sz w:val="28"/>
          <w:szCs w:val="28"/>
        </w:rPr>
        <w:lastRenderedPageBreak/>
        <w:t>negocios</w:t>
      </w:r>
      <w:r w:rsidRPr="001B7B93">
        <w:rPr>
          <w:rFonts w:ascii="Times New Roman" w:hAnsi="Times New Roman" w:cs="Times New Roman"/>
          <w:iCs/>
          <w:color w:val="000000" w:themeColor="text1"/>
          <w:sz w:val="28"/>
          <w:szCs w:val="28"/>
          <w:vertAlign w:val="superscript"/>
        </w:rPr>
        <w:footnoteReference w:id="25"/>
      </w:r>
      <w:bookmarkStart w:id="2" w:name="_Hlk70948482"/>
      <w:r w:rsidRPr="001B7B93">
        <w:rPr>
          <w:rFonts w:ascii="Times New Roman" w:hAnsi="Times New Roman" w:cs="Times New Roman"/>
          <w:color w:val="000000" w:themeColor="text1"/>
          <w:sz w:val="28"/>
          <w:szCs w:val="28"/>
        </w:rPr>
        <w:t>”.</w:t>
      </w:r>
      <w:r w:rsidRPr="001B7B93">
        <w:rPr>
          <w:rFonts w:ascii="Times New Roman" w:hAnsi="Times New Roman" w:cs="Times New Roman"/>
          <w:i/>
          <w:color w:val="000000" w:themeColor="text1"/>
          <w:sz w:val="28"/>
          <w:szCs w:val="28"/>
        </w:rPr>
        <w:t xml:space="preserve"> </w:t>
      </w:r>
      <w:r w:rsidRPr="001B7B93">
        <w:rPr>
          <w:rFonts w:ascii="Times New Roman" w:hAnsi="Times New Roman" w:cs="Times New Roman"/>
          <w:color w:val="000000" w:themeColor="text1"/>
          <w:sz w:val="28"/>
          <w:szCs w:val="28"/>
        </w:rPr>
        <w:t>Esta misma interpretación del numeral 1 del artículo 1095 del CPACA se aplicó en el Auto 1079 de 2023</w:t>
      </w:r>
      <w:r w:rsidRPr="001B7B93">
        <w:rPr>
          <w:rFonts w:ascii="Times New Roman" w:hAnsi="Times New Roman" w:cs="Times New Roman"/>
          <w:color w:val="000000" w:themeColor="text1"/>
          <w:sz w:val="28"/>
          <w:szCs w:val="28"/>
          <w:vertAlign w:val="superscript"/>
        </w:rPr>
        <w:footnoteReference w:id="26"/>
      </w:r>
      <w:r w:rsidRPr="001B7B93">
        <w:rPr>
          <w:rFonts w:ascii="Times New Roman" w:hAnsi="Times New Roman" w:cs="Times New Roman"/>
          <w:color w:val="000000" w:themeColor="text1"/>
          <w:sz w:val="28"/>
          <w:szCs w:val="28"/>
        </w:rPr>
        <w:t>, proferido por esta Corporación</w:t>
      </w:r>
      <w:r w:rsidRPr="001B7B93">
        <w:rPr>
          <w:rFonts w:ascii="Times New Roman" w:hAnsi="Times New Roman" w:cs="Times New Roman"/>
          <w:sz w:val="28"/>
          <w:szCs w:val="28"/>
        </w:rPr>
        <w:t>.</w:t>
      </w:r>
    </w:p>
    <w:p w14:paraId="4E420764" w14:textId="77777777" w:rsidR="00000000" w:rsidRPr="001B7B93" w:rsidRDefault="00000000" w:rsidP="008A0F04">
      <w:pPr>
        <w:shd w:val="clear" w:color="auto" w:fill="FFFFFF"/>
        <w:spacing w:after="0" w:line="240" w:lineRule="auto"/>
        <w:ind w:right="23"/>
        <w:contextualSpacing/>
        <w:jc w:val="both"/>
        <w:rPr>
          <w:rFonts w:ascii="Times New Roman" w:hAnsi="Times New Roman" w:cs="Times New Roman"/>
          <w:color w:val="000000" w:themeColor="text1"/>
          <w:sz w:val="28"/>
          <w:szCs w:val="28"/>
        </w:rPr>
      </w:pPr>
    </w:p>
    <w:p w14:paraId="56225375" w14:textId="77777777" w:rsidR="00000000" w:rsidRPr="001B7B93" w:rsidRDefault="001B7B93" w:rsidP="008A0F04">
      <w:pPr>
        <w:numPr>
          <w:ilvl w:val="0"/>
          <w:numId w:val="6"/>
        </w:numPr>
        <w:shd w:val="clear" w:color="auto" w:fill="FFFFFF"/>
        <w:spacing w:after="0" w:line="240" w:lineRule="auto"/>
        <w:ind w:left="0" w:right="23" w:firstLine="0"/>
        <w:contextualSpacing/>
        <w:jc w:val="both"/>
        <w:rPr>
          <w:rFonts w:ascii="Times New Roman" w:hAnsi="Times New Roman" w:cs="Times New Roman"/>
          <w:color w:val="000000" w:themeColor="text1"/>
          <w:sz w:val="28"/>
          <w:szCs w:val="28"/>
        </w:rPr>
      </w:pPr>
      <w:r w:rsidRPr="001B7B93">
        <w:rPr>
          <w:rFonts w:ascii="Times New Roman" w:hAnsi="Times New Roman" w:cs="Times New Roman"/>
          <w:color w:val="000000" w:themeColor="text1"/>
          <w:sz w:val="28"/>
          <w:szCs w:val="28"/>
        </w:rPr>
        <w:t xml:space="preserve">Sin embargo, en el Auto 2543 de 2023, retomando la regla de decisión del Auto 429 de 2022, se indica que </w:t>
      </w:r>
      <w:r w:rsidRPr="001B7B93">
        <w:rPr>
          <w:rFonts w:ascii="Times New Roman" w:hAnsi="Times New Roman" w:cs="Times New Roman"/>
          <w:iCs/>
          <w:color w:val="000000" w:themeColor="text1"/>
          <w:sz w:val="28"/>
          <w:szCs w:val="28"/>
          <w:lang w:eastAsia="es-ES"/>
        </w:rPr>
        <w:t xml:space="preserve">no se activa la regla de exclusión del numeral 1 del artículo 105 del CPACA al afirmar que, pese a que </w:t>
      </w:r>
      <w:proofErr w:type="spellStart"/>
      <w:r w:rsidRPr="001B7B93">
        <w:rPr>
          <w:rFonts w:ascii="Times New Roman" w:hAnsi="Times New Roman" w:cs="Times New Roman"/>
          <w:iCs/>
          <w:color w:val="000000" w:themeColor="text1"/>
          <w:sz w:val="28"/>
          <w:szCs w:val="28"/>
          <w:lang w:eastAsia="es-ES"/>
        </w:rPr>
        <w:t>ENTerritorio</w:t>
      </w:r>
      <w:proofErr w:type="spellEnd"/>
      <w:r w:rsidRPr="001B7B93">
        <w:rPr>
          <w:rFonts w:ascii="Times New Roman" w:hAnsi="Times New Roman" w:cs="Times New Roman"/>
          <w:iCs/>
          <w:color w:val="000000" w:themeColor="text1"/>
          <w:sz w:val="28"/>
          <w:szCs w:val="28"/>
          <w:lang w:eastAsia="es-ES"/>
        </w:rPr>
        <w:t xml:space="preserve"> es una entidad público financiera,</w:t>
      </w:r>
      <w:r w:rsidRPr="001B7B93">
        <w:rPr>
          <w:rFonts w:ascii="Times New Roman" w:hAnsi="Times New Roman" w:cs="Times New Roman"/>
          <w:color w:val="000000" w:themeColor="text1"/>
          <w:sz w:val="28"/>
          <w:szCs w:val="28"/>
        </w:rPr>
        <w:t xml:space="preserve"> </w:t>
      </w:r>
      <w:r w:rsidRPr="001B7B93">
        <w:rPr>
          <w:rFonts w:ascii="Times New Roman" w:hAnsi="Times New Roman" w:cs="Times New Roman"/>
          <w:i/>
          <w:iCs/>
          <w:color w:val="000000" w:themeColor="text1"/>
          <w:sz w:val="28"/>
          <w:szCs w:val="28"/>
        </w:rPr>
        <w:t>“funge como parte demandante en el proceso”</w:t>
      </w:r>
      <w:r w:rsidRPr="001B7B93">
        <w:rPr>
          <w:rFonts w:ascii="Times New Roman" w:hAnsi="Times New Roman" w:cs="Times New Roman"/>
          <w:color w:val="000000" w:themeColor="text1"/>
          <w:sz w:val="28"/>
          <w:szCs w:val="28"/>
        </w:rPr>
        <w:t xml:space="preserve"> (párrafo 14 del caso concreto). Por lo anterior, estimo en que próximas oportunidades la Corte deberá ser más explícita en cómo armoniza este alcance con el que ha dado en otros asuntos a la misma excepción.</w:t>
      </w:r>
    </w:p>
    <w:bookmarkEnd w:id="2"/>
    <w:p w14:paraId="7DE885D1" w14:textId="77777777" w:rsidR="00000000" w:rsidRPr="001B7B93" w:rsidRDefault="00000000" w:rsidP="008A0F04">
      <w:pPr>
        <w:shd w:val="clear" w:color="auto" w:fill="FFFFFF"/>
        <w:spacing w:after="0" w:line="240" w:lineRule="auto"/>
        <w:ind w:right="23"/>
        <w:contextualSpacing/>
        <w:jc w:val="both"/>
        <w:rPr>
          <w:rFonts w:ascii="Times New Roman" w:hAnsi="Times New Roman" w:cs="Times New Roman"/>
          <w:b/>
          <w:i/>
          <w:sz w:val="28"/>
          <w:szCs w:val="28"/>
        </w:rPr>
      </w:pPr>
    </w:p>
    <w:p w14:paraId="5C62ACB8" w14:textId="77777777" w:rsidR="00000000" w:rsidRPr="001B7B93" w:rsidRDefault="001B7B93" w:rsidP="008A0F04">
      <w:pPr>
        <w:shd w:val="clear" w:color="auto" w:fill="FFFFFF"/>
        <w:spacing w:after="0" w:line="240" w:lineRule="auto"/>
        <w:ind w:left="454" w:right="23"/>
        <w:contextualSpacing/>
        <w:jc w:val="both"/>
        <w:rPr>
          <w:rFonts w:ascii="Times New Roman" w:hAnsi="Times New Roman" w:cs="Times New Roman"/>
          <w:b/>
          <w:i/>
          <w:sz w:val="28"/>
          <w:szCs w:val="28"/>
        </w:rPr>
      </w:pPr>
      <w:r w:rsidRPr="001B7B93">
        <w:rPr>
          <w:rFonts w:ascii="Times New Roman" w:hAnsi="Times New Roman" w:cs="Times New Roman"/>
          <w:b/>
          <w:i/>
          <w:sz w:val="28"/>
          <w:szCs w:val="28"/>
        </w:rPr>
        <w:t>El concepto del “giro ordinario de los negocios”</w:t>
      </w:r>
    </w:p>
    <w:p w14:paraId="5088EA2E" w14:textId="77777777" w:rsidR="00000000" w:rsidRPr="001B7B93" w:rsidRDefault="00000000" w:rsidP="00305298">
      <w:pPr>
        <w:shd w:val="clear" w:color="auto" w:fill="FFFFFF"/>
        <w:spacing w:after="0" w:line="240" w:lineRule="auto"/>
        <w:ind w:right="23"/>
        <w:contextualSpacing/>
        <w:jc w:val="both"/>
        <w:rPr>
          <w:rFonts w:ascii="Times New Roman" w:hAnsi="Times New Roman" w:cs="Times New Roman"/>
          <w:sz w:val="28"/>
          <w:szCs w:val="28"/>
        </w:rPr>
      </w:pPr>
    </w:p>
    <w:p w14:paraId="2F8CD0A9" w14:textId="77777777" w:rsidR="00000000" w:rsidRPr="001B7B93" w:rsidRDefault="001B7B93" w:rsidP="00067135">
      <w:pPr>
        <w:numPr>
          <w:ilvl w:val="0"/>
          <w:numId w:val="6"/>
        </w:numPr>
        <w:shd w:val="clear" w:color="auto" w:fill="FFFFFF"/>
        <w:spacing w:after="0" w:line="240" w:lineRule="auto"/>
        <w:ind w:left="0" w:right="23" w:firstLine="0"/>
        <w:contextualSpacing/>
        <w:jc w:val="both"/>
        <w:rPr>
          <w:rFonts w:ascii="Times New Roman" w:hAnsi="Times New Roman" w:cs="Times New Roman"/>
          <w:sz w:val="28"/>
          <w:szCs w:val="28"/>
        </w:rPr>
      </w:pPr>
      <w:r w:rsidRPr="001B7B93">
        <w:rPr>
          <w:rFonts w:ascii="Times New Roman" w:hAnsi="Times New Roman" w:cs="Times New Roman"/>
          <w:sz w:val="28"/>
          <w:szCs w:val="28"/>
        </w:rPr>
        <w:t xml:space="preserve">El citado numeral 1 del artículo 105 del CPACA prescribe que la Jurisdicción de lo Contencioso Administrativo no conocerá de </w:t>
      </w:r>
      <w:r w:rsidRPr="001B7B93">
        <w:rPr>
          <w:rFonts w:ascii="Times New Roman" w:hAnsi="Times New Roman" w:cs="Times New Roman"/>
          <w:iCs/>
          <w:sz w:val="28"/>
          <w:szCs w:val="28"/>
        </w:rPr>
        <w:t xml:space="preserve">“[L]as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cuando correspondan al </w:t>
      </w:r>
      <w:r w:rsidRPr="001B7B93">
        <w:rPr>
          <w:rFonts w:ascii="Times New Roman" w:hAnsi="Times New Roman" w:cs="Times New Roman"/>
          <w:b/>
          <w:iCs/>
          <w:sz w:val="28"/>
          <w:szCs w:val="28"/>
        </w:rPr>
        <w:t>giro ordinario</w:t>
      </w:r>
      <w:r w:rsidRPr="001B7B93">
        <w:rPr>
          <w:rFonts w:ascii="Times New Roman" w:hAnsi="Times New Roman" w:cs="Times New Roman"/>
          <w:iCs/>
          <w:sz w:val="28"/>
          <w:szCs w:val="28"/>
        </w:rPr>
        <w:t xml:space="preserve"> de los negocios de dichas entidades, incluyendo los procesos ejecutivos”. A su vez, </w:t>
      </w:r>
      <w:r w:rsidRPr="001B7B93">
        <w:rPr>
          <w:rFonts w:ascii="Times New Roman" w:hAnsi="Times New Roman" w:cs="Times New Roman"/>
          <w:sz w:val="28"/>
          <w:szCs w:val="28"/>
        </w:rPr>
        <w:t xml:space="preserve">el Consejo de Estado ha definido el giro ordinario de los negocios como </w:t>
      </w:r>
      <w:r w:rsidRPr="001B7B93">
        <w:rPr>
          <w:rFonts w:ascii="Times New Roman" w:hAnsi="Times New Roman" w:cs="Times New Roman"/>
          <w:iCs/>
          <w:sz w:val="28"/>
          <w:szCs w:val="28"/>
        </w:rPr>
        <w:t>“aquellas actividades para las cuales la entidad ha sido habilitada conforme a sus respectivos actos de creación, con el fin de gestionar y promover el desarrollo habitual de su objeto.</w:t>
      </w:r>
      <w:r w:rsidRPr="001B7B93">
        <w:rPr>
          <w:rFonts w:ascii="Times New Roman" w:hAnsi="Times New Roman" w:cs="Times New Roman"/>
          <w:iCs/>
          <w:sz w:val="28"/>
          <w:szCs w:val="28"/>
          <w:vertAlign w:val="superscript"/>
        </w:rPr>
        <w:footnoteReference w:id="27"/>
      </w:r>
      <w:r w:rsidRPr="001B7B93">
        <w:rPr>
          <w:rFonts w:ascii="Times New Roman" w:hAnsi="Times New Roman" w:cs="Times New Roman"/>
          <w:iCs/>
          <w:sz w:val="28"/>
          <w:szCs w:val="28"/>
        </w:rPr>
        <w:t>”</w:t>
      </w:r>
      <w:r w:rsidRPr="001B7B93">
        <w:rPr>
          <w:rFonts w:ascii="Times New Roman" w:hAnsi="Times New Roman" w:cs="Times New Roman"/>
          <w:i/>
          <w:sz w:val="28"/>
          <w:szCs w:val="28"/>
        </w:rPr>
        <w:t xml:space="preserve"> </w:t>
      </w:r>
      <w:r w:rsidRPr="001B7B93">
        <w:rPr>
          <w:rFonts w:ascii="Times New Roman" w:hAnsi="Times New Roman" w:cs="Times New Roman"/>
          <w:sz w:val="28"/>
          <w:szCs w:val="28"/>
        </w:rPr>
        <w:t xml:space="preserve">y ha </w:t>
      </w:r>
      <w:r w:rsidRPr="001B7B93">
        <w:rPr>
          <w:rFonts w:ascii="Times New Roman" w:hAnsi="Times New Roman" w:cs="Times New Roman"/>
          <w:color w:val="000000" w:themeColor="text1"/>
          <w:sz w:val="28"/>
          <w:szCs w:val="28"/>
          <w:lang w:val="es-ES"/>
        </w:rPr>
        <w:t>indicado que este concepto a</w:t>
      </w:r>
      <w:r w:rsidRPr="001B7B93">
        <w:rPr>
          <w:rFonts w:ascii="Times New Roman" w:hAnsi="Times New Roman" w:cs="Times New Roman"/>
          <w:color w:val="000000" w:themeColor="text1"/>
          <w:sz w:val="28"/>
          <w:szCs w:val="28"/>
          <w:shd w:val="clear" w:color="auto" w:fill="FFFFFF"/>
        </w:rPr>
        <w:t>barca los actos </w:t>
      </w:r>
      <w:r w:rsidRPr="001B7B93">
        <w:rPr>
          <w:rFonts w:ascii="Times New Roman" w:hAnsi="Times New Roman" w:cs="Times New Roman"/>
          <w:iCs/>
          <w:color w:val="000000" w:themeColor="text1"/>
          <w:sz w:val="28"/>
          <w:szCs w:val="28"/>
        </w:rPr>
        <w:t xml:space="preserve">que </w:t>
      </w:r>
      <w:r w:rsidRPr="001B7B93">
        <w:rPr>
          <w:rFonts w:ascii="Times New Roman" w:hAnsi="Times New Roman" w:cs="Times New Roman"/>
          <w:color w:val="000000" w:themeColor="text1"/>
          <w:sz w:val="28"/>
          <w:szCs w:val="28"/>
        </w:rPr>
        <w:t xml:space="preserve">«i) </w:t>
      </w:r>
      <w:r w:rsidRPr="001B7B93">
        <w:rPr>
          <w:rFonts w:ascii="Times New Roman" w:hAnsi="Times New Roman" w:cs="Times New Roman"/>
          <w:color w:val="000000" w:themeColor="text1"/>
          <w:sz w:val="28"/>
          <w:szCs w:val="28"/>
          <w:u w:val="single"/>
        </w:rPr>
        <w:t>guarden relación con el objeto social de la entidad pública</w:t>
      </w:r>
      <w:r w:rsidRPr="001B7B93">
        <w:rPr>
          <w:rFonts w:ascii="Times New Roman" w:hAnsi="Times New Roman" w:cs="Times New Roman"/>
          <w:color w:val="000000" w:themeColor="text1"/>
          <w:sz w:val="28"/>
          <w:szCs w:val="28"/>
        </w:rPr>
        <w:t xml:space="preserve"> de carácter financiero o con las funciones catalogadas como financieras en la ley –Estatuto Orgánico del Sistema Financiero- y </w:t>
      </w:r>
      <w:proofErr w:type="spellStart"/>
      <w:r w:rsidRPr="001B7B93">
        <w:rPr>
          <w:rFonts w:ascii="Times New Roman" w:hAnsi="Times New Roman" w:cs="Times New Roman"/>
          <w:color w:val="000000" w:themeColor="text1"/>
          <w:sz w:val="28"/>
          <w:szCs w:val="28"/>
        </w:rPr>
        <w:t>ii</w:t>
      </w:r>
      <w:proofErr w:type="spellEnd"/>
      <w:r w:rsidRPr="001B7B93">
        <w:rPr>
          <w:rFonts w:ascii="Times New Roman" w:hAnsi="Times New Roman" w:cs="Times New Roman"/>
          <w:color w:val="000000" w:themeColor="text1"/>
          <w:sz w:val="28"/>
          <w:szCs w:val="28"/>
        </w:rPr>
        <w:t xml:space="preserve">) </w:t>
      </w:r>
      <w:r w:rsidRPr="001B7B93">
        <w:rPr>
          <w:rFonts w:ascii="Times New Roman" w:hAnsi="Times New Roman" w:cs="Times New Roman"/>
          <w:color w:val="000000" w:themeColor="text1"/>
          <w:sz w:val="28"/>
          <w:szCs w:val="28"/>
          <w:u w:val="single"/>
        </w:rPr>
        <w:t>los que sean conexos al objeto social o actividad financiera</w:t>
      </w:r>
      <w:r w:rsidRPr="001B7B93">
        <w:rPr>
          <w:rFonts w:ascii="Times New Roman" w:hAnsi="Times New Roman" w:cs="Times New Roman"/>
          <w:color w:val="000000" w:themeColor="text1"/>
          <w:sz w:val="28"/>
          <w:szCs w:val="28"/>
        </w:rPr>
        <w:t xml:space="preserve"> determinada en la ley y tengan como finalidad el desarrollo o ejecución de los mismos</w:t>
      </w:r>
      <w:r w:rsidRPr="001B7B93">
        <w:rPr>
          <w:rFonts w:ascii="Times New Roman" w:hAnsi="Times New Roman" w:cs="Times New Roman"/>
          <w:color w:val="000000" w:themeColor="text1"/>
          <w:sz w:val="28"/>
          <w:szCs w:val="28"/>
          <w:vertAlign w:val="superscript"/>
        </w:rPr>
        <w:footnoteReference w:id="28"/>
      </w:r>
      <w:r w:rsidRPr="001B7B93">
        <w:rPr>
          <w:rFonts w:ascii="Times New Roman" w:hAnsi="Times New Roman" w:cs="Times New Roman"/>
          <w:color w:val="000000" w:themeColor="text1"/>
          <w:sz w:val="28"/>
          <w:szCs w:val="28"/>
        </w:rPr>
        <w:t>”.</w:t>
      </w:r>
      <w:r w:rsidRPr="001B7B93">
        <w:rPr>
          <w:rFonts w:ascii="Times New Roman" w:hAnsi="Times New Roman" w:cs="Times New Roman"/>
          <w:i/>
          <w:iCs/>
          <w:color w:val="000000" w:themeColor="text1"/>
          <w:sz w:val="28"/>
          <w:szCs w:val="28"/>
        </w:rPr>
        <w:t xml:space="preserve"> </w:t>
      </w:r>
    </w:p>
    <w:p w14:paraId="482DB717" w14:textId="77777777" w:rsidR="00000000" w:rsidRPr="001B7B93" w:rsidRDefault="00000000" w:rsidP="008A0F04">
      <w:pPr>
        <w:shd w:val="clear" w:color="auto" w:fill="FFFFFF"/>
        <w:spacing w:after="0" w:line="240" w:lineRule="auto"/>
        <w:ind w:right="23"/>
        <w:contextualSpacing/>
        <w:jc w:val="both"/>
        <w:rPr>
          <w:rFonts w:ascii="Times New Roman" w:hAnsi="Times New Roman" w:cs="Times New Roman"/>
          <w:sz w:val="28"/>
          <w:szCs w:val="28"/>
        </w:rPr>
      </w:pPr>
    </w:p>
    <w:p w14:paraId="1CD5C313" w14:textId="77777777" w:rsidR="00000000" w:rsidRPr="001B7B93" w:rsidRDefault="001B7B93" w:rsidP="008A0F04">
      <w:pPr>
        <w:numPr>
          <w:ilvl w:val="0"/>
          <w:numId w:val="6"/>
        </w:numPr>
        <w:shd w:val="clear" w:color="auto" w:fill="FFFFFF"/>
        <w:spacing w:after="0" w:line="240" w:lineRule="auto"/>
        <w:ind w:left="0" w:right="23" w:firstLine="0"/>
        <w:contextualSpacing/>
        <w:jc w:val="both"/>
        <w:rPr>
          <w:rFonts w:ascii="Times New Roman" w:hAnsi="Times New Roman" w:cs="Times New Roman"/>
          <w:sz w:val="28"/>
          <w:szCs w:val="28"/>
        </w:rPr>
      </w:pPr>
      <w:r w:rsidRPr="001B7B93">
        <w:rPr>
          <w:rFonts w:ascii="Times New Roman" w:hAnsi="Times New Roman" w:cs="Times New Roman"/>
          <w:sz w:val="28"/>
          <w:szCs w:val="28"/>
        </w:rPr>
        <w:lastRenderedPageBreak/>
        <w:t>Teniendo en cuenta lo anterior, si bien la lectura realizada en el Auto 2543 de 2023 sobre la excepción dispuesta en el numeral 1 del artículo 105 del CPACA es razonable y atiende a lo dicho también previamente por la Corporación (autos 429 de 2022</w:t>
      </w:r>
      <w:r w:rsidRPr="001B7B93">
        <w:rPr>
          <w:rFonts w:ascii="Times New Roman" w:hAnsi="Times New Roman" w:cs="Times New Roman"/>
          <w:sz w:val="28"/>
          <w:szCs w:val="28"/>
          <w:vertAlign w:val="superscript"/>
        </w:rPr>
        <w:footnoteReference w:id="29"/>
      </w:r>
      <w:r w:rsidRPr="001B7B93">
        <w:rPr>
          <w:rFonts w:ascii="Times New Roman" w:hAnsi="Times New Roman" w:cs="Times New Roman"/>
          <w:sz w:val="28"/>
          <w:szCs w:val="28"/>
        </w:rPr>
        <w:t xml:space="preserve"> y 295 de 2023</w:t>
      </w:r>
      <w:r w:rsidRPr="001B7B93">
        <w:rPr>
          <w:rFonts w:ascii="Times New Roman" w:hAnsi="Times New Roman" w:cs="Times New Roman"/>
          <w:sz w:val="28"/>
          <w:szCs w:val="28"/>
          <w:vertAlign w:val="superscript"/>
        </w:rPr>
        <w:footnoteReference w:id="30"/>
      </w:r>
      <w:r w:rsidRPr="001B7B93">
        <w:rPr>
          <w:rFonts w:ascii="Times New Roman" w:hAnsi="Times New Roman" w:cs="Times New Roman"/>
          <w:sz w:val="28"/>
          <w:szCs w:val="28"/>
        </w:rPr>
        <w:t xml:space="preserve">), con el fin de disipar posibles interpretaciones alternas, se debió tener en cuenta el concepto de “giro ordinario de los negocios” esbozado por el Consejo de Estado y el hecho que el numeral 1 del artículo 105 no exige para su aplicación que la entidad pública financiera deba ser la demandada. </w:t>
      </w:r>
    </w:p>
    <w:p w14:paraId="4FA981F3" w14:textId="77777777" w:rsidR="00000000" w:rsidRPr="001B7B93" w:rsidRDefault="00000000" w:rsidP="0046352D">
      <w:pPr>
        <w:shd w:val="clear" w:color="auto" w:fill="FFFFFF"/>
        <w:spacing w:after="0" w:line="240" w:lineRule="auto"/>
        <w:ind w:right="23"/>
        <w:contextualSpacing/>
        <w:jc w:val="both"/>
        <w:rPr>
          <w:rFonts w:ascii="Times New Roman" w:hAnsi="Times New Roman" w:cs="Times New Roman"/>
          <w:sz w:val="28"/>
          <w:szCs w:val="28"/>
        </w:rPr>
      </w:pPr>
    </w:p>
    <w:p w14:paraId="34EB1D25" w14:textId="77777777" w:rsidR="00000000" w:rsidRPr="001B7B93" w:rsidRDefault="001B7B93" w:rsidP="00E97433">
      <w:pPr>
        <w:numPr>
          <w:ilvl w:val="0"/>
          <w:numId w:val="6"/>
        </w:numPr>
        <w:shd w:val="clear" w:color="auto" w:fill="FFFFFF"/>
        <w:spacing w:after="0" w:line="240" w:lineRule="auto"/>
        <w:ind w:left="0" w:right="23" w:firstLine="0"/>
        <w:contextualSpacing/>
        <w:jc w:val="both"/>
        <w:rPr>
          <w:rFonts w:ascii="Times New Roman" w:hAnsi="Times New Roman" w:cs="Times New Roman"/>
          <w:color w:val="000000" w:themeColor="text1"/>
          <w:sz w:val="28"/>
          <w:szCs w:val="28"/>
        </w:rPr>
      </w:pPr>
      <w:r w:rsidRPr="001B7B93">
        <w:rPr>
          <w:rFonts w:ascii="Times New Roman" w:hAnsi="Times New Roman" w:cs="Times New Roman"/>
          <w:color w:val="000000" w:themeColor="text1"/>
          <w:sz w:val="28"/>
          <w:szCs w:val="28"/>
        </w:rPr>
        <w:t xml:space="preserve">Esta situación pone de presente la necesidad de articular las reglas de decisión fijadas en los autos proferidos por la Corte al fallar sobre conflictos de jurisdicciones, con el fin de que su aplicación siempre sea coherente y no lesione garantías como el principio de igualdad. Luego, aunque no me aparto de la decisión adoptada en el Auto 2432 de 2023 pues entiendo que su análisis se realizó con base en los precedentes citados como fundamento, sí considero que, con el fin de evitar posibles incongruencias en nuestra jurisprudencia, se debió haber analizado y descartado la lectura alternativa del numeral 1 del artículo 105 del CPACA, que fue acogida también por esta Corporación en los citados autos 766 y 1079 de 2023. </w:t>
      </w:r>
    </w:p>
    <w:p w14:paraId="3AC9F46D" w14:textId="77777777" w:rsidR="00000000" w:rsidRPr="001B7B93" w:rsidRDefault="00000000" w:rsidP="00344E6F">
      <w:pPr>
        <w:shd w:val="clear" w:color="auto" w:fill="FFFFFF"/>
        <w:spacing w:after="0" w:line="240" w:lineRule="auto"/>
        <w:ind w:right="23"/>
        <w:contextualSpacing/>
        <w:jc w:val="both"/>
        <w:rPr>
          <w:rFonts w:ascii="Times New Roman" w:hAnsi="Times New Roman" w:cs="Times New Roman"/>
          <w:color w:val="000000" w:themeColor="text1"/>
          <w:sz w:val="28"/>
          <w:szCs w:val="28"/>
        </w:rPr>
      </w:pPr>
    </w:p>
    <w:p w14:paraId="70B2C739" w14:textId="77777777" w:rsidR="00000000" w:rsidRPr="001B7B93" w:rsidRDefault="001B7B93" w:rsidP="00606421">
      <w:pPr>
        <w:numPr>
          <w:ilvl w:val="0"/>
          <w:numId w:val="6"/>
        </w:numPr>
        <w:shd w:val="clear" w:color="auto" w:fill="FFFFFF"/>
        <w:spacing w:after="0" w:line="240" w:lineRule="auto"/>
        <w:ind w:left="0" w:right="20" w:firstLine="0"/>
        <w:contextualSpacing/>
        <w:jc w:val="both"/>
        <w:rPr>
          <w:rFonts w:ascii="Times New Roman" w:hAnsi="Times New Roman" w:cs="Times New Roman"/>
          <w:sz w:val="28"/>
          <w:szCs w:val="28"/>
        </w:rPr>
      </w:pPr>
      <w:r w:rsidRPr="001B7B93">
        <w:rPr>
          <w:rFonts w:ascii="Times New Roman" w:hAnsi="Times New Roman" w:cs="Times New Roman"/>
          <w:color w:val="000000" w:themeColor="text1"/>
          <w:sz w:val="28"/>
          <w:szCs w:val="28"/>
        </w:rPr>
        <w:t xml:space="preserve"> En los anteriores términos, manifiesto las razones por las que aclaro el voto frente al Auto 2432 de 2023. </w:t>
      </w:r>
    </w:p>
    <w:p w14:paraId="1591B671" w14:textId="77777777" w:rsidR="00000000" w:rsidRPr="001B7B93" w:rsidRDefault="00000000" w:rsidP="00E519E9">
      <w:pPr>
        <w:shd w:val="clear" w:color="auto" w:fill="FFFFFF"/>
        <w:spacing w:after="0" w:line="240" w:lineRule="auto"/>
        <w:ind w:right="20"/>
        <w:contextualSpacing/>
        <w:jc w:val="center"/>
        <w:rPr>
          <w:rFonts w:ascii="Times New Roman" w:hAnsi="Times New Roman" w:cs="Times New Roman"/>
          <w:sz w:val="28"/>
          <w:szCs w:val="28"/>
        </w:rPr>
      </w:pPr>
    </w:p>
    <w:p w14:paraId="1210D3B6" w14:textId="77777777" w:rsidR="00000000" w:rsidRPr="001B7B93" w:rsidRDefault="00000000" w:rsidP="00E519E9">
      <w:pPr>
        <w:shd w:val="clear" w:color="auto" w:fill="FFFFFF"/>
        <w:spacing w:after="0" w:line="240" w:lineRule="auto"/>
        <w:ind w:right="20"/>
        <w:contextualSpacing/>
        <w:jc w:val="center"/>
        <w:rPr>
          <w:rFonts w:ascii="Times New Roman" w:hAnsi="Times New Roman" w:cs="Times New Roman"/>
          <w:sz w:val="28"/>
          <w:szCs w:val="28"/>
        </w:rPr>
      </w:pPr>
    </w:p>
    <w:p w14:paraId="2A96AB9C" w14:textId="77777777" w:rsidR="00000000" w:rsidRPr="001B7B93" w:rsidRDefault="00000000" w:rsidP="00E519E9">
      <w:pPr>
        <w:shd w:val="clear" w:color="auto" w:fill="FFFFFF"/>
        <w:spacing w:after="0" w:line="240" w:lineRule="auto"/>
        <w:ind w:right="20"/>
        <w:contextualSpacing/>
        <w:jc w:val="center"/>
        <w:rPr>
          <w:rFonts w:ascii="Times New Roman" w:hAnsi="Times New Roman" w:cs="Times New Roman"/>
          <w:sz w:val="28"/>
          <w:szCs w:val="28"/>
        </w:rPr>
      </w:pPr>
    </w:p>
    <w:p w14:paraId="714245E1" w14:textId="77777777" w:rsidR="00000000" w:rsidRPr="001B7B93" w:rsidRDefault="001B7B93" w:rsidP="00E519E9">
      <w:pPr>
        <w:shd w:val="clear" w:color="auto" w:fill="FFFFFF"/>
        <w:spacing w:after="0" w:line="240" w:lineRule="auto"/>
        <w:ind w:right="20"/>
        <w:contextualSpacing/>
        <w:jc w:val="center"/>
        <w:rPr>
          <w:rFonts w:ascii="Times New Roman" w:hAnsi="Times New Roman" w:cs="Times New Roman"/>
          <w:b/>
          <w:sz w:val="28"/>
          <w:szCs w:val="28"/>
        </w:rPr>
      </w:pPr>
      <w:r w:rsidRPr="001B7B93">
        <w:rPr>
          <w:rFonts w:ascii="Times New Roman" w:hAnsi="Times New Roman" w:cs="Times New Roman"/>
          <w:b/>
          <w:sz w:val="28"/>
          <w:szCs w:val="28"/>
        </w:rPr>
        <w:t>DIANA FAJARDO RIVERA</w:t>
      </w:r>
    </w:p>
    <w:p w14:paraId="167FAA26" w14:textId="77777777" w:rsidR="00000000" w:rsidRPr="001B7B93" w:rsidRDefault="001B7B93" w:rsidP="00E519E9">
      <w:pPr>
        <w:shd w:val="clear" w:color="auto" w:fill="FFFFFF"/>
        <w:spacing w:after="0" w:line="240" w:lineRule="auto"/>
        <w:ind w:right="20"/>
        <w:contextualSpacing/>
        <w:jc w:val="center"/>
        <w:rPr>
          <w:rFonts w:ascii="Times New Roman" w:hAnsi="Times New Roman" w:cs="Times New Roman"/>
          <w:b/>
          <w:sz w:val="28"/>
          <w:szCs w:val="28"/>
        </w:rPr>
      </w:pPr>
      <w:r w:rsidRPr="001B7B93">
        <w:rPr>
          <w:rFonts w:ascii="Times New Roman" w:hAnsi="Times New Roman" w:cs="Times New Roman"/>
          <w:b/>
          <w:sz w:val="28"/>
          <w:szCs w:val="28"/>
        </w:rPr>
        <w:t>Magistrada</w:t>
      </w:r>
    </w:p>
    <w:sectPr w:rsidR="006E11F3" w:rsidRPr="001B7B93">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DC0F9" w14:textId="77777777" w:rsidR="00C219FD" w:rsidRDefault="00C219FD">
      <w:pPr>
        <w:spacing w:after="0" w:line="240" w:lineRule="auto"/>
      </w:pPr>
      <w:r>
        <w:separator/>
      </w:r>
    </w:p>
  </w:endnote>
  <w:endnote w:type="continuationSeparator" w:id="0">
    <w:p w14:paraId="45437BCB" w14:textId="77777777" w:rsidR="00C219FD" w:rsidRDefault="00C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25B8" w14:textId="77777777" w:rsidR="00C219FD" w:rsidRDefault="00C219FD">
      <w:pPr>
        <w:spacing w:after="0" w:line="240" w:lineRule="auto"/>
      </w:pPr>
      <w:r>
        <w:separator/>
      </w:r>
    </w:p>
  </w:footnote>
  <w:footnote w:type="continuationSeparator" w:id="0">
    <w:p w14:paraId="61C382DC" w14:textId="77777777" w:rsidR="00C219FD" w:rsidRDefault="00C219FD">
      <w:pPr>
        <w:spacing w:after="0" w:line="240" w:lineRule="auto"/>
      </w:pPr>
      <w:r>
        <w:continuationSeparator/>
      </w:r>
    </w:p>
  </w:footnote>
  <w:footnote w:id="1">
    <w:p w14:paraId="08FDCC52" w14:textId="77777777" w:rsidR="00000000" w:rsidRPr="00B815CC" w:rsidRDefault="001B7B93" w:rsidP="00FC1DF8">
      <w:pPr>
        <w:pStyle w:val="Textonotapie"/>
        <w:jc w:val="both"/>
        <w:rPr>
          <w:lang w:val="es-MX"/>
        </w:rPr>
      </w:pPr>
      <w:r w:rsidRPr="00B815CC">
        <w:rPr>
          <w:rStyle w:val="Refdenotaalpie"/>
        </w:rPr>
        <w:footnoteRef/>
      </w:r>
      <w:r w:rsidRPr="00B815CC">
        <w:t xml:space="preserve"> </w:t>
      </w:r>
      <w:r w:rsidRPr="00B815CC">
        <w:rPr>
          <w:lang w:val="es-MX"/>
        </w:rPr>
        <w:t>Dicha entidad antes correspondía a la denominación de Fondo Financiero de Proyectos de Desarrollo (FONADE).</w:t>
      </w:r>
    </w:p>
  </w:footnote>
  <w:footnote w:id="2">
    <w:p w14:paraId="0B940CD5" w14:textId="77777777" w:rsidR="00000000" w:rsidRPr="00B815CC" w:rsidRDefault="001B7B93" w:rsidP="00FC1DF8">
      <w:pPr>
        <w:pStyle w:val="Textonotapie"/>
        <w:jc w:val="both"/>
        <w:rPr>
          <w:lang w:val="es-MX"/>
        </w:rPr>
      </w:pPr>
      <w:r w:rsidRPr="00B815CC">
        <w:rPr>
          <w:rStyle w:val="Refdenotaalpie"/>
        </w:rPr>
        <w:footnoteRef/>
      </w:r>
      <w:r w:rsidRPr="00B815CC">
        <w:t xml:space="preserve"> </w:t>
      </w:r>
      <w:r w:rsidRPr="00B815CC">
        <w:rPr>
          <w:lang w:val="es-MX"/>
        </w:rPr>
        <w:t>Expediente digital. 04DemandaAnexosActaReparto, p. 9.</w:t>
      </w:r>
    </w:p>
  </w:footnote>
  <w:footnote w:id="3">
    <w:p w14:paraId="49BCECD8" w14:textId="77777777" w:rsidR="00000000" w:rsidRPr="00B815CC" w:rsidRDefault="001B7B93" w:rsidP="00FC1DF8">
      <w:pPr>
        <w:pStyle w:val="Textonotapie"/>
        <w:jc w:val="both"/>
        <w:rPr>
          <w:lang w:val="es-MX"/>
        </w:rPr>
      </w:pPr>
      <w:r w:rsidRPr="00B815CC">
        <w:rPr>
          <w:rStyle w:val="Refdenotaalpie"/>
        </w:rPr>
        <w:footnoteRef/>
      </w:r>
      <w:r w:rsidRPr="00B815CC">
        <w:t xml:space="preserve"> </w:t>
      </w:r>
      <w:r w:rsidRPr="00B815CC">
        <w:rPr>
          <w:lang w:val="es-MX"/>
        </w:rPr>
        <w:t>Ib., p. 2.</w:t>
      </w:r>
    </w:p>
  </w:footnote>
  <w:footnote w:id="4">
    <w:p w14:paraId="6FD6ED69" w14:textId="77777777" w:rsidR="00000000" w:rsidRPr="00B815CC" w:rsidRDefault="001B7B93" w:rsidP="00FC1DF8">
      <w:pPr>
        <w:pStyle w:val="Textonotapie"/>
        <w:jc w:val="both"/>
        <w:rPr>
          <w:lang w:val="es-MX"/>
        </w:rPr>
      </w:pPr>
      <w:r w:rsidRPr="00B815CC">
        <w:rPr>
          <w:rStyle w:val="Refdenotaalpie"/>
        </w:rPr>
        <w:footnoteRef/>
      </w:r>
      <w:r w:rsidRPr="00B815CC">
        <w:t xml:space="preserve"> </w:t>
      </w:r>
      <w:r w:rsidRPr="00B815CC">
        <w:rPr>
          <w:lang w:val="es-MX"/>
        </w:rPr>
        <w:t>Expediente digital. 06AutoRemiteFaltaJurisdiccion.</w:t>
      </w:r>
    </w:p>
  </w:footnote>
  <w:footnote w:id="5">
    <w:p w14:paraId="235ED845" w14:textId="77777777" w:rsidR="00000000" w:rsidRPr="00B815CC" w:rsidRDefault="001B7B93" w:rsidP="00A17ACE">
      <w:pPr>
        <w:pStyle w:val="Textonotapie"/>
        <w:jc w:val="both"/>
        <w:rPr>
          <w:lang w:val="es-MX"/>
        </w:rPr>
      </w:pPr>
      <w:r w:rsidRPr="00B815CC">
        <w:rPr>
          <w:rStyle w:val="Refdenotaalpie"/>
        </w:rPr>
        <w:footnoteRef/>
      </w:r>
      <w:r w:rsidRPr="00B815CC">
        <w:t xml:space="preserve"> </w:t>
      </w:r>
      <w:r w:rsidRPr="00B815CC">
        <w:rPr>
          <w:lang w:val="es-MX"/>
        </w:rPr>
        <w:t>La disposición citada establece: “Artículo 105.</w:t>
      </w:r>
      <w:r w:rsidRPr="00B815CC">
        <w:rPr>
          <w:i/>
          <w:iCs/>
          <w:lang w:val="es-MX"/>
        </w:rPr>
        <w:t>Excepciones</w:t>
      </w:r>
      <w:r w:rsidRPr="00B815CC">
        <w:rPr>
          <w:lang w:val="es-MX"/>
        </w:rPr>
        <w:t>. La Jurisdicción de lo Contencioso Administrativo no conocerá de los siguientes asuntos: // 1. 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cuando correspondan al giro ordinario de los negocios de dichas entidades, incluyendo los procesos ejecutivos”.</w:t>
      </w:r>
    </w:p>
  </w:footnote>
  <w:footnote w:id="6">
    <w:p w14:paraId="089BA41D" w14:textId="77777777" w:rsidR="00000000" w:rsidRPr="00B815CC" w:rsidRDefault="001B7B93" w:rsidP="00FC1DF8">
      <w:pPr>
        <w:pStyle w:val="Textonotapie"/>
        <w:jc w:val="both"/>
        <w:rPr>
          <w:lang w:val="es-CO"/>
        </w:rPr>
      </w:pPr>
      <w:r w:rsidRPr="00B815CC">
        <w:rPr>
          <w:rStyle w:val="Refdenotaalpie"/>
          <w:lang w:val="es-CO"/>
        </w:rPr>
        <w:t>5</w:t>
      </w:r>
      <w:r w:rsidRPr="00B815CC">
        <w:rPr>
          <w:lang w:val="es-CO"/>
        </w:rPr>
        <w:t xml:space="preserve"> </w:t>
      </w:r>
      <w:r w:rsidRPr="00B815CC">
        <w:rPr>
          <w:lang w:val="es-MX"/>
        </w:rPr>
        <w:t>Expediente digital</w:t>
      </w:r>
      <w:r w:rsidRPr="00B815CC">
        <w:rPr>
          <w:lang w:val="es-CO"/>
        </w:rPr>
        <w:t>. 09AutoProponeConflictoJurisdiccion.</w:t>
      </w:r>
    </w:p>
  </w:footnote>
  <w:footnote w:id="7">
    <w:p w14:paraId="55F3A63B" w14:textId="77777777" w:rsidR="00000000" w:rsidRPr="00B815CC" w:rsidRDefault="001B7B93" w:rsidP="00FC1DF8">
      <w:pPr>
        <w:pStyle w:val="Textonotapie"/>
        <w:jc w:val="both"/>
        <w:rPr>
          <w:lang w:val="es-MX"/>
        </w:rPr>
      </w:pPr>
      <w:r w:rsidRPr="00B815CC">
        <w:rPr>
          <w:rStyle w:val="Refdenotaalpie"/>
        </w:rPr>
        <w:footnoteRef/>
      </w:r>
      <w:r w:rsidRPr="00B815CC">
        <w:t xml:space="preserve"> </w:t>
      </w:r>
      <w:r w:rsidRPr="00B815CC">
        <w:rPr>
          <w:lang w:val="es-MX"/>
        </w:rPr>
        <w:t>En el auto se citó el siguiente aparte: “En suma, la jurisdicción de lo contencioso administrativo es competente para conocer aquellos asuntos que involucren a una entidad pública que tenga la calidad de institución financiera cuando: (i) la mencionada institución financiera no sea la parte demandada dentro del litigio; (</w:t>
      </w:r>
      <w:proofErr w:type="spellStart"/>
      <w:r w:rsidRPr="00B815CC">
        <w:rPr>
          <w:lang w:val="es-MX"/>
        </w:rPr>
        <w:t>ii</w:t>
      </w:r>
      <w:proofErr w:type="spellEnd"/>
      <w:r w:rsidRPr="00B815CC">
        <w:rPr>
          <w:lang w:val="es-MX"/>
        </w:rPr>
        <w:t>) la controversia se genere por el incumplimiento de un contrato estatal; y (</w:t>
      </w:r>
      <w:proofErr w:type="spellStart"/>
      <w:r w:rsidRPr="00B815CC">
        <w:rPr>
          <w:lang w:val="es-MX"/>
        </w:rPr>
        <w:t>iii</w:t>
      </w:r>
      <w:proofErr w:type="spellEnd"/>
      <w:r w:rsidRPr="00B815CC">
        <w:rPr>
          <w:lang w:val="es-MX"/>
        </w:rPr>
        <w:t>) las partes procesales sean entidades y/o autoridades públicas”. (Expediente digital</w:t>
      </w:r>
      <w:r w:rsidRPr="00B815CC">
        <w:rPr>
          <w:lang w:val="es-CO"/>
        </w:rPr>
        <w:t>. 09AutoProponeConflictoJurisdiccion, p. 3).</w:t>
      </w:r>
    </w:p>
  </w:footnote>
  <w:footnote w:id="8">
    <w:p w14:paraId="7F3CFA06" w14:textId="77777777" w:rsidR="00000000" w:rsidRPr="00B815CC" w:rsidRDefault="001B7B93" w:rsidP="00FC1DF8">
      <w:pPr>
        <w:pStyle w:val="Textonotapie"/>
        <w:jc w:val="both"/>
      </w:pPr>
      <w:r w:rsidRPr="00B815CC">
        <w:rPr>
          <w:rStyle w:val="Refdenotaalpie"/>
        </w:rPr>
        <w:footnoteRef/>
      </w:r>
      <w:r w:rsidRPr="00B815CC">
        <w:t xml:space="preserve"> </w:t>
      </w:r>
      <w:r w:rsidRPr="00B815CC">
        <w:rPr>
          <w:lang w:val="es-CO"/>
        </w:rPr>
        <w:t>Expediente digital.</w:t>
      </w:r>
      <w:r w:rsidRPr="00B815CC">
        <w:t xml:space="preserve"> 03CJU-4315 Constancia de Reparto.</w:t>
      </w:r>
    </w:p>
  </w:footnote>
  <w:footnote w:id="9">
    <w:p w14:paraId="6150BB27" w14:textId="77777777" w:rsidR="00000000" w:rsidRPr="00B815CC" w:rsidRDefault="001B7B93" w:rsidP="00FC1DF8">
      <w:pPr>
        <w:pStyle w:val="Textonotapie"/>
        <w:jc w:val="both"/>
      </w:pPr>
      <w:r w:rsidRPr="00B815CC">
        <w:rPr>
          <w:rStyle w:val="Refdenotaalpie"/>
        </w:rPr>
        <w:footnoteRef/>
      </w:r>
      <w:r w:rsidRPr="00B815CC">
        <w:t xml:space="preserve"> Corte Constitucional, auto 345 de 2018. Reiterado, entre otros, en los autos 041 de 2021, 233 de 2020 y 155 de 2019.</w:t>
      </w:r>
    </w:p>
  </w:footnote>
  <w:footnote w:id="10">
    <w:p w14:paraId="7128B47C" w14:textId="77777777" w:rsidR="00000000" w:rsidRPr="00B815CC" w:rsidRDefault="001B7B93" w:rsidP="00FC1DF8">
      <w:pPr>
        <w:pStyle w:val="Textonotapie"/>
        <w:jc w:val="both"/>
      </w:pPr>
      <w:r w:rsidRPr="00B815CC">
        <w:rPr>
          <w:rStyle w:val="Refdenotaalpie"/>
        </w:rPr>
        <w:footnoteRef/>
      </w:r>
      <w:r w:rsidRPr="00B815CC">
        <w:t xml:space="preserve"> Corte Constitucional, auto 155 de 2019. Reiterado, entre otros, por los autos 452 y 503 de 2019 y 129 y 415 de 2020. </w:t>
      </w:r>
    </w:p>
  </w:footnote>
  <w:footnote w:id="11">
    <w:p w14:paraId="41A0F9C6" w14:textId="77777777" w:rsidR="00000000" w:rsidRPr="00B815CC" w:rsidRDefault="001B7B93" w:rsidP="00FC1DF8">
      <w:pPr>
        <w:pStyle w:val="Textonotapie"/>
        <w:jc w:val="both"/>
        <w:rPr>
          <w:lang w:val="es-ES_tradnl"/>
        </w:rPr>
      </w:pPr>
      <w:r w:rsidRPr="00B815CC">
        <w:rPr>
          <w:rStyle w:val="Refdenotaalpie"/>
        </w:rPr>
        <w:footnoteRef/>
      </w:r>
      <w:r w:rsidRPr="00B815CC">
        <w:t xml:space="preserve"> </w:t>
      </w:r>
      <w:r w:rsidRPr="00B815CC">
        <w:rPr>
          <w:lang w:val="es-ES_tradnl"/>
        </w:rPr>
        <w:t>Corte Constitucional, auto 452 de 2019, a través del cual también se reitera el auto 155 de 2019. En similar sentido, ver el auto 556 de 2018, reiterado por los autos 691 y 716 de 2018.</w:t>
      </w:r>
    </w:p>
  </w:footnote>
  <w:footnote w:id="12">
    <w:p w14:paraId="579AFD2A" w14:textId="77777777" w:rsidR="00000000" w:rsidRPr="00B815CC" w:rsidRDefault="001B7B93" w:rsidP="00FC1DF8">
      <w:pPr>
        <w:pStyle w:val="Sinespaciado"/>
        <w:jc w:val="both"/>
        <w:rPr>
          <w:rFonts w:ascii="Times New Roman" w:hAnsi="Times New Roman" w:cs="Times New Roman"/>
          <w:sz w:val="20"/>
          <w:szCs w:val="20"/>
        </w:rPr>
      </w:pPr>
      <w:r w:rsidRPr="00B815CC">
        <w:rPr>
          <w:rStyle w:val="Refdenotaalpie"/>
          <w:rFonts w:ascii="Times New Roman" w:hAnsi="Times New Roman" w:cs="Times New Roman"/>
          <w:sz w:val="20"/>
          <w:szCs w:val="20"/>
        </w:rPr>
        <w:footnoteRef/>
      </w:r>
      <w:r w:rsidRPr="00B815CC">
        <w:rPr>
          <w:rFonts w:ascii="Times New Roman" w:hAnsi="Times New Roman" w:cs="Times New Roman"/>
          <w:sz w:val="20"/>
          <w:szCs w:val="20"/>
        </w:rPr>
        <w:t xml:space="preserve"> Este requisito exige a la Corte Constitucional verificar que “está en desarrollo un proceso, un incidente o cualquier otro trámite de naturaleza jurisdiccional</w:t>
      </w:r>
      <w:r w:rsidRPr="00B815CC">
        <w:rPr>
          <w:rFonts w:ascii="Times New Roman" w:hAnsi="Times New Roman" w:cs="Times New Roman"/>
          <w:color w:val="000000"/>
          <w:sz w:val="20"/>
          <w:szCs w:val="20"/>
          <w:shd w:val="clear" w:color="auto" w:fill="FFFFFF"/>
        </w:rPr>
        <w:t xml:space="preserve">. </w:t>
      </w:r>
      <w:r w:rsidRPr="00B815CC">
        <w:rPr>
          <w:rFonts w:ascii="Times New Roman" w:hAnsi="Times New Roman" w:cs="Times New Roman"/>
          <w:sz w:val="20"/>
          <w:szCs w:val="20"/>
        </w:rPr>
        <w:t xml:space="preserve">En este sentido, no existirá conflicto cuando: (a) se evidencie que el litigio no está en trámite o no existe, porque, por ejemplo, ya finalizó; o (b) el debate procesal se centra sobre una causa de carácter administrativo o político, pero no jurisdiccional (Artículo 116 de la CP”. (Corte Constitucional, Auto 041 de 2021). </w:t>
      </w:r>
    </w:p>
  </w:footnote>
  <w:footnote w:id="13">
    <w:p w14:paraId="6FEF2519" w14:textId="77777777" w:rsidR="00000000" w:rsidRPr="00B815CC" w:rsidRDefault="001B7B93" w:rsidP="00FC1DF8">
      <w:pPr>
        <w:pStyle w:val="Sinespaciado"/>
        <w:jc w:val="both"/>
        <w:rPr>
          <w:rFonts w:ascii="Times New Roman" w:hAnsi="Times New Roman" w:cs="Times New Roman"/>
          <w:sz w:val="20"/>
          <w:szCs w:val="20"/>
        </w:rPr>
      </w:pPr>
      <w:r w:rsidRPr="00B815CC">
        <w:rPr>
          <w:rStyle w:val="Refdenotaalpie"/>
          <w:rFonts w:ascii="Times New Roman" w:hAnsi="Times New Roman" w:cs="Times New Roman"/>
          <w:sz w:val="20"/>
          <w:szCs w:val="20"/>
        </w:rPr>
        <w:footnoteRef/>
      </w:r>
      <w:r w:rsidRPr="00B815CC">
        <w:rPr>
          <w:rFonts w:ascii="Times New Roman" w:hAnsi="Times New Roman" w:cs="Times New Roman"/>
          <w:sz w:val="20"/>
          <w:szCs w:val="20"/>
        </w:rPr>
        <w:t xml:space="preserve"> Ib. </w:t>
      </w:r>
    </w:p>
  </w:footnote>
  <w:footnote w:id="14">
    <w:p w14:paraId="446F1F0D" w14:textId="77777777" w:rsidR="00000000" w:rsidRPr="00B815CC" w:rsidRDefault="001B7B93" w:rsidP="00FC1DF8">
      <w:pPr>
        <w:pStyle w:val="Textonotapie"/>
        <w:jc w:val="both"/>
      </w:pPr>
      <w:r w:rsidRPr="00B815CC">
        <w:rPr>
          <w:rStyle w:val="Refdenotaalpie"/>
        </w:rPr>
        <w:footnoteRef/>
      </w:r>
      <w:r w:rsidRPr="00B815CC">
        <w:t xml:space="preserve"> Tales conclusiones encuentran fundamento normativo en los capítulos 2º y 3º del Título VIII de la Constitución Política y el artículo 11 de la Ley 270 de 1996, particularmente, los literales a y b de dicha norma estatutaria. Ley 270 de 1996, art. 11. </w:t>
      </w:r>
      <w:r w:rsidRPr="00B815CC">
        <w:rPr>
          <w:lang w:val="es-ES_tradnl"/>
        </w:rPr>
        <w:t>“</w:t>
      </w:r>
      <w:r w:rsidRPr="00B815CC">
        <w:t>La Rama Judicial del Poder Público está constituida por: // I. Los órganos que integran las distintas jurisdicciones: // a) De la Jurisdicción Ordinaria: […] // 3. Juzgados civiles […] // b) De la Jurisdicción de lo Contencioso Administrativo: […] 3. Juzgados Administrativos</w:t>
      </w:r>
      <w:r w:rsidRPr="00B815CC">
        <w:rPr>
          <w:lang w:val="es-ES_tradnl"/>
        </w:rPr>
        <w:t>”</w:t>
      </w:r>
      <w:r w:rsidRPr="00B815CC">
        <w:t>.</w:t>
      </w:r>
    </w:p>
  </w:footnote>
  <w:footnote w:id="15">
    <w:p w14:paraId="76071002" w14:textId="77777777" w:rsidR="00000000" w:rsidRPr="00B815CC" w:rsidRDefault="001B7B93" w:rsidP="00FC1DF8">
      <w:pPr>
        <w:pStyle w:val="Textonotapie"/>
        <w:jc w:val="both"/>
      </w:pPr>
      <w:r w:rsidRPr="00B815CC">
        <w:rPr>
          <w:vertAlign w:val="superscript"/>
        </w:rPr>
        <w:footnoteRef/>
      </w:r>
      <w:r w:rsidRPr="00B815CC">
        <w:t xml:space="preserve"> Reiterado, a su vez, por el Auto 1281 de 2022 y el Auto 295 de 2023.</w:t>
      </w:r>
    </w:p>
  </w:footnote>
  <w:footnote w:id="16">
    <w:p w14:paraId="07FE1836" w14:textId="77777777" w:rsidR="00000000" w:rsidRPr="00B815CC" w:rsidRDefault="001B7B93" w:rsidP="00150ABB">
      <w:pPr>
        <w:pStyle w:val="Textonotapie"/>
        <w:jc w:val="both"/>
      </w:pPr>
      <w:r w:rsidRPr="00B815CC">
        <w:rPr>
          <w:rStyle w:val="Refdenotaalpie"/>
        </w:rPr>
        <w:footnoteRef/>
      </w:r>
      <w:r w:rsidRPr="00B815CC">
        <w:t xml:space="preserve"> La regla de decisión indicada se estableció sin perjuicio de la fijada en otros autos de la Sala Plena, según la cual: “</w:t>
      </w:r>
      <w:r w:rsidRPr="00B815CC">
        <w:rPr>
          <w:i/>
          <w:iCs/>
        </w:rPr>
        <w:t>la jurisdicción ordinaria civil es la competente para conocer las demandas que se promuevan contra entidades públicas que tengan el carácter de institución financiera y la discrepancia surja como consecuencia del giro ordinario de los negocios de aquella. Ello, de conformidad con el artículo 105.1 de la Ley 1437 de 2011, el artículo 15 de la Ley 1564 de 2012 y el inciso 2º del artículo 12 de la Ley 270 de 1996</w:t>
      </w:r>
      <w:r w:rsidRPr="00B815CC">
        <w:t>”. Dicha regla se utilizó en el auto 874 de 2022 y, en similar sentido, fue sostenida en los autos: 835, 836, 838, 867, 904, 1072 y 1095 de 2021, 005, 685, 809 y 762 de 2022, y 1079 de 2023.</w:t>
      </w:r>
    </w:p>
  </w:footnote>
  <w:footnote w:id="17">
    <w:p w14:paraId="39F39048" w14:textId="77777777" w:rsidR="00000000" w:rsidRPr="00B815CC" w:rsidRDefault="001B7B93" w:rsidP="00FC1DF8">
      <w:pPr>
        <w:pStyle w:val="Textonotapie"/>
        <w:jc w:val="both"/>
      </w:pPr>
      <w:r w:rsidRPr="00B815CC">
        <w:rPr>
          <w:vertAlign w:val="superscript"/>
        </w:rPr>
        <w:footnoteRef/>
      </w:r>
      <w:r w:rsidRPr="00B815CC">
        <w:t xml:space="preserve"> [Referencia propia de la cita] </w:t>
      </w:r>
      <w:r w:rsidRPr="00B815CC">
        <w:rPr>
          <w:color w:val="2D2D2D"/>
          <w:shd w:val="clear" w:color="auto" w:fill="FFFFFF"/>
          <w:lang w:val="es-CO" w:eastAsia="es-MX"/>
        </w:rPr>
        <w:t>Consejo de Estado, Sección Tercera, Subsección A, sentencia del 3 de agosto de 2019, radicado (52531).</w:t>
      </w:r>
    </w:p>
  </w:footnote>
  <w:footnote w:id="18">
    <w:p w14:paraId="4FF2EAA1" w14:textId="77777777" w:rsidR="00000000" w:rsidRPr="00B815CC" w:rsidRDefault="001B7B93" w:rsidP="00FC1DF8">
      <w:pPr>
        <w:spacing w:after="0"/>
        <w:jc w:val="both"/>
        <w:rPr>
          <w:rFonts w:ascii="Times New Roman" w:hAnsi="Times New Roman" w:cs="Times New Roman"/>
          <w:sz w:val="20"/>
          <w:szCs w:val="20"/>
        </w:rPr>
      </w:pPr>
      <w:r w:rsidRPr="00B815CC">
        <w:rPr>
          <w:rFonts w:ascii="Times New Roman" w:hAnsi="Times New Roman" w:cs="Times New Roman"/>
          <w:sz w:val="20"/>
          <w:szCs w:val="20"/>
          <w:vertAlign w:val="superscript"/>
          <w:lang w:eastAsia="es-MX"/>
        </w:rPr>
        <w:footnoteRef/>
      </w:r>
      <w:r w:rsidRPr="00B815CC">
        <w:rPr>
          <w:rFonts w:ascii="Times New Roman" w:hAnsi="Times New Roman" w:cs="Times New Roman"/>
          <w:sz w:val="20"/>
          <w:szCs w:val="20"/>
        </w:rPr>
        <w:t xml:space="preserve"> </w:t>
      </w:r>
      <w:r w:rsidRPr="00B815CC">
        <w:rPr>
          <w:rFonts w:ascii="Times New Roman" w:hAnsi="Times New Roman" w:cs="Times New Roman"/>
          <w:color w:val="2D2D2D"/>
          <w:sz w:val="20"/>
          <w:szCs w:val="20"/>
          <w:shd w:val="clear" w:color="auto" w:fill="FFFFFF"/>
        </w:rPr>
        <w:t>Consejo de Estado, Sección Tercera, Subsección B, sentencia del 3 marzo de 2016, radicado (54678).</w:t>
      </w:r>
    </w:p>
  </w:footnote>
  <w:footnote w:id="19">
    <w:p w14:paraId="351FFF7A" w14:textId="77777777" w:rsidR="00000000" w:rsidRPr="00B815CC" w:rsidRDefault="001B7B93" w:rsidP="00FC1DF8">
      <w:pPr>
        <w:pStyle w:val="Textonotapie"/>
        <w:jc w:val="both"/>
      </w:pPr>
      <w:r w:rsidRPr="00B815CC">
        <w:rPr>
          <w:rStyle w:val="Refdenotaalpie"/>
        </w:rPr>
        <w:footnoteRef/>
      </w:r>
      <w:r w:rsidRPr="00B815CC">
        <w:t xml:space="preserve"> </w:t>
      </w:r>
      <w:r w:rsidRPr="00B815CC">
        <w:rPr>
          <w:color w:val="2D2D2D"/>
          <w:shd w:val="clear" w:color="auto" w:fill="FFFFFF"/>
        </w:rPr>
        <w:t>Consejo de Estado, Sección Tercera, Subsección B, auto del 28 de mayo de 2015, radicado (</w:t>
      </w:r>
      <w:proofErr w:type="gramStart"/>
      <w:r w:rsidRPr="00B815CC">
        <w:rPr>
          <w:color w:val="2D2D2D"/>
          <w:shd w:val="clear" w:color="auto" w:fill="FFFFFF"/>
        </w:rPr>
        <w:t>38992)A.</w:t>
      </w:r>
      <w:proofErr w:type="gramEnd"/>
    </w:p>
  </w:footnote>
  <w:footnote w:id="20">
    <w:p w14:paraId="2798AEC2" w14:textId="77777777" w:rsidR="00000000" w:rsidRPr="00B815CC" w:rsidRDefault="001B7B93" w:rsidP="00FC1DF8">
      <w:pPr>
        <w:pStyle w:val="Textonotapie"/>
        <w:jc w:val="both"/>
      </w:pPr>
      <w:r w:rsidRPr="00B815CC">
        <w:rPr>
          <w:rStyle w:val="Refdenotaalpie"/>
        </w:rPr>
        <w:footnoteRef/>
      </w:r>
      <w:r w:rsidRPr="00B815CC">
        <w:t xml:space="preserve"> Ib.</w:t>
      </w:r>
    </w:p>
  </w:footnote>
  <w:footnote w:id="21">
    <w:p w14:paraId="27750E3D" w14:textId="77777777" w:rsidR="00000000" w:rsidRPr="00B815CC" w:rsidRDefault="001B7B93" w:rsidP="00FC1DF8">
      <w:pPr>
        <w:pStyle w:val="Textonotapie"/>
        <w:jc w:val="both"/>
      </w:pPr>
      <w:r w:rsidRPr="00B815CC">
        <w:rPr>
          <w:rStyle w:val="Refdenotaalpie"/>
        </w:rPr>
        <w:footnoteRef/>
      </w:r>
      <w:r w:rsidRPr="00B815CC">
        <w:t xml:space="preserve"> Corte Constitucional. Auto 429 de 2022.</w:t>
      </w:r>
    </w:p>
  </w:footnote>
  <w:footnote w:id="22">
    <w:p w14:paraId="50AFF1C2" w14:textId="77777777" w:rsidR="00000000" w:rsidRPr="00B815CC" w:rsidRDefault="001B7B93" w:rsidP="00FC1DF8">
      <w:pPr>
        <w:pStyle w:val="Textonotapie"/>
        <w:jc w:val="both"/>
        <w:rPr>
          <w:lang w:val="es-MX"/>
        </w:rPr>
      </w:pPr>
      <w:r w:rsidRPr="00B815CC">
        <w:rPr>
          <w:rStyle w:val="Refdenotaalpie"/>
        </w:rPr>
        <w:footnoteRef/>
      </w:r>
      <w:r w:rsidRPr="00B815CC">
        <w:t xml:space="preserve"> </w:t>
      </w:r>
      <w:r w:rsidRPr="00B815CC">
        <w:rPr>
          <w:lang w:val="es-MX"/>
        </w:rPr>
        <w:t xml:space="preserve">Incluso esta entidad fue la parte accionante en los procesos que dieron lugar a la expedición de los autos </w:t>
      </w:r>
      <w:proofErr w:type="spellStart"/>
      <w:r w:rsidRPr="00B815CC">
        <w:rPr>
          <w:lang w:val="es-MX"/>
        </w:rPr>
        <w:t>Autos</w:t>
      </w:r>
      <w:proofErr w:type="spellEnd"/>
      <w:r w:rsidRPr="00B815CC">
        <w:rPr>
          <w:lang w:val="es-MX"/>
        </w:rPr>
        <w:t xml:space="preserve"> 429 de 2022 (para ese momento FONADE) y 295 de 2023, en los que se precisó dicho carácter de entidad financiera.</w:t>
      </w:r>
    </w:p>
  </w:footnote>
  <w:footnote w:id="23">
    <w:p w14:paraId="08DA70C7" w14:textId="77777777" w:rsidR="00000000" w:rsidRPr="00D215FF" w:rsidRDefault="001B7B93" w:rsidP="005A1D8C">
      <w:pPr>
        <w:pStyle w:val="Textonotapie"/>
        <w:jc w:val="both"/>
        <w:rPr>
          <w:lang w:val="es-MX"/>
        </w:rPr>
      </w:pPr>
      <w:r w:rsidRPr="00B815CC">
        <w:rPr>
          <w:rStyle w:val="Refdenotaalpie"/>
        </w:rPr>
        <w:footnoteRef/>
      </w:r>
      <w:r w:rsidRPr="00B815CC">
        <w:t xml:space="preserve"> Lo anterior, incluso pese a que también se vinculó a la Aseguradora Solidaria de Colombia, lo que no rompe la regla de decisión fijada en los autos citados, debido a que la controversia se vincula a un contrato estatal y se cumple lo establecido en el Auto 429 de 2022, en el sentido de que “[c]</w:t>
      </w:r>
      <w:proofErr w:type="spellStart"/>
      <w:r w:rsidRPr="00B815CC">
        <w:rPr>
          <w:shd w:val="clear" w:color="auto" w:fill="FFFFFF"/>
          <w:lang w:val="es-ES_tradnl"/>
        </w:rPr>
        <w:t>uando</w:t>
      </w:r>
      <w:proofErr w:type="spellEnd"/>
      <w:r w:rsidRPr="00B815CC">
        <w:rPr>
          <w:shd w:val="clear" w:color="auto" w:fill="FFFFFF"/>
          <w:lang w:val="es-ES_tradnl"/>
        </w:rPr>
        <w:t xml:space="preserve"> la institución financiera </w:t>
      </w:r>
      <w:r w:rsidRPr="00B815CC">
        <w:rPr>
          <w:i/>
          <w:iCs/>
          <w:shd w:val="clear" w:color="auto" w:fill="FFFFFF"/>
          <w:lang w:val="es-ES_tradnl"/>
        </w:rPr>
        <w:t>no se encuentra en el extremo pasivo del proceso y en el mismo participan además otras entidades públicas</w:t>
      </w:r>
      <w:r w:rsidRPr="00B815CC">
        <w:rPr>
          <w:shd w:val="clear" w:color="auto" w:fill="FFFFFF"/>
          <w:lang w:val="es-ES_tradnl"/>
        </w:rPr>
        <w:t>, el asunto será competencia de la jurisdicción de lo contencioso administrativo” (Cursiva fuera del original).</w:t>
      </w:r>
    </w:p>
  </w:footnote>
  <w:footnote w:id="24">
    <w:p w14:paraId="3F2538D7" w14:textId="77777777" w:rsidR="00020277" w:rsidRDefault="001B7B93" w:rsidP="00C447BC">
      <w:pPr>
        <w:pStyle w:val="Textonotapie"/>
        <w:jc w:val="both"/>
      </w:pPr>
      <w:r w:rsidRPr="00C447BC">
        <w:rPr>
          <w:color w:val="000000" w:themeColor="text1"/>
          <w:vertAlign w:val="superscript"/>
        </w:rPr>
        <w:footnoteRef/>
      </w:r>
      <w:r w:rsidRPr="00C447BC">
        <w:rPr>
          <w:color w:val="000000" w:themeColor="text1"/>
        </w:rPr>
        <w:t xml:space="preserve"> Auto 766 de 2023. M.P. Juan Carlos Cortés González. </w:t>
      </w:r>
    </w:p>
  </w:footnote>
  <w:footnote w:id="25">
    <w:p w14:paraId="120272F0" w14:textId="77777777" w:rsidR="00020277" w:rsidRDefault="001B7B93" w:rsidP="00C447BC">
      <w:pPr>
        <w:pStyle w:val="Textonotapie"/>
        <w:jc w:val="both"/>
      </w:pPr>
      <w:r w:rsidRPr="00C447BC">
        <w:rPr>
          <w:color w:val="000000" w:themeColor="text1"/>
          <w:vertAlign w:val="superscript"/>
        </w:rPr>
        <w:footnoteRef/>
      </w:r>
      <w:r w:rsidRPr="00C447BC">
        <w:rPr>
          <w:color w:val="000000" w:themeColor="text1"/>
        </w:rPr>
        <w:t xml:space="preserve"> CONSEJO DE ESTADO. Sala de lo Contencioso Administrativo. Sección Tercera. Subsección A. M.P. José Roberto Sáchica Méndez. Sentencia del 6 de mayo de 2021. Radicado No. </w:t>
      </w:r>
      <w:r w:rsidRPr="00C447BC">
        <w:rPr>
          <w:bCs/>
          <w:color w:val="000000" w:themeColor="text1"/>
          <w:lang w:val="es-ES_tradnl"/>
        </w:rPr>
        <w:t>11001-03-26-000-2020-00077-00.</w:t>
      </w:r>
    </w:p>
  </w:footnote>
  <w:footnote w:id="26">
    <w:p w14:paraId="03002B12" w14:textId="77777777" w:rsidR="00020277" w:rsidRDefault="001B7B93" w:rsidP="00C447BC">
      <w:pPr>
        <w:pStyle w:val="Textonotapie"/>
        <w:jc w:val="both"/>
      </w:pPr>
      <w:r w:rsidRPr="00C447BC">
        <w:rPr>
          <w:color w:val="000000" w:themeColor="text1"/>
          <w:vertAlign w:val="superscript"/>
        </w:rPr>
        <w:footnoteRef/>
      </w:r>
      <w:r w:rsidRPr="00C447BC">
        <w:rPr>
          <w:color w:val="000000" w:themeColor="text1"/>
        </w:rPr>
        <w:t xml:space="preserve"> Auto 1079 de 2023. M.P. Jorge Enrique Ibáñez Najar. En esta providencia frente a hechos muy similares (</w:t>
      </w:r>
      <w:proofErr w:type="spellStart"/>
      <w:r w:rsidRPr="00C447BC">
        <w:rPr>
          <w:color w:val="000000" w:themeColor="text1"/>
        </w:rPr>
        <w:t>ENTerritorio</w:t>
      </w:r>
      <w:proofErr w:type="spellEnd"/>
      <w:r w:rsidRPr="00C447BC">
        <w:rPr>
          <w:color w:val="000000" w:themeColor="text1"/>
        </w:rPr>
        <w:t xml:space="preserve"> fue la entidad demandante y las demandadas también era entidades públicas), se asignó la competencia a la Jurisdicción Ordinaria en su especialidad civil, al evidenciarse el cumplimiento de los requisitos dispuestos en la excepción del numeral 1 del artículo 105 del CPACA.</w:t>
      </w:r>
    </w:p>
  </w:footnote>
  <w:footnote w:id="27">
    <w:p w14:paraId="388108C3" w14:textId="77777777" w:rsidR="00020277" w:rsidRDefault="001B7B93" w:rsidP="00C447BC">
      <w:pPr>
        <w:pStyle w:val="Textonotapie"/>
        <w:jc w:val="both"/>
      </w:pPr>
      <w:r w:rsidRPr="00C447BC">
        <w:rPr>
          <w:color w:val="000000" w:themeColor="text1"/>
          <w:vertAlign w:val="superscript"/>
        </w:rPr>
        <w:footnoteRef/>
      </w:r>
      <w:r w:rsidRPr="00C447BC">
        <w:rPr>
          <w:color w:val="000000" w:themeColor="text1"/>
        </w:rPr>
        <w:t xml:space="preserve"> CONSEJO DE ESTADO. Sala de lo Contencioso Administrativo. Sección Tercera. Subsección A. M.P. José Roberto Sáchica Méndez. Sentencia del 12 de abril de 2021. Radicado No. </w:t>
      </w:r>
      <w:r w:rsidRPr="00C447BC">
        <w:rPr>
          <w:bCs/>
          <w:color w:val="000000" w:themeColor="text1"/>
        </w:rPr>
        <w:t>25000-23-36-000-2016-02540-02.</w:t>
      </w:r>
    </w:p>
  </w:footnote>
  <w:footnote w:id="28">
    <w:p w14:paraId="4939F5A9" w14:textId="77777777" w:rsidR="00020277" w:rsidRDefault="001B7B93" w:rsidP="00C447BC">
      <w:pPr>
        <w:pStyle w:val="Textonotapie"/>
        <w:jc w:val="both"/>
      </w:pPr>
      <w:r w:rsidRPr="00C447BC">
        <w:rPr>
          <w:color w:val="000000" w:themeColor="text1"/>
          <w:vertAlign w:val="superscript"/>
        </w:rPr>
        <w:footnoteRef/>
      </w:r>
      <w:r w:rsidRPr="00C447BC">
        <w:rPr>
          <w:color w:val="000000" w:themeColor="text1"/>
        </w:rPr>
        <w:t xml:space="preserve"> Auto 904 de 2021. M.P. José Fernando Reyes Cuartas. </w:t>
      </w:r>
    </w:p>
  </w:footnote>
  <w:footnote w:id="29">
    <w:p w14:paraId="4F92368D" w14:textId="77777777" w:rsidR="00020277" w:rsidRDefault="001B7B93" w:rsidP="00C93E60">
      <w:pPr>
        <w:pStyle w:val="Textonotapie"/>
        <w:jc w:val="both"/>
      </w:pPr>
      <w:r w:rsidRPr="00C447BC">
        <w:rPr>
          <w:color w:val="000000" w:themeColor="text1"/>
          <w:vertAlign w:val="superscript"/>
        </w:rPr>
        <w:footnoteRef/>
      </w:r>
      <w:r w:rsidRPr="00C447BC">
        <w:rPr>
          <w:color w:val="000000" w:themeColor="text1"/>
        </w:rPr>
        <w:t xml:space="preserve"> Auto 429 de 2022. M.P. José Fernando Reyes Cuartas. </w:t>
      </w:r>
    </w:p>
  </w:footnote>
  <w:footnote w:id="30">
    <w:p w14:paraId="3743971D" w14:textId="77777777" w:rsidR="00020277" w:rsidRDefault="001B7B93" w:rsidP="00C93E60">
      <w:pPr>
        <w:pStyle w:val="Textonotapie"/>
        <w:jc w:val="both"/>
      </w:pPr>
      <w:r w:rsidRPr="00C447BC">
        <w:rPr>
          <w:color w:val="000000" w:themeColor="text1"/>
          <w:vertAlign w:val="superscript"/>
        </w:rPr>
        <w:footnoteRef/>
      </w:r>
      <w:r w:rsidRPr="00C447BC">
        <w:rPr>
          <w:color w:val="000000" w:themeColor="text1"/>
        </w:rPr>
        <w:t xml:space="preserve"> Auto 295 de 2023. M.P. Jorge Enrique Ibáñez Najar.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A79"/>
    <w:multiLevelType w:val="hybridMultilevel"/>
    <w:tmpl w:val="C30C5840"/>
    <w:lvl w:ilvl="0" w:tplc="52064296">
      <w:start w:val="1"/>
      <w:numFmt w:val="lowerRoman"/>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851B6A"/>
    <w:multiLevelType w:val="hybridMultilevel"/>
    <w:tmpl w:val="EF1EFDB0"/>
    <w:lvl w:ilvl="0" w:tplc="DE40F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E31F94"/>
    <w:multiLevelType w:val="multilevel"/>
    <w:tmpl w:val="C52E324A"/>
    <w:lvl w:ilvl="0">
      <w:start w:val="1"/>
      <w:numFmt w:val="upperRoman"/>
      <w:lvlText w:val="%1."/>
      <w:lvlJc w:val="left"/>
      <w:pPr>
        <w:ind w:left="-872" w:firstLine="1440"/>
      </w:pPr>
      <w:rPr>
        <w:b/>
        <w:bCs/>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rPr>
        <w:b w:val="0"/>
        <w:bCs/>
        <w:i w:val="0"/>
        <w:iCs w:val="0"/>
        <w:u w:val="none"/>
      </w:r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38C47F9C"/>
    <w:multiLevelType w:val="hybridMultilevel"/>
    <w:tmpl w:val="9678068C"/>
    <w:lvl w:ilvl="0" w:tplc="9FB68398">
      <w:start w:val="1"/>
      <w:numFmt w:val="decimal"/>
      <w:lvlText w:val="%1."/>
      <w:lvlJc w:val="left"/>
      <w:pPr>
        <w:ind w:left="360" w:hanging="360"/>
      </w:pPr>
      <w:rPr>
        <w:rFonts w:eastAsia="Times New Roman" w:cs="Times New Roman" w:hint="default"/>
        <w:i w:val="0"/>
        <w:color w:val="000000" w:themeColor="text1"/>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4" w15:restartNumberingAfterBreak="0">
    <w:nsid w:val="3E144C06"/>
    <w:multiLevelType w:val="hybridMultilevel"/>
    <w:tmpl w:val="910E5510"/>
    <w:lvl w:ilvl="0" w:tplc="5BAC38AC">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CCB4AFB"/>
    <w:multiLevelType w:val="hybridMultilevel"/>
    <w:tmpl w:val="67B4F8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97207269">
    <w:abstractNumId w:val="1"/>
  </w:num>
  <w:num w:numId="2" w16cid:durableId="1140079268">
    <w:abstractNumId w:val="2"/>
  </w:num>
  <w:num w:numId="3" w16cid:durableId="1970938487">
    <w:abstractNumId w:val="5"/>
  </w:num>
  <w:num w:numId="4" w16cid:durableId="1989629065">
    <w:abstractNumId w:val="4"/>
  </w:num>
  <w:num w:numId="5" w16cid:durableId="940450814">
    <w:abstractNumId w:val="0"/>
  </w:num>
  <w:num w:numId="6" w16cid:durableId="2126195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14"/>
    <w:rsid w:val="00020277"/>
    <w:rsid w:val="00123AEC"/>
    <w:rsid w:val="001B7B93"/>
    <w:rsid w:val="009A7668"/>
    <w:rsid w:val="00C219FD"/>
    <w:rsid w:val="00D56814"/>
    <w:rsid w:val="00E11A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393A4"/>
  <w14:defaultImageDpi w14:val="0"/>
  <w15:docId w15:val="{214C2276-74F0-4ECC-90FB-7124A433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86E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6EF7"/>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B86EF7"/>
  </w:style>
  <w:style w:type="paragraph" w:styleId="Encabezado">
    <w:name w:val="header"/>
    <w:basedOn w:val="Normal"/>
    <w:link w:val="EncabezadoCar"/>
    <w:uiPriority w:val="99"/>
    <w:unhideWhenUsed/>
    <w:rsid w:val="00B86E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6EF7"/>
    <w:rPr>
      <w:sz w:val="22"/>
      <w:szCs w:val="22"/>
    </w:rPr>
  </w:style>
  <w:style w:type="paragraph" w:styleId="Piedepgina">
    <w:name w:val="footer"/>
    <w:basedOn w:val="Normal"/>
    <w:link w:val="PiedepginaCar"/>
    <w:uiPriority w:val="99"/>
    <w:unhideWhenUsed/>
    <w:rsid w:val="00B86E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6EF7"/>
    <w:rPr>
      <w:sz w:val="22"/>
      <w:szCs w:val="22"/>
    </w:rPr>
  </w:style>
  <w:style w:type="character" w:styleId="Hipervnculo">
    <w:name w:val="Hyperlink"/>
    <w:basedOn w:val="Fuentedeprrafopredeter"/>
    <w:uiPriority w:val="99"/>
    <w:unhideWhenUsed/>
    <w:rsid w:val="00B86EF7"/>
    <w:rPr>
      <w:color w:val="0563C1" w:themeColor="hyperlink"/>
      <w:u w:val="single"/>
    </w:rPr>
  </w:style>
  <w:style w:type="paragraph" w:customStyle="1" w:styleId="Style6">
    <w:name w:val="Style6"/>
    <w:basedOn w:val="Normal"/>
    <w:uiPriority w:val="99"/>
    <w:rsid w:val="00B86EF7"/>
    <w:pPr>
      <w:widowControl w:val="0"/>
      <w:autoSpaceDE w:val="0"/>
      <w:autoSpaceDN w:val="0"/>
      <w:adjustRightInd w:val="0"/>
      <w:spacing w:after="0" w:line="322" w:lineRule="exact"/>
      <w:jc w:val="both"/>
    </w:pPr>
    <w:rPr>
      <w:rFonts w:ascii="Times New Roman" w:eastAsia="Times New Roman" w:hAnsi="Times New Roman" w:cs="Times New Roman"/>
      <w:sz w:val="24"/>
      <w:szCs w:val="24"/>
      <w:lang w:val="es-ES" w:eastAsia="es-ES"/>
    </w:rPr>
  </w:style>
  <w:style w:type="character" w:customStyle="1" w:styleId="FontStyle12">
    <w:name w:val="Font Style12"/>
    <w:uiPriority w:val="99"/>
    <w:rsid w:val="00B86EF7"/>
    <w:rPr>
      <w:rFonts w:ascii="Times New Roman" w:hAnsi="Times New Roman" w:cs="Times New Roman"/>
      <w:sz w:val="26"/>
      <w:szCs w:val="26"/>
    </w:rPr>
  </w:style>
  <w:style w:type="paragraph" w:styleId="NormalWeb">
    <w:name w:val="Normal (Web)"/>
    <w:basedOn w:val="Normal"/>
    <w:uiPriority w:val="99"/>
    <w:unhideWhenUsed/>
    <w:rsid w:val="00B86E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r,Footnote Text Char,Pie de Págin,ft,C"/>
    <w:basedOn w:val="Normal"/>
    <w:link w:val="TextonotapieCar1"/>
    <w:uiPriority w:val="99"/>
    <w:qFormat/>
    <w:rsid w:val="00B86EF7"/>
    <w:pPr>
      <w:spacing w:after="0" w:line="240" w:lineRule="auto"/>
    </w:pPr>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Footnote Text Char Char Char Char Char Char Char Char Car"/>
    <w:link w:val="Textonotapie"/>
    <w:uiPriority w:val="99"/>
    <w:qFormat/>
    <w:locked/>
    <w:rsid w:val="00B86EF7"/>
    <w:rPr>
      <w:rFonts w:ascii="Times New Roman" w:eastAsia="Times New Roman" w:hAnsi="Times New Roman" w:cs="Times New Roman"/>
      <w:sz w:val="20"/>
      <w:szCs w:val="20"/>
      <w:lang w:val="es-ES" w:eastAsia="es-ES"/>
    </w:rPr>
  </w:style>
  <w:style w:type="character" w:customStyle="1" w:styleId="TextonotapieCar">
    <w:name w:val="Texto nota pie Car"/>
    <w:aliases w:val="Ref. de nota al pie1 Car,Texto de nota al pie Car,Footnotes refss Car,Appel note de bas de page Car,referencia nota al pie Car,Footnote number Car,BVI fnr Car,f Car,Fago Fußnotenzeichen Car,Ref. de nota al pie 2 Car,4_G Car,Ref Car"/>
    <w:basedOn w:val="Fuentedeprrafopredeter"/>
    <w:uiPriority w:val="99"/>
    <w:rsid w:val="00B86EF7"/>
    <w:rPr>
      <w:sz w:val="20"/>
      <w:szCs w:val="20"/>
    </w:rPr>
  </w:style>
  <w:style w:type="character" w:styleId="Refdenotaalpie">
    <w:name w:val="footnote reference"/>
    <w:aliases w:val="Texto de nota al pie,Footnotes refss,Appel note de bas de page,referencia nota al pie,Footnote number,BVI fnr,f,Texto nota pie Car Car1,texto de nota al pie Car Car,Texto nota pie Car Car Car,Ref. de nota al pie 2,4_G,16 Point,FC,F,R"/>
    <w:link w:val="Piedepagina"/>
    <w:uiPriority w:val="99"/>
    <w:qFormat/>
    <w:rsid w:val="00B86EF7"/>
    <w:rPr>
      <w:vertAlign w:val="superscript"/>
    </w:rPr>
  </w:style>
  <w:style w:type="paragraph" w:customStyle="1" w:styleId="Piedepagina">
    <w:name w:val="Pie de pagina"/>
    <w:aliases w:val="Ref. de nota al pie2,Nota de pie"/>
    <w:basedOn w:val="Normal"/>
    <w:link w:val="Refdenotaalpie"/>
    <w:rsid w:val="00B86EF7"/>
    <w:pPr>
      <w:spacing w:line="240" w:lineRule="exact"/>
    </w:pPr>
    <w:rPr>
      <w:sz w:val="24"/>
      <w:szCs w:val="24"/>
      <w:vertAlign w:val="superscript"/>
    </w:rPr>
  </w:style>
  <w:style w:type="paragraph" w:customStyle="1" w:styleId="Listavistosa-nfasis11">
    <w:name w:val="Lista vistosa - Énfasis 11"/>
    <w:basedOn w:val="Normal"/>
    <w:uiPriority w:val="34"/>
    <w:qFormat/>
    <w:rsid w:val="00B86EF7"/>
    <w:pPr>
      <w:ind w:left="720"/>
      <w:contextualSpacing/>
    </w:pPr>
    <w:rPr>
      <w:rFonts w:ascii="Times New Roman" w:eastAsia="Calibri" w:hAnsi="Times New Roman" w:cs="Times New Roman"/>
      <w:sz w:val="28"/>
      <w:lang w:val="es-ES"/>
    </w:rPr>
  </w:style>
  <w:style w:type="paragraph" w:styleId="Prrafodelista">
    <w:name w:val="List Paragraph"/>
    <w:aliases w:val="Footnote,Colorful List - Accent 11,List Paragraph2,List Paragraph1,Ha,lp1"/>
    <w:basedOn w:val="Normal"/>
    <w:link w:val="PrrafodelistaCar"/>
    <w:uiPriority w:val="34"/>
    <w:qFormat/>
    <w:rsid w:val="00B86EF7"/>
    <w:pPr>
      <w:ind w:left="720"/>
      <w:contextualSpacing/>
    </w:pPr>
  </w:style>
  <w:style w:type="character" w:customStyle="1" w:styleId="PrrafodelistaCar">
    <w:name w:val="Párrafo de lista Car"/>
    <w:aliases w:val="Footnote Car,Colorful List - Accent 11 Car,List Paragraph2 Car,List Paragraph1 Car,Ha Car,lp1 Car"/>
    <w:basedOn w:val="Fuentedeprrafopredeter"/>
    <w:link w:val="Prrafodelista"/>
    <w:uiPriority w:val="34"/>
    <w:locked/>
    <w:rsid w:val="00B86EF7"/>
    <w:rPr>
      <w:sz w:val="22"/>
      <w:szCs w:val="22"/>
    </w:rPr>
  </w:style>
  <w:style w:type="paragraph" w:styleId="Textocomentario">
    <w:name w:val="annotation text"/>
    <w:basedOn w:val="Normal"/>
    <w:link w:val="TextocomentarioCar"/>
    <w:uiPriority w:val="99"/>
    <w:unhideWhenUsed/>
    <w:rsid w:val="00B86EF7"/>
    <w:pPr>
      <w:spacing w:line="240" w:lineRule="auto"/>
    </w:pPr>
    <w:rPr>
      <w:sz w:val="20"/>
      <w:szCs w:val="20"/>
    </w:rPr>
  </w:style>
  <w:style w:type="character" w:customStyle="1" w:styleId="TextocomentarioCar">
    <w:name w:val="Texto comentario Car"/>
    <w:basedOn w:val="Fuentedeprrafopredeter"/>
    <w:link w:val="Textocomentario"/>
    <w:uiPriority w:val="99"/>
    <w:rsid w:val="00B86EF7"/>
    <w:rPr>
      <w:sz w:val="20"/>
      <w:szCs w:val="20"/>
    </w:rPr>
  </w:style>
  <w:style w:type="character" w:customStyle="1" w:styleId="AsuntodelcomentarioCar">
    <w:name w:val="Asunto del comentario Car"/>
    <w:basedOn w:val="TextocomentarioCar"/>
    <w:link w:val="Asuntodelcomentario"/>
    <w:uiPriority w:val="99"/>
    <w:semiHidden/>
    <w:rsid w:val="00B86EF7"/>
    <w:rPr>
      <w:b/>
      <w:bCs/>
      <w:sz w:val="20"/>
      <w:szCs w:val="20"/>
    </w:rPr>
  </w:style>
  <w:style w:type="paragraph" w:styleId="Asuntodelcomentario">
    <w:name w:val="annotation subject"/>
    <w:basedOn w:val="Textocomentario"/>
    <w:next w:val="Textocomentario"/>
    <w:link w:val="AsuntodelcomentarioCar"/>
    <w:uiPriority w:val="99"/>
    <w:semiHidden/>
    <w:unhideWhenUsed/>
    <w:rsid w:val="00B86EF7"/>
    <w:rPr>
      <w:b/>
      <w:bCs/>
    </w:rPr>
  </w:style>
  <w:style w:type="character" w:customStyle="1" w:styleId="TextodegloboCar">
    <w:name w:val="Texto de globo Car"/>
    <w:basedOn w:val="Fuentedeprrafopredeter"/>
    <w:link w:val="Textodeglobo"/>
    <w:uiPriority w:val="99"/>
    <w:semiHidden/>
    <w:rsid w:val="00B86EF7"/>
    <w:rPr>
      <w:rFonts w:ascii="Lucida Grande" w:hAnsi="Lucida Grande"/>
      <w:sz w:val="18"/>
      <w:szCs w:val="18"/>
    </w:rPr>
  </w:style>
  <w:style w:type="paragraph" w:styleId="Textodeglobo">
    <w:name w:val="Balloon Text"/>
    <w:basedOn w:val="Normal"/>
    <w:link w:val="TextodegloboCar"/>
    <w:uiPriority w:val="99"/>
    <w:semiHidden/>
    <w:unhideWhenUsed/>
    <w:rsid w:val="00B86EF7"/>
    <w:pPr>
      <w:spacing w:after="0" w:line="240" w:lineRule="auto"/>
    </w:pPr>
    <w:rPr>
      <w:rFonts w:ascii="Lucida Grande" w:hAnsi="Lucida Grande"/>
      <w:sz w:val="18"/>
      <w:szCs w:val="18"/>
    </w:rPr>
  </w:style>
  <w:style w:type="table" w:styleId="Tablaconcuadrcula">
    <w:name w:val="Table Grid"/>
    <w:basedOn w:val="Tablanormal"/>
    <w:uiPriority w:val="39"/>
    <w:rsid w:val="00B8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B86EF7"/>
    <w:pPr>
      <w:spacing w:after="120"/>
    </w:pPr>
  </w:style>
  <w:style w:type="character" w:customStyle="1" w:styleId="TextoindependienteCar">
    <w:name w:val="Texto independiente Car"/>
    <w:basedOn w:val="Fuentedeprrafopredeter"/>
    <w:link w:val="Textoindependiente"/>
    <w:uiPriority w:val="99"/>
    <w:semiHidden/>
    <w:rsid w:val="00B86EF7"/>
    <w:rPr>
      <w:sz w:val="22"/>
      <w:szCs w:val="22"/>
    </w:rPr>
  </w:style>
  <w:style w:type="paragraph" w:styleId="Revisin">
    <w:name w:val="Revision"/>
    <w:hidden/>
    <w:uiPriority w:val="99"/>
    <w:semiHidden/>
    <w:rsid w:val="00444CEA"/>
  </w:style>
  <w:style w:type="character" w:styleId="Refdecomentario">
    <w:name w:val="annotation reference"/>
    <w:basedOn w:val="Fuentedeprrafopredeter"/>
    <w:uiPriority w:val="99"/>
    <w:semiHidden/>
    <w:unhideWhenUsed/>
    <w:rsid w:val="003B6FCE"/>
    <w:rPr>
      <w:sz w:val="16"/>
      <w:szCs w:val="16"/>
    </w:rPr>
  </w:style>
  <w:style w:type="table" w:styleId="Tablaconcuadrcula4-nfasis5">
    <w:name w:val="Grid Table 4 Accent 5"/>
    <w:basedOn w:val="Tablanormal"/>
    <w:uiPriority w:val="49"/>
    <w:rsid w:val="004C0B0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
    <w:name w:val="Tabla con cuadrícula1"/>
    <w:basedOn w:val="Tablanormal"/>
    <w:next w:val="Tablaconcuadrcula"/>
    <w:uiPriority w:val="39"/>
    <w:rsid w:val="007746B2"/>
    <w:rPr>
      <w:rFonts w:ascii="Times New Roman" w:hAnsi="Times New Roman" w:cs="Times New Roman"/>
      <w:color w:val="000000" w:themeColor="text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0AFD"/>
    <w:rPr>
      <w:b/>
      <w:bCs/>
    </w:rPr>
  </w:style>
  <w:style w:type="character" w:styleId="nfasis">
    <w:name w:val="Emphasis"/>
    <w:basedOn w:val="Fuentedeprrafopredeter"/>
    <w:uiPriority w:val="20"/>
    <w:qFormat/>
    <w:rsid w:val="00DB42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3492</Words>
  <Characters>19209</Characters>
  <Application>Microsoft Office Word</Application>
  <DocSecurity>0</DocSecurity>
  <Lines>160</Lines>
  <Paragraphs>45</Paragraphs>
  <ScaleCrop>false</ScaleCrop>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UsrIIS</dc:creator>
  <cp:keywords/>
  <dc:description/>
  <cp:lastModifiedBy>Marleny Aldana Sandoval</cp:lastModifiedBy>
  <cp:revision>2</cp:revision>
  <dcterms:created xsi:type="dcterms:W3CDTF">2024-07-09T22:32:00Z</dcterms:created>
  <dcterms:modified xsi:type="dcterms:W3CDTF">2024-07-09T22:32:00Z</dcterms:modified>
</cp:coreProperties>
</file>