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B1291" w14:textId="6D0916BA" w:rsidR="0095067C" w:rsidRDefault="0095067C" w:rsidP="00A65384">
      <w:pPr>
        <w:pStyle w:val="Default"/>
        <w:jc w:val="center"/>
        <w:rPr>
          <w:sz w:val="28"/>
          <w:szCs w:val="28"/>
        </w:rPr>
      </w:pPr>
      <w:r>
        <w:rPr>
          <w:b/>
          <w:bCs/>
          <w:sz w:val="28"/>
          <w:szCs w:val="28"/>
        </w:rPr>
        <w:t>REPÚBLICA DE COLOMBIA</w:t>
      </w:r>
    </w:p>
    <w:p w14:paraId="1D1410BB" w14:textId="10B9D456" w:rsidR="0095067C" w:rsidRDefault="0095067C" w:rsidP="00A65384">
      <w:pPr>
        <w:pStyle w:val="Default"/>
        <w:jc w:val="center"/>
        <w:rPr>
          <w:sz w:val="28"/>
          <w:szCs w:val="28"/>
        </w:rPr>
      </w:pPr>
      <w:r>
        <w:rPr>
          <w:b/>
          <w:bCs/>
          <w:sz w:val="28"/>
          <w:szCs w:val="28"/>
        </w:rPr>
        <w:t>RAMA JUDICIAL</w:t>
      </w:r>
    </w:p>
    <w:p w14:paraId="25D2976C" w14:textId="441396F9" w:rsidR="0095067C" w:rsidRDefault="0095067C" w:rsidP="00A65384">
      <w:pPr>
        <w:pStyle w:val="Default"/>
        <w:jc w:val="center"/>
        <w:rPr>
          <w:sz w:val="28"/>
          <w:szCs w:val="28"/>
        </w:rPr>
      </w:pPr>
      <w:r>
        <w:rPr>
          <w:b/>
          <w:bCs/>
          <w:sz w:val="28"/>
          <w:szCs w:val="28"/>
        </w:rPr>
        <w:t>TRIBUNAL SUPERIOR DE BOGOTÁ, D.C.</w:t>
      </w:r>
    </w:p>
    <w:p w14:paraId="1B07DAA3" w14:textId="3E939CFB" w:rsidR="0095067C" w:rsidRDefault="0095067C" w:rsidP="00A65384">
      <w:pPr>
        <w:pStyle w:val="Default"/>
        <w:jc w:val="center"/>
        <w:rPr>
          <w:sz w:val="28"/>
          <w:szCs w:val="28"/>
        </w:rPr>
      </w:pPr>
      <w:r>
        <w:rPr>
          <w:b/>
          <w:bCs/>
          <w:sz w:val="28"/>
          <w:szCs w:val="28"/>
        </w:rPr>
        <w:t>SALA CIVIL</w:t>
      </w:r>
    </w:p>
    <w:p w14:paraId="130E46A1" w14:textId="77777777" w:rsidR="00A65384" w:rsidRDefault="00A65384" w:rsidP="00A65384">
      <w:pPr>
        <w:pStyle w:val="Default"/>
        <w:jc w:val="center"/>
        <w:rPr>
          <w:sz w:val="28"/>
          <w:szCs w:val="28"/>
        </w:rPr>
      </w:pPr>
    </w:p>
    <w:p w14:paraId="175B4EDF" w14:textId="5E8E4587" w:rsidR="0095067C" w:rsidRDefault="0095067C" w:rsidP="00A65384">
      <w:pPr>
        <w:pStyle w:val="Default"/>
        <w:jc w:val="center"/>
        <w:rPr>
          <w:sz w:val="28"/>
          <w:szCs w:val="28"/>
        </w:rPr>
      </w:pPr>
      <w:r>
        <w:rPr>
          <w:sz w:val="28"/>
          <w:szCs w:val="28"/>
        </w:rPr>
        <w:t>Bogotá, D.C., catorce (14) de noviembre de dos mil veintitrés (2023)</w:t>
      </w:r>
    </w:p>
    <w:p w14:paraId="3F2B9678" w14:textId="77777777" w:rsidR="00A65384" w:rsidRDefault="00A65384" w:rsidP="0095067C">
      <w:pPr>
        <w:pStyle w:val="Default"/>
        <w:rPr>
          <w:b/>
          <w:bCs/>
          <w:sz w:val="28"/>
          <w:szCs w:val="28"/>
        </w:rPr>
      </w:pPr>
    </w:p>
    <w:p w14:paraId="09F6DD23" w14:textId="77777777" w:rsidR="00A65384" w:rsidRDefault="00A65384" w:rsidP="0095067C">
      <w:pPr>
        <w:pStyle w:val="Default"/>
        <w:rPr>
          <w:b/>
          <w:bCs/>
          <w:sz w:val="28"/>
          <w:szCs w:val="28"/>
        </w:rPr>
      </w:pPr>
    </w:p>
    <w:p w14:paraId="24ED8892" w14:textId="36FFFC5D" w:rsidR="0095067C" w:rsidRDefault="0095067C" w:rsidP="0095067C">
      <w:pPr>
        <w:pStyle w:val="Default"/>
        <w:rPr>
          <w:sz w:val="28"/>
          <w:szCs w:val="28"/>
        </w:rPr>
      </w:pPr>
      <w:r>
        <w:rPr>
          <w:b/>
          <w:bCs/>
          <w:sz w:val="28"/>
          <w:szCs w:val="28"/>
        </w:rPr>
        <w:t xml:space="preserve">Radicación: </w:t>
      </w:r>
      <w:r w:rsidR="00A65384">
        <w:rPr>
          <w:b/>
          <w:bCs/>
          <w:sz w:val="28"/>
          <w:szCs w:val="28"/>
        </w:rPr>
        <w:tab/>
      </w:r>
      <w:r>
        <w:rPr>
          <w:sz w:val="28"/>
          <w:szCs w:val="28"/>
        </w:rPr>
        <w:t xml:space="preserve">11001 31 03 </w:t>
      </w:r>
      <w:r>
        <w:rPr>
          <w:b/>
          <w:bCs/>
          <w:sz w:val="28"/>
          <w:szCs w:val="28"/>
        </w:rPr>
        <w:t xml:space="preserve">047 2021 00380 </w:t>
      </w:r>
      <w:r>
        <w:rPr>
          <w:sz w:val="28"/>
          <w:szCs w:val="28"/>
        </w:rPr>
        <w:t xml:space="preserve">01. </w:t>
      </w:r>
    </w:p>
    <w:p w14:paraId="479D0E6C" w14:textId="6A2948E7" w:rsidR="0095067C" w:rsidRDefault="0095067C" w:rsidP="0095067C">
      <w:pPr>
        <w:pStyle w:val="Default"/>
        <w:rPr>
          <w:sz w:val="28"/>
          <w:szCs w:val="28"/>
        </w:rPr>
      </w:pPr>
      <w:r>
        <w:rPr>
          <w:b/>
          <w:bCs/>
          <w:sz w:val="28"/>
          <w:szCs w:val="28"/>
        </w:rPr>
        <w:t xml:space="preserve">Tipo: </w:t>
      </w:r>
      <w:r w:rsidR="00A65384">
        <w:rPr>
          <w:b/>
          <w:bCs/>
          <w:sz w:val="28"/>
          <w:szCs w:val="28"/>
        </w:rPr>
        <w:tab/>
      </w:r>
      <w:r w:rsidR="00A65384">
        <w:rPr>
          <w:b/>
          <w:bCs/>
          <w:sz w:val="28"/>
          <w:szCs w:val="28"/>
        </w:rPr>
        <w:tab/>
      </w:r>
      <w:r w:rsidR="00A65384">
        <w:rPr>
          <w:b/>
          <w:bCs/>
          <w:sz w:val="28"/>
          <w:szCs w:val="28"/>
        </w:rPr>
        <w:tab/>
      </w:r>
      <w:r>
        <w:rPr>
          <w:sz w:val="28"/>
          <w:szCs w:val="28"/>
        </w:rPr>
        <w:t xml:space="preserve">Declarativo. </w:t>
      </w:r>
    </w:p>
    <w:p w14:paraId="6F3F26B7" w14:textId="347ABB8A" w:rsidR="0095067C" w:rsidRDefault="0095067C" w:rsidP="0095067C">
      <w:pPr>
        <w:pStyle w:val="Default"/>
        <w:rPr>
          <w:sz w:val="28"/>
          <w:szCs w:val="28"/>
        </w:rPr>
      </w:pPr>
      <w:r>
        <w:rPr>
          <w:b/>
          <w:bCs/>
          <w:sz w:val="28"/>
          <w:szCs w:val="28"/>
        </w:rPr>
        <w:t xml:space="preserve">Demandante: </w:t>
      </w:r>
      <w:r w:rsidR="00A65384">
        <w:rPr>
          <w:b/>
          <w:bCs/>
          <w:sz w:val="28"/>
          <w:szCs w:val="28"/>
        </w:rPr>
        <w:tab/>
      </w:r>
      <w:r>
        <w:rPr>
          <w:sz w:val="28"/>
          <w:szCs w:val="28"/>
        </w:rPr>
        <w:t xml:space="preserve">Guillermo Prieto Otálora, Alberto Otálora y José </w:t>
      </w:r>
      <w:r>
        <w:rPr>
          <w:color w:val="FFFFFF"/>
          <w:sz w:val="28"/>
          <w:szCs w:val="28"/>
        </w:rPr>
        <w:t>…</w:t>
      </w:r>
      <w:proofErr w:type="gramStart"/>
      <w:r>
        <w:rPr>
          <w:color w:val="FFFFFF"/>
          <w:sz w:val="28"/>
          <w:szCs w:val="28"/>
        </w:rPr>
        <w:t>…….</w:t>
      </w:r>
      <w:proofErr w:type="gramEnd"/>
      <w:r>
        <w:rPr>
          <w:color w:val="FFFFFF"/>
          <w:sz w:val="28"/>
          <w:szCs w:val="28"/>
        </w:rPr>
        <w:t>.</w:t>
      </w:r>
      <w:r w:rsidR="00A65384">
        <w:rPr>
          <w:color w:val="FFFFFF"/>
          <w:sz w:val="28"/>
          <w:szCs w:val="28"/>
        </w:rPr>
        <w:tab/>
      </w:r>
      <w:r w:rsidR="00A65384">
        <w:rPr>
          <w:color w:val="FFFFFF"/>
          <w:sz w:val="28"/>
          <w:szCs w:val="28"/>
        </w:rPr>
        <w:tab/>
      </w:r>
      <w:r w:rsidR="00A65384">
        <w:rPr>
          <w:color w:val="FFFFFF"/>
          <w:sz w:val="28"/>
          <w:szCs w:val="28"/>
        </w:rPr>
        <w:tab/>
      </w:r>
      <w:r w:rsidR="00A65384">
        <w:rPr>
          <w:color w:val="FFFFFF"/>
          <w:sz w:val="28"/>
          <w:szCs w:val="28"/>
        </w:rPr>
        <w:tab/>
      </w:r>
      <w:r>
        <w:rPr>
          <w:sz w:val="28"/>
          <w:szCs w:val="28"/>
        </w:rPr>
        <w:t xml:space="preserve">Antonio Otálora. </w:t>
      </w:r>
    </w:p>
    <w:p w14:paraId="64BD2062" w14:textId="6C117B91" w:rsidR="0095067C" w:rsidRDefault="0095067C" w:rsidP="0095067C">
      <w:pPr>
        <w:pStyle w:val="Default"/>
        <w:rPr>
          <w:sz w:val="28"/>
          <w:szCs w:val="28"/>
        </w:rPr>
      </w:pPr>
      <w:r>
        <w:rPr>
          <w:b/>
          <w:bCs/>
          <w:sz w:val="28"/>
          <w:szCs w:val="28"/>
        </w:rPr>
        <w:t xml:space="preserve">Demandado: </w:t>
      </w:r>
      <w:r w:rsidR="00A65384">
        <w:rPr>
          <w:b/>
          <w:bCs/>
          <w:sz w:val="28"/>
          <w:szCs w:val="28"/>
        </w:rPr>
        <w:tab/>
      </w:r>
      <w:r>
        <w:rPr>
          <w:sz w:val="28"/>
          <w:szCs w:val="28"/>
        </w:rPr>
        <w:t xml:space="preserve">Empresa de Transportes En Ruta S.A., y Allianz </w:t>
      </w:r>
      <w:r>
        <w:rPr>
          <w:color w:val="FFFFFF"/>
          <w:sz w:val="28"/>
          <w:szCs w:val="28"/>
        </w:rPr>
        <w:t>……….</w:t>
      </w:r>
      <w:r w:rsidR="00A65384">
        <w:rPr>
          <w:color w:val="FFFFFF"/>
          <w:sz w:val="28"/>
          <w:szCs w:val="28"/>
        </w:rPr>
        <w:tab/>
      </w:r>
      <w:r w:rsidR="00A65384">
        <w:rPr>
          <w:color w:val="FFFFFF"/>
          <w:sz w:val="28"/>
          <w:szCs w:val="28"/>
        </w:rPr>
        <w:tab/>
      </w:r>
      <w:r w:rsidR="00A65384">
        <w:rPr>
          <w:color w:val="FFFFFF"/>
          <w:sz w:val="28"/>
          <w:szCs w:val="28"/>
        </w:rPr>
        <w:tab/>
      </w:r>
      <w:r w:rsidR="00A65384">
        <w:rPr>
          <w:color w:val="FFFFFF"/>
          <w:sz w:val="28"/>
          <w:szCs w:val="28"/>
        </w:rPr>
        <w:tab/>
      </w:r>
      <w:r>
        <w:rPr>
          <w:sz w:val="28"/>
          <w:szCs w:val="28"/>
        </w:rPr>
        <w:t xml:space="preserve">Seguros S.A. </w:t>
      </w:r>
    </w:p>
    <w:p w14:paraId="24D9AF86" w14:textId="77777777" w:rsidR="00A65384" w:rsidRDefault="00A65384" w:rsidP="00A65384">
      <w:pPr>
        <w:pStyle w:val="Default"/>
        <w:jc w:val="center"/>
        <w:rPr>
          <w:sz w:val="28"/>
          <w:szCs w:val="28"/>
        </w:rPr>
      </w:pPr>
    </w:p>
    <w:p w14:paraId="46902AA4" w14:textId="75BE6947" w:rsidR="0095067C" w:rsidRDefault="0095067C" w:rsidP="00A65384">
      <w:pPr>
        <w:pStyle w:val="Default"/>
        <w:jc w:val="center"/>
        <w:rPr>
          <w:sz w:val="28"/>
          <w:szCs w:val="28"/>
        </w:rPr>
      </w:pPr>
      <w:r>
        <w:rPr>
          <w:sz w:val="28"/>
          <w:szCs w:val="28"/>
        </w:rPr>
        <w:t xml:space="preserve">Magistrada Sustanciadora: </w:t>
      </w:r>
      <w:r>
        <w:rPr>
          <w:b/>
          <w:bCs/>
          <w:sz w:val="28"/>
          <w:szCs w:val="28"/>
        </w:rPr>
        <w:t>ADRIANA AYALA PULGARÍN</w:t>
      </w:r>
    </w:p>
    <w:p w14:paraId="20E0B442" w14:textId="77777777" w:rsidR="00A65384" w:rsidRDefault="00A65384" w:rsidP="0095067C">
      <w:pPr>
        <w:pStyle w:val="Default"/>
        <w:rPr>
          <w:sz w:val="28"/>
          <w:szCs w:val="28"/>
        </w:rPr>
      </w:pPr>
    </w:p>
    <w:p w14:paraId="51921A55" w14:textId="77777777" w:rsidR="00A65384" w:rsidRDefault="00A65384" w:rsidP="00A65384">
      <w:pPr>
        <w:pStyle w:val="Default"/>
        <w:jc w:val="both"/>
        <w:rPr>
          <w:sz w:val="28"/>
          <w:szCs w:val="28"/>
        </w:rPr>
      </w:pPr>
    </w:p>
    <w:p w14:paraId="23C0A3A8" w14:textId="677012E7" w:rsidR="0095067C" w:rsidRDefault="0095067C" w:rsidP="00A65384">
      <w:pPr>
        <w:pStyle w:val="Default"/>
        <w:jc w:val="both"/>
        <w:rPr>
          <w:sz w:val="28"/>
          <w:szCs w:val="28"/>
        </w:rPr>
      </w:pPr>
      <w:r>
        <w:rPr>
          <w:sz w:val="28"/>
          <w:szCs w:val="28"/>
        </w:rPr>
        <w:t xml:space="preserve">Se deciden los recursos de apelación formulados por los demandados contra el auto de 9 de junio de 2022 proferido por el Juzgado Cuarenta y Siete Civil del Circuito de Bogotá D.C. </w:t>
      </w:r>
    </w:p>
    <w:p w14:paraId="35073EE9" w14:textId="77777777" w:rsidR="00EF369C" w:rsidRDefault="00EF369C" w:rsidP="00A65384">
      <w:pPr>
        <w:pStyle w:val="Default"/>
        <w:jc w:val="both"/>
        <w:rPr>
          <w:b/>
          <w:bCs/>
          <w:sz w:val="28"/>
          <w:szCs w:val="28"/>
        </w:rPr>
      </w:pPr>
    </w:p>
    <w:p w14:paraId="305321D9" w14:textId="3C02085A" w:rsidR="0095067C" w:rsidRDefault="0095067C" w:rsidP="00A65384">
      <w:pPr>
        <w:pStyle w:val="Default"/>
        <w:jc w:val="both"/>
        <w:rPr>
          <w:sz w:val="28"/>
          <w:szCs w:val="28"/>
        </w:rPr>
      </w:pPr>
      <w:r>
        <w:rPr>
          <w:b/>
          <w:bCs/>
          <w:sz w:val="28"/>
          <w:szCs w:val="28"/>
        </w:rPr>
        <w:t xml:space="preserve">ANTECEDENTES </w:t>
      </w:r>
    </w:p>
    <w:p w14:paraId="4E46DCE5" w14:textId="77777777" w:rsidR="00EF369C" w:rsidRDefault="00EF369C" w:rsidP="00A65384">
      <w:pPr>
        <w:pStyle w:val="Default"/>
        <w:jc w:val="both"/>
        <w:rPr>
          <w:b/>
          <w:bCs/>
          <w:sz w:val="28"/>
          <w:szCs w:val="28"/>
        </w:rPr>
      </w:pPr>
    </w:p>
    <w:p w14:paraId="4395D436" w14:textId="2B705B50" w:rsidR="0095067C" w:rsidRDefault="0095067C" w:rsidP="00A65384">
      <w:pPr>
        <w:pStyle w:val="Default"/>
        <w:jc w:val="both"/>
        <w:rPr>
          <w:color w:val="auto"/>
          <w:sz w:val="28"/>
          <w:szCs w:val="28"/>
        </w:rPr>
      </w:pPr>
      <w:r>
        <w:rPr>
          <w:b/>
          <w:bCs/>
          <w:sz w:val="28"/>
          <w:szCs w:val="28"/>
        </w:rPr>
        <w:t xml:space="preserve">1. </w:t>
      </w:r>
      <w:r>
        <w:rPr>
          <w:sz w:val="28"/>
          <w:szCs w:val="28"/>
        </w:rPr>
        <w:t xml:space="preserve">Mediante el proveído censurado el </w:t>
      </w:r>
      <w:r>
        <w:rPr>
          <w:i/>
          <w:iCs/>
          <w:sz w:val="28"/>
          <w:szCs w:val="28"/>
        </w:rPr>
        <w:t xml:space="preserve">a quo </w:t>
      </w:r>
      <w:r>
        <w:rPr>
          <w:sz w:val="28"/>
          <w:szCs w:val="28"/>
        </w:rPr>
        <w:t>de una parte negó decretarlos testimonios solicitados por la demandada Empresa de Transportes en Ruta S.A.S.</w:t>
      </w:r>
      <w:r>
        <w:rPr>
          <w:i/>
          <w:iCs/>
          <w:sz w:val="28"/>
          <w:szCs w:val="28"/>
        </w:rPr>
        <w:t xml:space="preserve">, </w:t>
      </w:r>
      <w:r>
        <w:rPr>
          <w:sz w:val="28"/>
          <w:szCs w:val="28"/>
        </w:rPr>
        <w:t xml:space="preserve">indicando que estos </w:t>
      </w:r>
      <w:r>
        <w:rPr>
          <w:i/>
          <w:iCs/>
          <w:sz w:val="28"/>
          <w:szCs w:val="28"/>
        </w:rPr>
        <w:t>“no fueron solicitados con la claridad pertinente que indica el Art. 212 del Código General del Proceso”</w:t>
      </w:r>
      <w:r>
        <w:rPr>
          <w:sz w:val="28"/>
          <w:szCs w:val="28"/>
        </w:rPr>
        <w:t>, y de otra, le ordenó a Allianz Seguros S.A.S., “</w:t>
      </w:r>
      <w:r>
        <w:rPr>
          <w:i/>
          <w:iCs/>
          <w:sz w:val="28"/>
          <w:szCs w:val="28"/>
        </w:rPr>
        <w:t>arrimar al</w:t>
      </w:r>
      <w:r w:rsidR="00970DEE">
        <w:rPr>
          <w:i/>
          <w:iCs/>
          <w:sz w:val="28"/>
          <w:szCs w:val="28"/>
        </w:rPr>
        <w:t xml:space="preserve"> </w:t>
      </w:r>
      <w:r>
        <w:rPr>
          <w:i/>
          <w:iCs/>
          <w:color w:val="auto"/>
          <w:sz w:val="28"/>
          <w:szCs w:val="28"/>
        </w:rPr>
        <w:t>litigio la experticia pedidas</w:t>
      </w:r>
      <w:r>
        <w:rPr>
          <w:color w:val="auto"/>
          <w:sz w:val="28"/>
          <w:szCs w:val="28"/>
        </w:rPr>
        <w:t xml:space="preserve">(sic) </w:t>
      </w:r>
      <w:r>
        <w:rPr>
          <w:i/>
          <w:iCs/>
          <w:color w:val="auto"/>
          <w:sz w:val="28"/>
          <w:szCs w:val="28"/>
        </w:rPr>
        <w:t>con el escrito de contestación de la demanda, en el lapso de 15 días hábiles, y del mismo correrle traslado a su contraparte para su contradicción”</w:t>
      </w:r>
      <w:r>
        <w:rPr>
          <w:color w:val="auto"/>
          <w:sz w:val="17"/>
          <w:szCs w:val="17"/>
        </w:rPr>
        <w:t>1</w:t>
      </w:r>
      <w:r>
        <w:rPr>
          <w:i/>
          <w:iCs/>
          <w:color w:val="auto"/>
          <w:sz w:val="28"/>
          <w:szCs w:val="28"/>
        </w:rPr>
        <w:t xml:space="preserve">. </w:t>
      </w:r>
    </w:p>
    <w:p w14:paraId="65FAE126" w14:textId="77777777" w:rsidR="0095067C" w:rsidRDefault="0095067C" w:rsidP="00A65384">
      <w:pPr>
        <w:pStyle w:val="Default"/>
        <w:jc w:val="both"/>
        <w:rPr>
          <w:color w:val="auto"/>
          <w:sz w:val="28"/>
          <w:szCs w:val="28"/>
        </w:rPr>
      </w:pPr>
    </w:p>
    <w:p w14:paraId="649C5E39" w14:textId="77777777" w:rsidR="0095067C" w:rsidRDefault="0095067C" w:rsidP="00A65384">
      <w:pPr>
        <w:pStyle w:val="Default"/>
        <w:jc w:val="both"/>
        <w:rPr>
          <w:sz w:val="20"/>
          <w:szCs w:val="20"/>
        </w:rPr>
      </w:pPr>
      <w:r>
        <w:rPr>
          <w:rFonts w:ascii="Arial" w:hAnsi="Arial" w:cs="Arial"/>
          <w:i/>
          <w:iCs/>
          <w:sz w:val="13"/>
          <w:szCs w:val="13"/>
        </w:rPr>
        <w:t xml:space="preserve">1 </w:t>
      </w:r>
      <w:proofErr w:type="gramStart"/>
      <w:r>
        <w:rPr>
          <w:rFonts w:ascii="Arial" w:hAnsi="Arial" w:cs="Arial"/>
          <w:i/>
          <w:iCs/>
          <w:sz w:val="20"/>
          <w:szCs w:val="20"/>
        </w:rPr>
        <w:t>Cfr.</w:t>
      </w:r>
      <w:proofErr w:type="gramEnd"/>
      <w:r>
        <w:rPr>
          <w:rFonts w:ascii="Arial" w:hAnsi="Arial" w:cs="Arial"/>
          <w:i/>
          <w:iCs/>
          <w:sz w:val="20"/>
          <w:szCs w:val="20"/>
        </w:rPr>
        <w:t xml:space="preserve"> Folio 29 Archivo: “01Copia Carpeta Principal”. </w:t>
      </w:r>
    </w:p>
    <w:p w14:paraId="5DD78E5E" w14:textId="77777777" w:rsidR="0095067C" w:rsidRDefault="0095067C" w:rsidP="00A65384">
      <w:pPr>
        <w:pStyle w:val="Default"/>
        <w:jc w:val="both"/>
        <w:rPr>
          <w:sz w:val="20"/>
          <w:szCs w:val="20"/>
        </w:rPr>
      </w:pPr>
      <w:r>
        <w:rPr>
          <w:rFonts w:ascii="Arial" w:hAnsi="Arial" w:cs="Arial"/>
          <w:i/>
          <w:iCs/>
          <w:sz w:val="13"/>
          <w:szCs w:val="13"/>
        </w:rPr>
        <w:t xml:space="preserve">2 </w:t>
      </w:r>
      <w:proofErr w:type="gramStart"/>
      <w:r>
        <w:rPr>
          <w:rFonts w:ascii="Arial" w:hAnsi="Arial" w:cs="Arial"/>
          <w:i/>
          <w:iCs/>
          <w:sz w:val="20"/>
          <w:szCs w:val="20"/>
        </w:rPr>
        <w:t>Cfr.</w:t>
      </w:r>
      <w:proofErr w:type="gramEnd"/>
      <w:r>
        <w:rPr>
          <w:rFonts w:ascii="Arial" w:hAnsi="Arial" w:cs="Arial"/>
          <w:i/>
          <w:iCs/>
          <w:sz w:val="20"/>
          <w:szCs w:val="20"/>
        </w:rPr>
        <w:t xml:space="preserve"> Folio 32 Archivo: “01Copia </w:t>
      </w:r>
      <w:proofErr w:type="spellStart"/>
      <w:r>
        <w:rPr>
          <w:rFonts w:ascii="Arial" w:hAnsi="Arial" w:cs="Arial"/>
          <w:i/>
          <w:iCs/>
          <w:sz w:val="20"/>
          <w:szCs w:val="20"/>
        </w:rPr>
        <w:t>CarpetaPrincipal</w:t>
      </w:r>
      <w:proofErr w:type="spellEnd"/>
      <w:r>
        <w:rPr>
          <w:rFonts w:ascii="Arial" w:hAnsi="Arial" w:cs="Arial"/>
          <w:i/>
          <w:iCs/>
          <w:sz w:val="20"/>
          <w:szCs w:val="20"/>
        </w:rPr>
        <w:t xml:space="preserve">”. </w:t>
      </w:r>
    </w:p>
    <w:p w14:paraId="317D87F0" w14:textId="77777777" w:rsidR="0095067C" w:rsidRDefault="0095067C" w:rsidP="00A65384">
      <w:pPr>
        <w:pStyle w:val="Default"/>
        <w:jc w:val="both"/>
        <w:rPr>
          <w:sz w:val="20"/>
          <w:szCs w:val="20"/>
        </w:rPr>
      </w:pPr>
      <w:r>
        <w:rPr>
          <w:rFonts w:ascii="Arial" w:hAnsi="Arial" w:cs="Arial"/>
          <w:i/>
          <w:iCs/>
          <w:sz w:val="13"/>
          <w:szCs w:val="13"/>
        </w:rPr>
        <w:t xml:space="preserve">3 </w:t>
      </w:r>
      <w:proofErr w:type="gramStart"/>
      <w:r>
        <w:rPr>
          <w:rFonts w:ascii="Arial" w:hAnsi="Arial" w:cs="Arial"/>
          <w:i/>
          <w:iCs/>
          <w:sz w:val="20"/>
          <w:szCs w:val="20"/>
        </w:rPr>
        <w:t>Cfr.</w:t>
      </w:r>
      <w:proofErr w:type="gramEnd"/>
      <w:r>
        <w:rPr>
          <w:rFonts w:ascii="Arial" w:hAnsi="Arial" w:cs="Arial"/>
          <w:i/>
          <w:iCs/>
          <w:sz w:val="20"/>
          <w:szCs w:val="20"/>
        </w:rPr>
        <w:t xml:space="preserve"> Folio 31 Archivo: “01Copia </w:t>
      </w:r>
      <w:proofErr w:type="spellStart"/>
      <w:r>
        <w:rPr>
          <w:rFonts w:ascii="Arial" w:hAnsi="Arial" w:cs="Arial"/>
          <w:i/>
          <w:iCs/>
          <w:sz w:val="20"/>
          <w:szCs w:val="20"/>
        </w:rPr>
        <w:t>CarpetaPrincipal</w:t>
      </w:r>
      <w:proofErr w:type="spellEnd"/>
      <w:r>
        <w:rPr>
          <w:rFonts w:ascii="Arial" w:hAnsi="Arial" w:cs="Arial"/>
          <w:i/>
          <w:iCs/>
          <w:sz w:val="20"/>
          <w:szCs w:val="20"/>
        </w:rPr>
        <w:t xml:space="preserve">”. </w:t>
      </w:r>
    </w:p>
    <w:p w14:paraId="37D4C938" w14:textId="77777777" w:rsidR="0095067C" w:rsidRDefault="0095067C" w:rsidP="00A65384">
      <w:pPr>
        <w:pStyle w:val="Default"/>
        <w:jc w:val="both"/>
        <w:rPr>
          <w:color w:val="auto"/>
          <w:sz w:val="28"/>
          <w:szCs w:val="28"/>
        </w:rPr>
      </w:pPr>
      <w:r>
        <w:rPr>
          <w:rFonts w:ascii="Arial" w:hAnsi="Arial" w:cs="Arial"/>
          <w:i/>
          <w:iCs/>
          <w:sz w:val="13"/>
          <w:szCs w:val="13"/>
        </w:rPr>
        <w:t xml:space="preserve">4 </w:t>
      </w:r>
      <w:proofErr w:type="gramStart"/>
      <w:r>
        <w:rPr>
          <w:rFonts w:ascii="Arial" w:hAnsi="Arial" w:cs="Arial"/>
          <w:i/>
          <w:iCs/>
          <w:sz w:val="20"/>
          <w:szCs w:val="20"/>
        </w:rPr>
        <w:t>Cfr.</w:t>
      </w:r>
      <w:proofErr w:type="gramEnd"/>
      <w:r>
        <w:rPr>
          <w:rFonts w:ascii="Arial" w:hAnsi="Arial" w:cs="Arial"/>
          <w:i/>
          <w:iCs/>
          <w:sz w:val="20"/>
          <w:szCs w:val="20"/>
        </w:rPr>
        <w:t xml:space="preserve"> Folio 37 Archivo: “01Copia </w:t>
      </w:r>
      <w:proofErr w:type="spellStart"/>
      <w:r>
        <w:rPr>
          <w:rFonts w:ascii="Arial" w:hAnsi="Arial" w:cs="Arial"/>
          <w:i/>
          <w:iCs/>
          <w:sz w:val="20"/>
          <w:szCs w:val="20"/>
        </w:rPr>
        <w:t>CarpetaPrincipal</w:t>
      </w:r>
      <w:proofErr w:type="spellEnd"/>
      <w:r>
        <w:rPr>
          <w:rFonts w:ascii="Arial" w:hAnsi="Arial" w:cs="Arial"/>
          <w:i/>
          <w:iCs/>
          <w:sz w:val="20"/>
          <w:szCs w:val="20"/>
        </w:rPr>
        <w:t xml:space="preserve">”. </w:t>
      </w:r>
    </w:p>
    <w:p w14:paraId="123AF050" w14:textId="77777777" w:rsidR="00970DEE" w:rsidRDefault="00970DEE" w:rsidP="00A65384">
      <w:pPr>
        <w:pStyle w:val="Default"/>
        <w:jc w:val="both"/>
        <w:rPr>
          <w:b/>
          <w:bCs/>
          <w:color w:val="auto"/>
          <w:sz w:val="28"/>
          <w:szCs w:val="28"/>
        </w:rPr>
      </w:pPr>
    </w:p>
    <w:p w14:paraId="79384AAC" w14:textId="044A964C" w:rsidR="0095067C" w:rsidRDefault="0095067C" w:rsidP="00A65384">
      <w:pPr>
        <w:pStyle w:val="Default"/>
        <w:jc w:val="both"/>
        <w:rPr>
          <w:color w:val="auto"/>
          <w:sz w:val="28"/>
          <w:szCs w:val="28"/>
        </w:rPr>
      </w:pPr>
      <w:r>
        <w:rPr>
          <w:b/>
          <w:bCs/>
          <w:color w:val="auto"/>
          <w:sz w:val="28"/>
          <w:szCs w:val="28"/>
        </w:rPr>
        <w:t xml:space="preserve">2. </w:t>
      </w:r>
      <w:r>
        <w:rPr>
          <w:color w:val="auto"/>
          <w:sz w:val="28"/>
          <w:szCs w:val="28"/>
        </w:rPr>
        <w:t xml:space="preserve">Inconformes, los demandados presentaron recursos de reposición y en subsidio de apelación; la Empresa de Transportes en Ruta S.A.S., señaló, en lo que respecta a la prueba testimonial negada, que en la solicitud indicó, sobre las personas citadas, que </w:t>
      </w:r>
      <w:r>
        <w:rPr>
          <w:i/>
          <w:iCs/>
          <w:color w:val="auto"/>
          <w:sz w:val="28"/>
          <w:szCs w:val="28"/>
        </w:rPr>
        <w:t xml:space="preserve">“conocieron de forma presencial las circunstancias de tiempo modo y lugar” </w:t>
      </w:r>
      <w:r>
        <w:rPr>
          <w:color w:val="auto"/>
          <w:sz w:val="17"/>
          <w:szCs w:val="17"/>
        </w:rPr>
        <w:t>2</w:t>
      </w:r>
      <w:r>
        <w:rPr>
          <w:i/>
          <w:iCs/>
          <w:color w:val="auto"/>
          <w:sz w:val="28"/>
          <w:szCs w:val="28"/>
        </w:rPr>
        <w:t xml:space="preserve">, </w:t>
      </w:r>
      <w:r>
        <w:rPr>
          <w:color w:val="auto"/>
          <w:sz w:val="28"/>
          <w:szCs w:val="28"/>
        </w:rPr>
        <w:t xml:space="preserve">mientras que, Allianz Seguro S.A.S., pidió sea contabilizado el término de 15 días para presentar </w:t>
      </w:r>
      <w:r w:rsidR="00970DEE">
        <w:rPr>
          <w:color w:val="auto"/>
          <w:sz w:val="28"/>
          <w:szCs w:val="28"/>
        </w:rPr>
        <w:lastRenderedPageBreak/>
        <w:t>e</w:t>
      </w:r>
      <w:r>
        <w:rPr>
          <w:color w:val="auto"/>
          <w:sz w:val="28"/>
          <w:szCs w:val="28"/>
        </w:rPr>
        <w:t xml:space="preserve">l dictamen desde </w:t>
      </w:r>
      <w:r>
        <w:rPr>
          <w:i/>
          <w:iCs/>
          <w:color w:val="auto"/>
          <w:sz w:val="28"/>
          <w:szCs w:val="28"/>
        </w:rPr>
        <w:t xml:space="preserve">“el día siguiente a que fuere remitida la información y documentos por las sociedades Empresa Transportes En Ruta S.A.S, </w:t>
      </w:r>
      <w:proofErr w:type="spellStart"/>
      <w:r>
        <w:rPr>
          <w:i/>
          <w:iCs/>
          <w:color w:val="auto"/>
          <w:sz w:val="28"/>
          <w:szCs w:val="28"/>
        </w:rPr>
        <w:t>Lipesa</w:t>
      </w:r>
      <w:proofErr w:type="spellEnd"/>
      <w:r>
        <w:rPr>
          <w:i/>
          <w:iCs/>
          <w:color w:val="auto"/>
          <w:sz w:val="28"/>
          <w:szCs w:val="28"/>
        </w:rPr>
        <w:t xml:space="preserve"> S.A.S Y </w:t>
      </w:r>
      <w:proofErr w:type="spellStart"/>
      <w:r>
        <w:rPr>
          <w:i/>
          <w:iCs/>
          <w:color w:val="auto"/>
          <w:sz w:val="28"/>
          <w:szCs w:val="28"/>
        </w:rPr>
        <w:t>Emerald</w:t>
      </w:r>
      <w:proofErr w:type="spellEnd"/>
      <w:r>
        <w:rPr>
          <w:i/>
          <w:iCs/>
          <w:color w:val="auto"/>
          <w:sz w:val="28"/>
          <w:szCs w:val="28"/>
        </w:rPr>
        <w:t xml:space="preserve"> Energy Plc”</w:t>
      </w:r>
      <w:r>
        <w:rPr>
          <w:color w:val="auto"/>
          <w:sz w:val="17"/>
          <w:szCs w:val="17"/>
        </w:rPr>
        <w:t>3</w:t>
      </w:r>
      <w:r>
        <w:rPr>
          <w:i/>
          <w:iCs/>
          <w:color w:val="auto"/>
          <w:sz w:val="28"/>
          <w:szCs w:val="28"/>
        </w:rPr>
        <w:t xml:space="preserve">. </w:t>
      </w:r>
    </w:p>
    <w:p w14:paraId="7F95A6CF" w14:textId="77777777" w:rsidR="0095067C" w:rsidRDefault="0095067C" w:rsidP="00A65384">
      <w:pPr>
        <w:pStyle w:val="Default"/>
        <w:jc w:val="both"/>
        <w:rPr>
          <w:color w:val="auto"/>
          <w:sz w:val="28"/>
          <w:szCs w:val="28"/>
        </w:rPr>
      </w:pPr>
    </w:p>
    <w:p w14:paraId="2B2D5CFE" w14:textId="77777777" w:rsidR="0095067C" w:rsidRDefault="0095067C" w:rsidP="00A65384">
      <w:pPr>
        <w:pStyle w:val="Default"/>
        <w:jc w:val="both"/>
        <w:rPr>
          <w:color w:val="auto"/>
          <w:sz w:val="28"/>
          <w:szCs w:val="28"/>
        </w:rPr>
      </w:pPr>
      <w:r>
        <w:rPr>
          <w:b/>
          <w:bCs/>
          <w:color w:val="auto"/>
          <w:sz w:val="28"/>
          <w:szCs w:val="28"/>
        </w:rPr>
        <w:t xml:space="preserve">3. </w:t>
      </w:r>
      <w:r>
        <w:rPr>
          <w:color w:val="auto"/>
          <w:sz w:val="28"/>
          <w:szCs w:val="28"/>
        </w:rPr>
        <w:t xml:space="preserve">Mediante auto del 29 de marzo del 2023, el juez de primera instancia desató de manera conjunta los recursos propuestos, manteniendo la decisión cuestionada, al considerar, de un lado que, la prueba testimonial pretendida </w:t>
      </w:r>
      <w:r>
        <w:rPr>
          <w:i/>
          <w:iCs/>
          <w:color w:val="auto"/>
          <w:sz w:val="28"/>
          <w:szCs w:val="28"/>
        </w:rPr>
        <w:t xml:space="preserve">“no </w:t>
      </w:r>
      <w:proofErr w:type="spellStart"/>
      <w:r>
        <w:rPr>
          <w:i/>
          <w:iCs/>
          <w:color w:val="auto"/>
          <w:sz w:val="28"/>
          <w:szCs w:val="28"/>
        </w:rPr>
        <w:t>reune</w:t>
      </w:r>
      <w:proofErr w:type="spellEnd"/>
      <w:r>
        <w:rPr>
          <w:color w:val="auto"/>
          <w:sz w:val="28"/>
          <w:szCs w:val="28"/>
        </w:rPr>
        <w:t xml:space="preserve">(sic) </w:t>
      </w:r>
      <w:r>
        <w:rPr>
          <w:i/>
          <w:iCs/>
          <w:color w:val="auto"/>
          <w:sz w:val="28"/>
          <w:szCs w:val="28"/>
        </w:rPr>
        <w:t>los requisitos indicados por la norma procesal, toda vez que en el listado de personas cuyo testimonio</w:t>
      </w:r>
      <w:r>
        <w:rPr>
          <w:color w:val="auto"/>
          <w:sz w:val="28"/>
          <w:szCs w:val="28"/>
        </w:rPr>
        <w:t xml:space="preserve">(sic) </w:t>
      </w:r>
      <w:r>
        <w:rPr>
          <w:i/>
          <w:iCs/>
          <w:color w:val="auto"/>
          <w:sz w:val="28"/>
          <w:szCs w:val="28"/>
        </w:rPr>
        <w:t xml:space="preserve">se solicita no se indicó, de forma concreta los hechos sobre los cuales estos iban a rendir su testimonio” </w:t>
      </w:r>
      <w:r>
        <w:rPr>
          <w:color w:val="auto"/>
          <w:sz w:val="28"/>
          <w:szCs w:val="28"/>
        </w:rPr>
        <w:t xml:space="preserve">y; de otro, que término otorgado para arrimar la prueba pericial, es </w:t>
      </w:r>
      <w:r>
        <w:rPr>
          <w:i/>
          <w:iCs/>
          <w:color w:val="auto"/>
          <w:sz w:val="28"/>
          <w:szCs w:val="28"/>
        </w:rPr>
        <w:t>“un lapso prudente y apropiado para arrimar las pericias necesarias y solicitas</w:t>
      </w:r>
      <w:r>
        <w:rPr>
          <w:color w:val="auto"/>
          <w:sz w:val="28"/>
          <w:szCs w:val="28"/>
        </w:rPr>
        <w:t xml:space="preserve">(sic) </w:t>
      </w:r>
      <w:r>
        <w:rPr>
          <w:i/>
          <w:iCs/>
          <w:color w:val="auto"/>
          <w:sz w:val="28"/>
          <w:szCs w:val="28"/>
        </w:rPr>
        <w:t>en término por la demandante, los cuales pudo haber arrimado incluso sin que este Despacho lo hubiese requerido, en suma, dar más tiempo para tal actuación atentaría incluso con la celeridad procesal”</w:t>
      </w:r>
      <w:r>
        <w:rPr>
          <w:color w:val="auto"/>
          <w:sz w:val="17"/>
          <w:szCs w:val="17"/>
        </w:rPr>
        <w:t>4</w:t>
      </w:r>
      <w:r>
        <w:rPr>
          <w:color w:val="auto"/>
          <w:sz w:val="28"/>
          <w:szCs w:val="28"/>
        </w:rPr>
        <w:t xml:space="preserve">, no accediendo así a los pedimentos propuestos mediante recurso y en su lugar concediendo la alzada. </w:t>
      </w:r>
    </w:p>
    <w:p w14:paraId="0655579D" w14:textId="77777777" w:rsidR="0095067C" w:rsidRDefault="0095067C" w:rsidP="00A65384">
      <w:pPr>
        <w:pStyle w:val="Default"/>
        <w:jc w:val="both"/>
        <w:rPr>
          <w:color w:val="auto"/>
          <w:sz w:val="28"/>
          <w:szCs w:val="28"/>
        </w:rPr>
      </w:pPr>
    </w:p>
    <w:p w14:paraId="130EE5A0" w14:textId="77777777" w:rsidR="0095067C" w:rsidRDefault="0095067C" w:rsidP="00A65384">
      <w:pPr>
        <w:pStyle w:val="Default"/>
        <w:jc w:val="both"/>
        <w:rPr>
          <w:color w:val="auto"/>
          <w:sz w:val="28"/>
          <w:szCs w:val="28"/>
        </w:rPr>
      </w:pPr>
      <w:r>
        <w:rPr>
          <w:b/>
          <w:bCs/>
          <w:color w:val="auto"/>
          <w:sz w:val="28"/>
          <w:szCs w:val="28"/>
        </w:rPr>
        <w:t xml:space="preserve">CONSIDERACIONES </w:t>
      </w:r>
    </w:p>
    <w:p w14:paraId="5CB3DF41" w14:textId="77777777" w:rsidR="00970DEE" w:rsidRDefault="00970DEE" w:rsidP="00A65384">
      <w:pPr>
        <w:pStyle w:val="Default"/>
        <w:jc w:val="both"/>
        <w:rPr>
          <w:b/>
          <w:bCs/>
          <w:color w:val="auto"/>
          <w:sz w:val="28"/>
          <w:szCs w:val="28"/>
        </w:rPr>
      </w:pPr>
    </w:p>
    <w:p w14:paraId="16D0042B" w14:textId="4E484794" w:rsidR="0095067C" w:rsidRDefault="0095067C" w:rsidP="00970DEE">
      <w:pPr>
        <w:pStyle w:val="Default"/>
        <w:jc w:val="both"/>
        <w:rPr>
          <w:rFonts w:cstheme="minorBidi"/>
          <w:color w:val="auto"/>
        </w:rPr>
      </w:pPr>
      <w:r>
        <w:rPr>
          <w:b/>
          <w:bCs/>
          <w:color w:val="auto"/>
          <w:sz w:val="28"/>
          <w:szCs w:val="28"/>
        </w:rPr>
        <w:t xml:space="preserve">1. </w:t>
      </w:r>
      <w:r>
        <w:rPr>
          <w:color w:val="auto"/>
          <w:sz w:val="28"/>
          <w:szCs w:val="28"/>
        </w:rPr>
        <w:t xml:space="preserve">De conformidad con el numeral 3º del artículo 321 del Código General del Proceso, es susceptible de alzada el auto que, </w:t>
      </w:r>
      <w:r>
        <w:rPr>
          <w:i/>
          <w:iCs/>
          <w:color w:val="auto"/>
          <w:sz w:val="28"/>
          <w:szCs w:val="28"/>
        </w:rPr>
        <w:t>“niegue el decreto o la práctica de pruebas”</w:t>
      </w:r>
      <w:r>
        <w:rPr>
          <w:color w:val="auto"/>
          <w:sz w:val="28"/>
          <w:szCs w:val="28"/>
        </w:rPr>
        <w:t xml:space="preserve">, </w:t>
      </w:r>
    </w:p>
    <w:p w14:paraId="453CB352" w14:textId="77777777" w:rsidR="0095067C" w:rsidRDefault="0095067C" w:rsidP="00A65384">
      <w:pPr>
        <w:pStyle w:val="Default"/>
        <w:jc w:val="both"/>
        <w:rPr>
          <w:color w:val="auto"/>
          <w:sz w:val="28"/>
          <w:szCs w:val="28"/>
        </w:rPr>
      </w:pPr>
      <w:r>
        <w:rPr>
          <w:color w:val="auto"/>
          <w:sz w:val="28"/>
          <w:szCs w:val="28"/>
        </w:rPr>
        <w:t xml:space="preserve">sin que goce de este medió de impugnación aquel que otorgue plazo para la presentación del dictamen pericial, por lo que esta Corporación carece de competencia para resolver tal aspecto, pues recuérdese que una de las características del recurso de apelación es la taxatividad. </w:t>
      </w:r>
    </w:p>
    <w:p w14:paraId="44B8387D" w14:textId="77777777" w:rsidR="0095067C" w:rsidRDefault="0095067C" w:rsidP="00A65384">
      <w:pPr>
        <w:pStyle w:val="Default"/>
        <w:jc w:val="both"/>
        <w:rPr>
          <w:color w:val="auto"/>
          <w:sz w:val="28"/>
          <w:szCs w:val="28"/>
        </w:rPr>
      </w:pPr>
    </w:p>
    <w:p w14:paraId="6A5BFC3C" w14:textId="77777777" w:rsidR="0095067C" w:rsidRDefault="0095067C" w:rsidP="00A65384">
      <w:pPr>
        <w:pStyle w:val="Default"/>
        <w:jc w:val="both"/>
        <w:rPr>
          <w:color w:val="auto"/>
          <w:sz w:val="28"/>
          <w:szCs w:val="28"/>
        </w:rPr>
      </w:pPr>
      <w:r>
        <w:rPr>
          <w:color w:val="auto"/>
          <w:sz w:val="28"/>
          <w:szCs w:val="28"/>
        </w:rPr>
        <w:t xml:space="preserve">2. En cuanto a la prueba testimonial prevé el artículo 212 del Código General del Proceso que </w:t>
      </w:r>
      <w:r>
        <w:rPr>
          <w:i/>
          <w:iCs/>
          <w:color w:val="auto"/>
          <w:sz w:val="28"/>
          <w:szCs w:val="28"/>
        </w:rPr>
        <w:t xml:space="preserve">“cuando se pidan testimonios deberá expresarse el nombre, domicilio, residencia o lugar donde pueden ser citados los testigos, y enunciarse concretamente los hechos objeto de la prueba. El juez podrá limitar la recepción de los testimonios cuando considere suficientemente esclarecidos los hechos materia de esa prueba, mediante auto que no admite recurso." </w:t>
      </w:r>
    </w:p>
    <w:p w14:paraId="65E8680E" w14:textId="77777777" w:rsidR="0095067C" w:rsidRDefault="0095067C" w:rsidP="00A65384">
      <w:pPr>
        <w:pStyle w:val="Default"/>
        <w:jc w:val="both"/>
        <w:rPr>
          <w:color w:val="auto"/>
          <w:sz w:val="28"/>
          <w:szCs w:val="28"/>
        </w:rPr>
      </w:pPr>
    </w:p>
    <w:p w14:paraId="1FECCE42" w14:textId="77777777" w:rsidR="0095067C" w:rsidRDefault="0095067C" w:rsidP="00A65384">
      <w:pPr>
        <w:pStyle w:val="Default"/>
        <w:jc w:val="both"/>
        <w:rPr>
          <w:color w:val="auto"/>
          <w:sz w:val="28"/>
          <w:szCs w:val="28"/>
        </w:rPr>
      </w:pPr>
      <w:r>
        <w:rPr>
          <w:color w:val="auto"/>
          <w:sz w:val="28"/>
          <w:szCs w:val="28"/>
        </w:rPr>
        <w:t xml:space="preserve">A su turno el articulo 213 </w:t>
      </w:r>
      <w:proofErr w:type="spellStart"/>
      <w:r>
        <w:rPr>
          <w:i/>
          <w:iCs/>
          <w:color w:val="auto"/>
          <w:sz w:val="28"/>
          <w:szCs w:val="28"/>
        </w:rPr>
        <w:t>ibídem</w:t>
      </w:r>
      <w:proofErr w:type="spellEnd"/>
      <w:r>
        <w:rPr>
          <w:color w:val="auto"/>
          <w:sz w:val="28"/>
          <w:szCs w:val="28"/>
        </w:rPr>
        <w:t xml:space="preserve">, establece la consecuencia del cumplimiento de los requisitos indicados en la precitada norma, esto es, </w:t>
      </w:r>
      <w:r>
        <w:rPr>
          <w:i/>
          <w:iCs/>
          <w:color w:val="auto"/>
          <w:sz w:val="28"/>
          <w:szCs w:val="28"/>
        </w:rPr>
        <w:t>“Si la petición reúne los requisitos indicados en el artículo precedente, el juez ordenará que se practique el testimonio en la audiencia correspondiente"</w:t>
      </w:r>
      <w:r>
        <w:rPr>
          <w:color w:val="auto"/>
          <w:sz w:val="28"/>
          <w:szCs w:val="28"/>
        </w:rPr>
        <w:t xml:space="preserve">. </w:t>
      </w:r>
    </w:p>
    <w:p w14:paraId="74DEC3D1" w14:textId="77777777" w:rsidR="00970DEE" w:rsidRDefault="00970DEE" w:rsidP="00A65384">
      <w:pPr>
        <w:pStyle w:val="Default"/>
        <w:jc w:val="both"/>
        <w:rPr>
          <w:color w:val="auto"/>
          <w:sz w:val="28"/>
          <w:szCs w:val="28"/>
        </w:rPr>
      </w:pPr>
    </w:p>
    <w:p w14:paraId="5AB18667" w14:textId="45EECA96" w:rsidR="0095067C" w:rsidRDefault="0095067C" w:rsidP="00A65384">
      <w:pPr>
        <w:pStyle w:val="Default"/>
        <w:jc w:val="both"/>
        <w:rPr>
          <w:color w:val="auto"/>
          <w:sz w:val="28"/>
          <w:szCs w:val="28"/>
        </w:rPr>
      </w:pPr>
      <w:r>
        <w:rPr>
          <w:color w:val="auto"/>
          <w:sz w:val="28"/>
          <w:szCs w:val="28"/>
        </w:rPr>
        <w:t>De los artículos transcritos se deduce que cuando se solicite el decreto de testimonios dentro de las oportunidades probatorios se requiere se reúnan los siguientes requisitos: (i) el nombre, (</w:t>
      </w:r>
      <w:proofErr w:type="spellStart"/>
      <w:r>
        <w:rPr>
          <w:color w:val="auto"/>
          <w:sz w:val="28"/>
          <w:szCs w:val="28"/>
        </w:rPr>
        <w:t>ii</w:t>
      </w:r>
      <w:proofErr w:type="spellEnd"/>
      <w:r>
        <w:rPr>
          <w:color w:val="auto"/>
          <w:sz w:val="28"/>
          <w:szCs w:val="28"/>
        </w:rPr>
        <w:t>) el domicilio, (</w:t>
      </w:r>
      <w:proofErr w:type="spellStart"/>
      <w:r>
        <w:rPr>
          <w:color w:val="auto"/>
          <w:sz w:val="28"/>
          <w:szCs w:val="28"/>
        </w:rPr>
        <w:t>iii</w:t>
      </w:r>
      <w:proofErr w:type="spellEnd"/>
      <w:r>
        <w:rPr>
          <w:color w:val="auto"/>
          <w:sz w:val="28"/>
          <w:szCs w:val="28"/>
        </w:rPr>
        <w:t>) la residencia de los testigos y (</w:t>
      </w:r>
      <w:proofErr w:type="spellStart"/>
      <w:r>
        <w:rPr>
          <w:color w:val="auto"/>
          <w:sz w:val="28"/>
          <w:szCs w:val="28"/>
        </w:rPr>
        <w:t>iv</w:t>
      </w:r>
      <w:proofErr w:type="spellEnd"/>
      <w:r>
        <w:rPr>
          <w:color w:val="auto"/>
          <w:sz w:val="28"/>
          <w:szCs w:val="28"/>
        </w:rPr>
        <w:t xml:space="preserve">) indicarse cuales hechos pretenden probarse con los testimonios, con el fin de que el juez pueda establecer la pertinencia, conducencia y utilidad, y la omisión de los anteriores requisitos conlleva que se negará el decreto de la prueba. </w:t>
      </w:r>
    </w:p>
    <w:p w14:paraId="10152018" w14:textId="77777777" w:rsidR="00970DEE" w:rsidRDefault="0095067C" w:rsidP="00970DEE">
      <w:pPr>
        <w:pStyle w:val="Default"/>
        <w:jc w:val="both"/>
        <w:rPr>
          <w:i/>
          <w:iCs/>
          <w:color w:val="auto"/>
          <w:sz w:val="28"/>
          <w:szCs w:val="28"/>
        </w:rPr>
      </w:pPr>
      <w:r>
        <w:rPr>
          <w:color w:val="auto"/>
          <w:sz w:val="28"/>
          <w:szCs w:val="28"/>
        </w:rPr>
        <w:lastRenderedPageBreak/>
        <w:t xml:space="preserve">Revisado el escrito de contestación allegado por la demandada Empresa de Transporte en Ruta S.A.S., se observa que la motivación de los testimonios solicitados, se indicó que eran para que atestiguaran </w:t>
      </w:r>
      <w:r>
        <w:rPr>
          <w:i/>
          <w:iCs/>
          <w:color w:val="auto"/>
          <w:sz w:val="28"/>
          <w:szCs w:val="28"/>
        </w:rPr>
        <w:t xml:space="preserve">“sobre los hechos, y pretensiones de la demanda, la contestación y sobre la forma como estos ocurrieron, manifestando lo que les conste sobre el particular” </w:t>
      </w:r>
    </w:p>
    <w:p w14:paraId="77D0E58D" w14:textId="77777777" w:rsidR="00970DEE" w:rsidRDefault="00970DEE" w:rsidP="00970DEE">
      <w:pPr>
        <w:pStyle w:val="Default"/>
        <w:jc w:val="both"/>
        <w:rPr>
          <w:i/>
          <w:iCs/>
          <w:color w:val="auto"/>
          <w:sz w:val="28"/>
          <w:szCs w:val="28"/>
        </w:rPr>
      </w:pPr>
    </w:p>
    <w:p w14:paraId="25DC813E" w14:textId="157D0260" w:rsidR="0095067C" w:rsidRDefault="0095067C" w:rsidP="00970DEE">
      <w:pPr>
        <w:pStyle w:val="Default"/>
        <w:jc w:val="both"/>
        <w:rPr>
          <w:color w:val="auto"/>
          <w:sz w:val="28"/>
          <w:szCs w:val="28"/>
        </w:rPr>
      </w:pPr>
      <w:r>
        <w:rPr>
          <w:color w:val="auto"/>
          <w:sz w:val="28"/>
          <w:szCs w:val="28"/>
        </w:rPr>
        <w:t xml:space="preserve">De la anterior solicitud resulta evidente que se incumplió con la carga de indicar de manera precisa sobre qué hechos específicos de la demanda o de la contestación iban a rendir el testimonio, en claro desacato de lo dispuesto en el artículo 212 del Código de rito, pero adicionalmente vulnerando la posibilidad de determinar si eran conducentes para probar lo que se pretendía. Sobre el particular la jurisprudencia ha precisado que: </w:t>
      </w:r>
    </w:p>
    <w:p w14:paraId="2F97A4AC" w14:textId="77777777" w:rsidR="00970DEE" w:rsidRDefault="00970DEE" w:rsidP="00970DEE">
      <w:pPr>
        <w:pStyle w:val="Default"/>
        <w:jc w:val="both"/>
        <w:rPr>
          <w:color w:val="auto"/>
          <w:sz w:val="28"/>
          <w:szCs w:val="28"/>
        </w:rPr>
      </w:pPr>
    </w:p>
    <w:p w14:paraId="1756EC16" w14:textId="77777777" w:rsidR="0095067C" w:rsidRDefault="0095067C" w:rsidP="00A65384">
      <w:pPr>
        <w:pStyle w:val="Default"/>
        <w:jc w:val="both"/>
        <w:rPr>
          <w:color w:val="auto"/>
          <w:sz w:val="28"/>
          <w:szCs w:val="28"/>
        </w:rPr>
      </w:pPr>
      <w:r>
        <w:rPr>
          <w:i/>
          <w:iCs/>
          <w:color w:val="auto"/>
          <w:sz w:val="28"/>
          <w:szCs w:val="28"/>
        </w:rPr>
        <w:t xml:space="preserve">“Pero ahora, atendiendo a que las partes acuden al proceso a confirmar sus versiones del conflicto, si pretenden aducir como prueba un testimonio, deben enunciar “concretamente los hechos objeto de la prueba”, </w:t>
      </w:r>
      <w:r>
        <w:rPr>
          <w:b/>
          <w:bCs/>
          <w:color w:val="auto"/>
          <w:sz w:val="28"/>
          <w:szCs w:val="28"/>
        </w:rPr>
        <w:t>es decir, indicar de manera precisa, determinada y sin vaguedad los puntos fácticos del litigio sobre los cuales tiene conocimiento y podrá ser interrogado</w:t>
      </w:r>
      <w:r>
        <w:rPr>
          <w:i/>
          <w:iCs/>
          <w:color w:val="auto"/>
          <w:sz w:val="28"/>
          <w:szCs w:val="28"/>
        </w:rPr>
        <w:t>. De esa manera se facilita la práctica del testimonio y su contradicción. El juez y las partes sabrán de antemano cuál será el tema de la declaración. Por su lado, quien no la pidió, al conocer con claridad su objeto, podrá preparar adecuadamente su contrainterrogatorio, a fin de desacreditar al testigo o su relato</w:t>
      </w:r>
      <w:proofErr w:type="gramStart"/>
      <w:r>
        <w:rPr>
          <w:i/>
          <w:iCs/>
          <w:color w:val="auto"/>
          <w:sz w:val="17"/>
          <w:szCs w:val="17"/>
        </w:rPr>
        <w:t>6</w:t>
      </w:r>
      <w:r>
        <w:rPr>
          <w:i/>
          <w:iCs/>
          <w:color w:val="auto"/>
          <w:sz w:val="28"/>
          <w:szCs w:val="28"/>
        </w:rPr>
        <w:t>”</w:t>
      </w:r>
      <w:r>
        <w:rPr>
          <w:color w:val="auto"/>
          <w:sz w:val="28"/>
          <w:szCs w:val="28"/>
        </w:rPr>
        <w:t>[</w:t>
      </w:r>
      <w:proofErr w:type="gramEnd"/>
      <w:r>
        <w:rPr>
          <w:color w:val="auto"/>
          <w:sz w:val="28"/>
          <w:szCs w:val="28"/>
        </w:rPr>
        <w:t>énfasis por fuera del texto]</w:t>
      </w:r>
      <w:r>
        <w:rPr>
          <w:i/>
          <w:iCs/>
          <w:color w:val="auto"/>
          <w:sz w:val="28"/>
          <w:szCs w:val="28"/>
        </w:rPr>
        <w:t xml:space="preserve">. </w:t>
      </w:r>
    </w:p>
    <w:p w14:paraId="5FF71D7D" w14:textId="77777777" w:rsidR="00970DEE" w:rsidRDefault="00970DEE" w:rsidP="00A65384">
      <w:pPr>
        <w:pStyle w:val="Default"/>
        <w:jc w:val="both"/>
        <w:rPr>
          <w:rFonts w:ascii="Times New Roman" w:hAnsi="Times New Roman" w:cs="Times New Roman"/>
          <w:i/>
          <w:iCs/>
          <w:sz w:val="13"/>
          <w:szCs w:val="13"/>
        </w:rPr>
      </w:pPr>
    </w:p>
    <w:p w14:paraId="29901F55" w14:textId="77777777" w:rsidR="00970DEE" w:rsidRDefault="00970DEE" w:rsidP="00A65384">
      <w:pPr>
        <w:pStyle w:val="Default"/>
        <w:jc w:val="both"/>
        <w:rPr>
          <w:color w:val="auto"/>
          <w:sz w:val="28"/>
          <w:szCs w:val="28"/>
        </w:rPr>
      </w:pPr>
    </w:p>
    <w:p w14:paraId="646BCEF1" w14:textId="59E10BD7" w:rsidR="0095067C" w:rsidRDefault="0095067C" w:rsidP="00A65384">
      <w:pPr>
        <w:pStyle w:val="Default"/>
        <w:jc w:val="both"/>
        <w:rPr>
          <w:color w:val="auto"/>
          <w:sz w:val="28"/>
          <w:szCs w:val="28"/>
        </w:rPr>
      </w:pPr>
      <w:r>
        <w:rPr>
          <w:color w:val="auto"/>
          <w:sz w:val="28"/>
          <w:szCs w:val="28"/>
        </w:rPr>
        <w:t xml:space="preserve">De acuerdo con lo discurrido se confirmará la decisión del </w:t>
      </w:r>
      <w:r>
        <w:rPr>
          <w:i/>
          <w:iCs/>
          <w:color w:val="auto"/>
          <w:sz w:val="28"/>
          <w:szCs w:val="28"/>
        </w:rPr>
        <w:t xml:space="preserve">a quo </w:t>
      </w:r>
      <w:r>
        <w:rPr>
          <w:color w:val="auto"/>
          <w:sz w:val="28"/>
          <w:szCs w:val="28"/>
        </w:rPr>
        <w:t xml:space="preserve">de negar el decreto de los testimonios pedidos, con la consecuente condena en costas a la transportadora demandada. </w:t>
      </w:r>
    </w:p>
    <w:p w14:paraId="67D1EFE3" w14:textId="77777777" w:rsidR="00970DEE" w:rsidRDefault="00970DEE" w:rsidP="00A65384">
      <w:pPr>
        <w:pStyle w:val="Default"/>
        <w:jc w:val="both"/>
        <w:rPr>
          <w:b/>
          <w:bCs/>
          <w:color w:val="auto"/>
          <w:sz w:val="28"/>
          <w:szCs w:val="28"/>
        </w:rPr>
      </w:pPr>
    </w:p>
    <w:p w14:paraId="16EEF0E9" w14:textId="190ECCC2" w:rsidR="0095067C" w:rsidRDefault="0095067C" w:rsidP="00A65384">
      <w:pPr>
        <w:pStyle w:val="Default"/>
        <w:jc w:val="both"/>
        <w:rPr>
          <w:color w:val="auto"/>
          <w:sz w:val="28"/>
          <w:szCs w:val="28"/>
        </w:rPr>
      </w:pPr>
      <w:r>
        <w:rPr>
          <w:b/>
          <w:bCs/>
          <w:color w:val="auto"/>
          <w:sz w:val="28"/>
          <w:szCs w:val="28"/>
        </w:rPr>
        <w:t xml:space="preserve">DECISIÓN </w:t>
      </w:r>
    </w:p>
    <w:p w14:paraId="45A5091E" w14:textId="77777777" w:rsidR="00970DEE" w:rsidRDefault="00970DEE" w:rsidP="00A65384">
      <w:pPr>
        <w:pStyle w:val="Default"/>
        <w:jc w:val="both"/>
        <w:rPr>
          <w:color w:val="auto"/>
          <w:sz w:val="28"/>
          <w:szCs w:val="28"/>
        </w:rPr>
      </w:pPr>
    </w:p>
    <w:p w14:paraId="679CC9B3" w14:textId="7BECC741" w:rsidR="0095067C" w:rsidRDefault="0095067C" w:rsidP="00A65384">
      <w:pPr>
        <w:pStyle w:val="Default"/>
        <w:jc w:val="both"/>
        <w:rPr>
          <w:color w:val="auto"/>
          <w:sz w:val="28"/>
          <w:szCs w:val="28"/>
        </w:rPr>
      </w:pPr>
      <w:r>
        <w:rPr>
          <w:color w:val="auto"/>
          <w:sz w:val="28"/>
          <w:szCs w:val="28"/>
        </w:rPr>
        <w:t xml:space="preserve">En mérito de lo expuesto, la suscrita magistrada de la Sala Civil del Tribunal Superior del Distrito Judicial de Bogotá, D.C. </w:t>
      </w:r>
    </w:p>
    <w:p w14:paraId="3DF64D68" w14:textId="77777777" w:rsidR="00970DEE" w:rsidRDefault="00970DEE" w:rsidP="00A65384">
      <w:pPr>
        <w:pStyle w:val="Default"/>
        <w:jc w:val="both"/>
        <w:rPr>
          <w:b/>
          <w:bCs/>
          <w:color w:val="auto"/>
          <w:sz w:val="28"/>
          <w:szCs w:val="28"/>
        </w:rPr>
      </w:pPr>
    </w:p>
    <w:p w14:paraId="04F2B491" w14:textId="675B8B27" w:rsidR="0095067C" w:rsidRDefault="0095067C" w:rsidP="00A65384">
      <w:pPr>
        <w:pStyle w:val="Default"/>
        <w:jc w:val="both"/>
        <w:rPr>
          <w:color w:val="auto"/>
          <w:sz w:val="28"/>
          <w:szCs w:val="28"/>
        </w:rPr>
      </w:pPr>
      <w:r>
        <w:rPr>
          <w:b/>
          <w:bCs/>
          <w:color w:val="auto"/>
          <w:sz w:val="28"/>
          <w:szCs w:val="28"/>
        </w:rPr>
        <w:t xml:space="preserve">RESUELVE: </w:t>
      </w:r>
    </w:p>
    <w:p w14:paraId="1B0C4602" w14:textId="77777777" w:rsidR="00970DEE" w:rsidRDefault="00970DEE" w:rsidP="00A65384">
      <w:pPr>
        <w:pStyle w:val="Default"/>
        <w:jc w:val="both"/>
        <w:rPr>
          <w:b/>
          <w:bCs/>
          <w:color w:val="auto"/>
          <w:sz w:val="28"/>
          <w:szCs w:val="28"/>
        </w:rPr>
      </w:pPr>
    </w:p>
    <w:p w14:paraId="3127CF5D" w14:textId="77777777" w:rsidR="00970DEE" w:rsidRDefault="0095067C" w:rsidP="00970DEE">
      <w:pPr>
        <w:pStyle w:val="Default"/>
        <w:jc w:val="both"/>
        <w:rPr>
          <w:color w:val="auto"/>
          <w:sz w:val="23"/>
          <w:szCs w:val="23"/>
        </w:rPr>
      </w:pPr>
      <w:r>
        <w:rPr>
          <w:b/>
          <w:bCs/>
          <w:color w:val="auto"/>
          <w:sz w:val="28"/>
          <w:szCs w:val="28"/>
        </w:rPr>
        <w:t xml:space="preserve">PRIMERO: Declarar </w:t>
      </w:r>
      <w:r>
        <w:rPr>
          <w:color w:val="auto"/>
          <w:sz w:val="28"/>
          <w:szCs w:val="28"/>
        </w:rPr>
        <w:t xml:space="preserve">inadmisible la alzada respecto del plazo para allegar el dictamen pericial. </w:t>
      </w:r>
      <w:r>
        <w:rPr>
          <w:color w:val="auto"/>
          <w:sz w:val="23"/>
          <w:szCs w:val="23"/>
        </w:rPr>
        <w:t xml:space="preserve"> </w:t>
      </w:r>
    </w:p>
    <w:p w14:paraId="58E76D86" w14:textId="77777777" w:rsidR="00970DEE" w:rsidRDefault="00970DEE" w:rsidP="00970DEE">
      <w:pPr>
        <w:pStyle w:val="Default"/>
        <w:jc w:val="both"/>
        <w:rPr>
          <w:color w:val="auto"/>
          <w:sz w:val="23"/>
          <w:szCs w:val="23"/>
        </w:rPr>
      </w:pPr>
    </w:p>
    <w:p w14:paraId="3969002C" w14:textId="5F4AF009" w:rsidR="0095067C" w:rsidRDefault="0095067C" w:rsidP="00970DEE">
      <w:pPr>
        <w:pStyle w:val="Default"/>
        <w:jc w:val="both"/>
        <w:rPr>
          <w:color w:val="auto"/>
          <w:sz w:val="28"/>
          <w:szCs w:val="28"/>
        </w:rPr>
      </w:pPr>
      <w:r>
        <w:rPr>
          <w:rFonts w:cstheme="minorBidi"/>
          <w:b/>
          <w:bCs/>
          <w:color w:val="auto"/>
          <w:sz w:val="28"/>
          <w:szCs w:val="28"/>
        </w:rPr>
        <w:t xml:space="preserve">SEGUNDO: Confirmar </w:t>
      </w:r>
      <w:r>
        <w:rPr>
          <w:color w:val="auto"/>
          <w:sz w:val="28"/>
          <w:szCs w:val="28"/>
        </w:rPr>
        <w:t xml:space="preserve">el proveído censurado en cuanto la determinación de negar los testimonios solicitados por la Empresa de Transportes en Ruta S.A.S. </w:t>
      </w:r>
    </w:p>
    <w:p w14:paraId="55CC88A9" w14:textId="77777777" w:rsidR="00970DEE" w:rsidRDefault="00970DEE" w:rsidP="00A65384">
      <w:pPr>
        <w:pStyle w:val="Default"/>
        <w:jc w:val="both"/>
        <w:rPr>
          <w:b/>
          <w:bCs/>
          <w:color w:val="auto"/>
          <w:sz w:val="28"/>
          <w:szCs w:val="28"/>
        </w:rPr>
      </w:pPr>
    </w:p>
    <w:p w14:paraId="0C3859ED" w14:textId="416188DE" w:rsidR="0095067C" w:rsidRDefault="0095067C" w:rsidP="00A65384">
      <w:pPr>
        <w:pStyle w:val="Default"/>
        <w:jc w:val="both"/>
        <w:rPr>
          <w:color w:val="auto"/>
          <w:sz w:val="28"/>
          <w:szCs w:val="28"/>
        </w:rPr>
      </w:pPr>
      <w:r>
        <w:rPr>
          <w:b/>
          <w:bCs/>
          <w:color w:val="auto"/>
          <w:sz w:val="28"/>
          <w:szCs w:val="28"/>
        </w:rPr>
        <w:lastRenderedPageBreak/>
        <w:t xml:space="preserve">TERCERO: Condenar </w:t>
      </w:r>
      <w:r>
        <w:rPr>
          <w:color w:val="auto"/>
          <w:sz w:val="28"/>
          <w:szCs w:val="28"/>
        </w:rPr>
        <w:t>en costas a empresa mencionada en precedencia. Fijar como agencias en derecho, la suma de $800.</w:t>
      </w:r>
      <w:proofErr w:type="gramStart"/>
      <w:r>
        <w:rPr>
          <w:color w:val="auto"/>
          <w:sz w:val="28"/>
          <w:szCs w:val="28"/>
        </w:rPr>
        <w:t>000,oo</w:t>
      </w:r>
      <w:proofErr w:type="gramEnd"/>
      <w:r>
        <w:rPr>
          <w:color w:val="auto"/>
          <w:sz w:val="28"/>
          <w:szCs w:val="28"/>
        </w:rPr>
        <w:t xml:space="preserve">. Liquídense. </w:t>
      </w:r>
    </w:p>
    <w:p w14:paraId="78F16CD8" w14:textId="77777777" w:rsidR="00970DEE" w:rsidRDefault="00970DEE" w:rsidP="00A65384">
      <w:pPr>
        <w:pStyle w:val="Default"/>
        <w:jc w:val="both"/>
        <w:rPr>
          <w:color w:val="auto"/>
          <w:sz w:val="28"/>
          <w:szCs w:val="28"/>
        </w:rPr>
      </w:pPr>
    </w:p>
    <w:p w14:paraId="68DE9D94" w14:textId="22A39755" w:rsidR="0095067C" w:rsidRDefault="0095067C" w:rsidP="00A65384">
      <w:pPr>
        <w:pStyle w:val="Default"/>
        <w:jc w:val="both"/>
        <w:rPr>
          <w:color w:val="auto"/>
          <w:sz w:val="28"/>
          <w:szCs w:val="28"/>
        </w:rPr>
      </w:pPr>
      <w:r>
        <w:rPr>
          <w:color w:val="auto"/>
          <w:sz w:val="28"/>
          <w:szCs w:val="28"/>
        </w:rPr>
        <w:t xml:space="preserve">Previas las anotaciones de rigor, devuélvase el expediente al despacho de origen. </w:t>
      </w:r>
    </w:p>
    <w:p w14:paraId="7CC2CB85" w14:textId="77777777" w:rsidR="00970DEE" w:rsidRDefault="00970DEE" w:rsidP="00A65384">
      <w:pPr>
        <w:pStyle w:val="Default"/>
        <w:jc w:val="both"/>
        <w:rPr>
          <w:b/>
          <w:bCs/>
          <w:color w:val="auto"/>
          <w:sz w:val="28"/>
          <w:szCs w:val="28"/>
        </w:rPr>
      </w:pPr>
    </w:p>
    <w:p w14:paraId="3F5037B8" w14:textId="60E999EC" w:rsidR="0095067C" w:rsidRDefault="0095067C" w:rsidP="00A65384">
      <w:pPr>
        <w:pStyle w:val="Default"/>
        <w:jc w:val="both"/>
        <w:rPr>
          <w:color w:val="auto"/>
          <w:sz w:val="28"/>
          <w:szCs w:val="28"/>
        </w:rPr>
      </w:pPr>
      <w:r>
        <w:rPr>
          <w:b/>
          <w:bCs/>
          <w:color w:val="auto"/>
          <w:sz w:val="28"/>
          <w:szCs w:val="28"/>
        </w:rPr>
        <w:t xml:space="preserve">Notifíquese y cúmplase, </w:t>
      </w:r>
    </w:p>
    <w:p w14:paraId="14A2E8D3" w14:textId="77777777" w:rsidR="00970DEE" w:rsidRDefault="00970DEE" w:rsidP="00A65384">
      <w:pPr>
        <w:pStyle w:val="Default"/>
        <w:jc w:val="both"/>
        <w:rPr>
          <w:rFonts w:ascii="Arial" w:hAnsi="Arial" w:cs="Arial"/>
          <w:color w:val="auto"/>
          <w:sz w:val="16"/>
          <w:szCs w:val="16"/>
        </w:rPr>
      </w:pPr>
    </w:p>
    <w:p w14:paraId="0376587A" w14:textId="5806B6E2"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Firmado Por: </w:t>
      </w:r>
    </w:p>
    <w:p w14:paraId="6E2CF07F"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Adriana Ayala </w:t>
      </w:r>
      <w:proofErr w:type="spellStart"/>
      <w:r>
        <w:rPr>
          <w:rFonts w:ascii="Arial" w:hAnsi="Arial" w:cs="Arial"/>
          <w:color w:val="auto"/>
          <w:sz w:val="16"/>
          <w:szCs w:val="16"/>
        </w:rPr>
        <w:t>Pulgarin</w:t>
      </w:r>
      <w:proofErr w:type="spellEnd"/>
      <w:r>
        <w:rPr>
          <w:rFonts w:ascii="Arial" w:hAnsi="Arial" w:cs="Arial"/>
          <w:color w:val="auto"/>
          <w:sz w:val="16"/>
          <w:szCs w:val="16"/>
        </w:rPr>
        <w:t xml:space="preserve"> </w:t>
      </w:r>
    </w:p>
    <w:p w14:paraId="22C0B08C" w14:textId="77777777" w:rsidR="00970DEE" w:rsidRDefault="00970DEE" w:rsidP="00A65384">
      <w:pPr>
        <w:pStyle w:val="Default"/>
        <w:jc w:val="both"/>
        <w:rPr>
          <w:rFonts w:ascii="Arial" w:hAnsi="Arial" w:cs="Arial"/>
          <w:color w:val="auto"/>
          <w:sz w:val="16"/>
          <w:szCs w:val="16"/>
        </w:rPr>
      </w:pPr>
    </w:p>
    <w:p w14:paraId="4D133079" w14:textId="48CAAFA2"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Magistrado </w:t>
      </w:r>
    </w:p>
    <w:p w14:paraId="74376101"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Sala 017 Civil </w:t>
      </w:r>
    </w:p>
    <w:p w14:paraId="524CF070" w14:textId="77777777" w:rsidR="00970DEE" w:rsidRDefault="00970DEE" w:rsidP="00A65384">
      <w:pPr>
        <w:pStyle w:val="Default"/>
        <w:jc w:val="both"/>
        <w:rPr>
          <w:rFonts w:ascii="Arial" w:hAnsi="Arial" w:cs="Arial"/>
          <w:color w:val="auto"/>
          <w:sz w:val="16"/>
          <w:szCs w:val="16"/>
        </w:rPr>
      </w:pPr>
    </w:p>
    <w:p w14:paraId="0B915568" w14:textId="5541A46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Tribunal Superior De Bogotá, D.C. - Bogotá D.C., </w:t>
      </w:r>
    </w:p>
    <w:p w14:paraId="61863BF0"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Este documento fue generado con firma electrónica y cuenta con plena validez jurídica, </w:t>
      </w:r>
    </w:p>
    <w:p w14:paraId="75B65920"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conforme a lo dispuesto en la Ley 527/99 y el decreto reglamentario 2364/12 </w:t>
      </w:r>
    </w:p>
    <w:p w14:paraId="6F8612E3"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Código de verificación: </w:t>
      </w:r>
    </w:p>
    <w:p w14:paraId="058F8ED2"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65d630f79c0a474b1e7d24059ce8d7f858e1628bf800571004b4fcfd40e823d1 </w:t>
      </w:r>
    </w:p>
    <w:p w14:paraId="6F66C79B" w14:textId="77777777" w:rsidR="0095067C" w:rsidRDefault="0095067C" w:rsidP="00A65384">
      <w:pPr>
        <w:pStyle w:val="Default"/>
        <w:jc w:val="both"/>
        <w:rPr>
          <w:rFonts w:ascii="Arial" w:hAnsi="Arial" w:cs="Arial"/>
          <w:color w:val="auto"/>
          <w:sz w:val="16"/>
          <w:szCs w:val="16"/>
        </w:rPr>
      </w:pPr>
      <w:r>
        <w:rPr>
          <w:rFonts w:ascii="Arial" w:hAnsi="Arial" w:cs="Arial"/>
          <w:color w:val="auto"/>
          <w:sz w:val="16"/>
          <w:szCs w:val="16"/>
        </w:rPr>
        <w:t xml:space="preserve">Documento generado en 14/11/2023 11:22:20 AM </w:t>
      </w:r>
    </w:p>
    <w:p w14:paraId="550483C9" w14:textId="77777777" w:rsidR="0095067C" w:rsidRDefault="0095067C" w:rsidP="00A65384">
      <w:pPr>
        <w:pStyle w:val="Default"/>
        <w:jc w:val="both"/>
        <w:rPr>
          <w:rFonts w:ascii="Arial" w:hAnsi="Arial" w:cs="Arial"/>
          <w:color w:val="auto"/>
          <w:sz w:val="20"/>
          <w:szCs w:val="20"/>
        </w:rPr>
      </w:pPr>
      <w:r>
        <w:rPr>
          <w:rFonts w:ascii="Arial" w:hAnsi="Arial" w:cs="Arial"/>
          <w:color w:val="auto"/>
          <w:sz w:val="20"/>
          <w:szCs w:val="20"/>
        </w:rPr>
        <w:t xml:space="preserve">Descargue el archivo y valide </w:t>
      </w:r>
      <w:proofErr w:type="gramStart"/>
      <w:r>
        <w:rPr>
          <w:rFonts w:ascii="Arial" w:hAnsi="Arial" w:cs="Arial"/>
          <w:color w:val="auto"/>
          <w:sz w:val="20"/>
          <w:szCs w:val="20"/>
        </w:rPr>
        <w:t>éste</w:t>
      </w:r>
      <w:proofErr w:type="gramEnd"/>
      <w:r>
        <w:rPr>
          <w:rFonts w:ascii="Arial" w:hAnsi="Arial" w:cs="Arial"/>
          <w:color w:val="auto"/>
          <w:sz w:val="20"/>
          <w:szCs w:val="20"/>
        </w:rPr>
        <w:t xml:space="preserve"> documento electrónico en la siguiente URL: </w:t>
      </w:r>
    </w:p>
    <w:p w14:paraId="6E8D7A54" w14:textId="2940A73D" w:rsidR="00B9243D" w:rsidRDefault="0095067C" w:rsidP="00A65384">
      <w:pPr>
        <w:jc w:val="both"/>
      </w:pPr>
      <w:r>
        <w:rPr>
          <w:rFonts w:ascii="Arial" w:hAnsi="Arial" w:cs="Arial"/>
          <w:sz w:val="20"/>
          <w:szCs w:val="20"/>
        </w:rPr>
        <w:t>https://procesojudicial.ramajudicial.gov.co/FirmaElectronica</w:t>
      </w:r>
    </w:p>
    <w:sectPr w:rsidR="00B924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altName w:val="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7C"/>
    <w:rsid w:val="00737460"/>
    <w:rsid w:val="0095067C"/>
    <w:rsid w:val="00970DEE"/>
    <w:rsid w:val="00A65384"/>
    <w:rsid w:val="00B9243D"/>
    <w:rsid w:val="00DA03DC"/>
    <w:rsid w:val="00EF3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A95C"/>
  <w15:chartTrackingRefBased/>
  <w15:docId w15:val="{75027924-9C54-4157-A048-C305AA86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95067C"/>
    <w:pPr>
      <w:autoSpaceDE w:val="0"/>
      <w:autoSpaceDN w:val="0"/>
      <w:adjustRightInd w:val="0"/>
      <w:spacing w:after="0" w:line="240" w:lineRule="auto"/>
    </w:pPr>
    <w:rPr>
      <w:rFonts w:ascii="Garamond" w:hAnsi="Garamond" w:cs="Garamond"/>
      <w:color w:val="000000"/>
      <w:kern w:val="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1156</Words>
  <Characters>6364</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Marleny Aldana Sandoval</dc:creator>
  <cp:keywords/>
  <dc:description/>
  <cp:lastModifiedBy>Marleny Aldana Sandoval</cp:lastModifiedBy>
  <cp:revision>4</cp:revision>
  <dcterms:created xsi:type="dcterms:W3CDTF">2023-11-16T16:14:00Z</dcterms:created>
  <dcterms:modified xsi:type="dcterms:W3CDTF">2023-11-16T16:19:00Z</dcterms:modified>
</cp:coreProperties>
</file>