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9E42" w14:textId="77777777" w:rsidR="0015143D" w:rsidRDefault="0015143D" w:rsidP="00A17D92">
      <w:pPr>
        <w:tabs>
          <w:tab w:val="num" w:pos="720"/>
        </w:tabs>
        <w:ind w:left="720" w:hanging="360"/>
        <w:jc w:val="both"/>
      </w:pPr>
    </w:p>
    <w:p w14:paraId="3D3350B6" w14:textId="0B634CF8" w:rsidR="0015143D" w:rsidRPr="0015143D" w:rsidRDefault="0015143D" w:rsidP="0015143D">
      <w:pPr>
        <w:ind w:left="720"/>
        <w:jc w:val="both"/>
        <w:rPr>
          <w:b/>
          <w:bCs/>
        </w:rPr>
      </w:pPr>
      <w:r w:rsidRPr="0015143D">
        <w:rPr>
          <w:b/>
          <w:bCs/>
        </w:rPr>
        <w:t>Dictamen: P</w:t>
      </w:r>
      <w:r w:rsidRPr="0015143D">
        <w:rPr>
          <w:b/>
          <w:bCs/>
        </w:rPr>
        <w:t xml:space="preserve">ediatra Eliana Rodríguez con el fin de que sustente los dictámenes periciales rendidos por ella y que obran en el </w:t>
      </w:r>
      <w:r w:rsidRPr="0015143D">
        <w:rPr>
          <w:b/>
          <w:bCs/>
        </w:rPr>
        <w:t>plenario,</w:t>
      </w:r>
      <w:r w:rsidRPr="0015143D">
        <w:rPr>
          <w:b/>
          <w:bCs/>
        </w:rPr>
        <w:t xml:space="preserve"> así como para la realización de su contradicción</w:t>
      </w:r>
      <w:r w:rsidRPr="0015143D">
        <w:rPr>
          <w:b/>
          <w:bCs/>
        </w:rPr>
        <w:t>:</w:t>
      </w:r>
    </w:p>
    <w:p w14:paraId="08386BDE" w14:textId="77777777" w:rsidR="0015143D" w:rsidRDefault="0015143D" w:rsidP="0015143D">
      <w:pPr>
        <w:jc w:val="both"/>
      </w:pPr>
    </w:p>
    <w:p w14:paraId="37AB9809" w14:textId="46441701" w:rsidR="00A17D92" w:rsidRPr="00A17D92" w:rsidRDefault="00A17D92" w:rsidP="00A17D92">
      <w:pPr>
        <w:numPr>
          <w:ilvl w:val="0"/>
          <w:numId w:val="1"/>
        </w:numPr>
        <w:jc w:val="both"/>
      </w:pPr>
      <w:r w:rsidRPr="00A17D92">
        <w:t>Datos Académicos y Experiencia: La Dra. Rodríguez detalló su experiencia, incluyendo su especialización en pediatría, estudios adicionales y años de práctica.</w:t>
      </w:r>
    </w:p>
    <w:p w14:paraId="4CF46D6E" w14:textId="77777777" w:rsidR="00A17D92" w:rsidRPr="00A17D92" w:rsidRDefault="00A17D92" w:rsidP="00A17D92">
      <w:pPr>
        <w:numPr>
          <w:ilvl w:val="0"/>
          <w:numId w:val="1"/>
        </w:numPr>
        <w:jc w:val="both"/>
      </w:pPr>
      <w:r w:rsidRPr="00A17D92">
        <w:t>Documentos y Bases para la Experticia: La perito mencionó las fuentes utilizadas para respaldar su peritaje, destacando la revisión de guías médicas y la historia clínica del paciente.</w:t>
      </w:r>
    </w:p>
    <w:p w14:paraId="5816FED5" w14:textId="3E579538" w:rsidR="00A17D92" w:rsidRPr="00A17D92" w:rsidRDefault="00A17D92" w:rsidP="00A17D92">
      <w:pPr>
        <w:jc w:val="both"/>
      </w:pPr>
      <w:r w:rsidRPr="00A17D92">
        <w:rPr>
          <w:b/>
          <w:bCs/>
        </w:rPr>
        <w:t>Detalle del Primer Dictamen:</w:t>
      </w:r>
    </w:p>
    <w:p w14:paraId="053B2479" w14:textId="77777777" w:rsidR="00A17D92" w:rsidRPr="00A17D92" w:rsidRDefault="00A17D92" w:rsidP="00A17D92">
      <w:pPr>
        <w:numPr>
          <w:ilvl w:val="0"/>
          <w:numId w:val="2"/>
        </w:numPr>
        <w:jc w:val="both"/>
      </w:pPr>
      <w:r w:rsidRPr="00A17D92">
        <w:t xml:space="preserve">Síntomas del Paciente: La Dra. Rodríguez describió los síntomas del paciente en la consulta inicial, </w:t>
      </w:r>
      <w:r w:rsidRPr="00A17D92">
        <w:rPr>
          <w:b/>
          <w:bCs/>
        </w:rPr>
        <w:t>indicando que no había indicios de hospitalización en ese momento</w:t>
      </w:r>
      <w:r w:rsidRPr="00A17D92">
        <w:t>.</w:t>
      </w:r>
    </w:p>
    <w:p w14:paraId="48F2E96F" w14:textId="659BD047" w:rsidR="00A17D92" w:rsidRPr="00A17D92" w:rsidRDefault="00A17D92" w:rsidP="00A17D92">
      <w:pPr>
        <w:numPr>
          <w:ilvl w:val="0"/>
          <w:numId w:val="2"/>
        </w:numPr>
        <w:jc w:val="both"/>
      </w:pPr>
      <w:r w:rsidRPr="00A17D92">
        <w:t xml:space="preserve">Evaluación de la Historia Clínica: Se enfocó en la revisión de la historia clínica, haciendo énfasis en la sospecha de un cuadro </w:t>
      </w:r>
      <w:r w:rsidRPr="00A17D92">
        <w:t>viral.</w:t>
      </w:r>
      <w:r>
        <w:t xml:space="preserve"> Sin embargo, el cuadro clínico del paciente no era concluyente para determinar un diagnostico de dengue.</w:t>
      </w:r>
    </w:p>
    <w:p w14:paraId="29F218FF" w14:textId="77777777" w:rsidR="00A17D92" w:rsidRPr="00A17D92" w:rsidRDefault="00A17D92" w:rsidP="00A17D92">
      <w:pPr>
        <w:numPr>
          <w:ilvl w:val="0"/>
          <w:numId w:val="2"/>
        </w:numPr>
        <w:jc w:val="both"/>
      </w:pPr>
      <w:r w:rsidRPr="00A17D92">
        <w:t>Tratamiento y Diagnóstico: Señaló que el tratamiento para cuadros virales se basa en medidas de soporte y que no había indicación para antibióticos en ese momento.</w:t>
      </w:r>
    </w:p>
    <w:p w14:paraId="47B5C807" w14:textId="77777777" w:rsidR="00A17D92" w:rsidRPr="00A17D92" w:rsidRDefault="00A17D92" w:rsidP="00A17D92">
      <w:pPr>
        <w:numPr>
          <w:ilvl w:val="0"/>
          <w:numId w:val="2"/>
        </w:numPr>
        <w:jc w:val="both"/>
      </w:pPr>
      <w:r w:rsidRPr="00A17D92">
        <w:rPr>
          <w:b/>
          <w:bCs/>
        </w:rPr>
        <w:t>Uso de Dipirona:</w:t>
      </w:r>
      <w:r w:rsidRPr="00A17D92">
        <w:t xml:space="preserve"> Explicó que la administración de dipirona se hizo antes de recibir los resultados de la prueba de dengue, pero argumentó que no afectaría negativamente a un paciente sin dengue.</w:t>
      </w:r>
    </w:p>
    <w:p w14:paraId="23C782C5" w14:textId="2C0BEC44" w:rsidR="00A17D92" w:rsidRPr="00A17D92" w:rsidRDefault="00A17D92" w:rsidP="00A17D92">
      <w:r w:rsidRPr="00A17D92">
        <w:rPr>
          <w:b/>
          <w:bCs/>
        </w:rPr>
        <w:t>Preguntas sobre el Primer Dictamen:</w:t>
      </w:r>
    </w:p>
    <w:p w14:paraId="37F08B52" w14:textId="77777777" w:rsidR="00A17D92" w:rsidRPr="00A17D92" w:rsidRDefault="00A17D92" w:rsidP="0015143D">
      <w:pPr>
        <w:numPr>
          <w:ilvl w:val="0"/>
          <w:numId w:val="3"/>
        </w:numPr>
        <w:jc w:val="both"/>
      </w:pPr>
      <w:r w:rsidRPr="00A17D92">
        <w:t>Indicación de Hemocultivo: La Dra. Rodríguez opinó que no había indicación para un hemocultivo en la primera consulta, dada la sospecha de un cuadro viral.</w:t>
      </w:r>
    </w:p>
    <w:p w14:paraId="221D94C5" w14:textId="77777777" w:rsidR="00A17D92" w:rsidRPr="00A17D92" w:rsidRDefault="00A17D92" w:rsidP="0015143D">
      <w:pPr>
        <w:numPr>
          <w:ilvl w:val="0"/>
          <w:numId w:val="3"/>
        </w:numPr>
        <w:jc w:val="both"/>
        <w:rPr>
          <w:b/>
          <w:bCs/>
          <w:u w:val="single"/>
        </w:rPr>
      </w:pPr>
      <w:r w:rsidRPr="00A17D92">
        <w:t xml:space="preserve">Posibilidades Diagnósticas: </w:t>
      </w:r>
      <w:r w:rsidRPr="00A17D92">
        <w:rPr>
          <w:b/>
          <w:bCs/>
          <w:u w:val="single"/>
        </w:rPr>
        <w:t>Señaló que, en ese momento, múltiples infecciones virales y bacterianas podrían explicar los síntomas del paciente.</w:t>
      </w:r>
    </w:p>
    <w:p w14:paraId="63E10415" w14:textId="77777777" w:rsidR="00A17D92" w:rsidRPr="00A17D92" w:rsidRDefault="00A17D92" w:rsidP="0015143D">
      <w:pPr>
        <w:numPr>
          <w:ilvl w:val="0"/>
          <w:numId w:val="3"/>
        </w:numPr>
        <w:jc w:val="both"/>
        <w:rPr>
          <w:b/>
          <w:bCs/>
          <w:u w:val="single"/>
        </w:rPr>
      </w:pPr>
      <w:r w:rsidRPr="00A17D92">
        <w:t xml:space="preserve">Evolución Clínica y Tratamiento Pronto: </w:t>
      </w:r>
      <w:r w:rsidRPr="00A17D92">
        <w:rPr>
          <w:b/>
          <w:bCs/>
          <w:u w:val="single"/>
        </w:rPr>
        <w:t>Afirmó que un tratamiento más temprano no garantizaba la recuperación debido a la imprevisibilidad del dengue.</w:t>
      </w:r>
    </w:p>
    <w:p w14:paraId="4D8DD633" w14:textId="77777777" w:rsidR="0015143D" w:rsidRDefault="00A17D92" w:rsidP="00A17D92">
      <w:pPr>
        <w:numPr>
          <w:ilvl w:val="0"/>
          <w:numId w:val="3"/>
        </w:numPr>
      </w:pPr>
      <w:r w:rsidRPr="00A17D92">
        <w:lastRenderedPageBreak/>
        <w:t>Consecuencias del Uso de Dipirona: Aseguró que la dipirona no afectaría negativamente en este caso y que su uso ocasional no conlleva riesgos significativos.</w:t>
      </w:r>
    </w:p>
    <w:p w14:paraId="5C5C3B3B" w14:textId="22F5DF8D" w:rsidR="00A17D92" w:rsidRPr="00A17D92" w:rsidRDefault="0015143D" w:rsidP="0015143D">
      <w:pPr>
        <w:ind w:left="360"/>
      </w:pPr>
      <w:r w:rsidRPr="0015143D">
        <w:rPr>
          <w:b/>
          <w:bCs/>
        </w:rPr>
        <w:t>S</w:t>
      </w:r>
      <w:r w:rsidR="00A17D92" w:rsidRPr="00A17D92">
        <w:rPr>
          <w:b/>
          <w:bCs/>
        </w:rPr>
        <w:t>egundo Dictamen:</w:t>
      </w:r>
    </w:p>
    <w:p w14:paraId="595937E0" w14:textId="77777777" w:rsidR="00A17D92" w:rsidRPr="00A17D92" w:rsidRDefault="00A17D92" w:rsidP="0015143D">
      <w:pPr>
        <w:numPr>
          <w:ilvl w:val="0"/>
          <w:numId w:val="4"/>
        </w:numPr>
        <w:jc w:val="both"/>
      </w:pPr>
      <w:r w:rsidRPr="00A17D92">
        <w:t>Identificación de Estafilococosemia: La Dra. Rodríguez mencionó el hallazgo de estafilococosemia en la segunda evaluación, pero argumentó que la presentación clínica inicial no sugería claramente esta infección bacteriana.</w:t>
      </w:r>
    </w:p>
    <w:p w14:paraId="4EC1665D" w14:textId="77777777" w:rsidR="00A17D92" w:rsidRPr="00A17D92" w:rsidRDefault="00A17D92" w:rsidP="0015143D">
      <w:pPr>
        <w:numPr>
          <w:ilvl w:val="0"/>
          <w:numId w:val="4"/>
        </w:numPr>
        <w:jc w:val="both"/>
      </w:pPr>
      <w:r w:rsidRPr="00A17D92">
        <w:t>Complejidad del Diagnóstico: Destacó la dificultad de diagnosticar rápidamente una infección bacteriana atípica y señaló que el paciente ya estaba en un segundo nivel de atención médica.</w:t>
      </w:r>
    </w:p>
    <w:p w14:paraId="53FD7135" w14:textId="6E50AFAD" w:rsidR="00A17D92" w:rsidRPr="00A17D92" w:rsidRDefault="00A17D92" w:rsidP="00D30642">
      <w:pPr>
        <w:jc w:val="both"/>
      </w:pPr>
      <w:r w:rsidRPr="00A17D92">
        <w:t xml:space="preserve">La Dra. Eliana Rodríguez presentó una perspectiva coherente en ambos dictámenes, considerando la complejidad del caso y la evolución rápida del </w:t>
      </w:r>
      <w:r w:rsidR="00D30642" w:rsidRPr="00A17D92">
        <w:t>paciente. La</w:t>
      </w:r>
      <w:r w:rsidRPr="00A17D92">
        <w:t xml:space="preserve"> contradicción en los dictámenes puede deberse a la evolución atípica del cuadro clínico del paciente y la dificultad en el diagnóstico temprano de una infección bacteriana.</w:t>
      </w:r>
    </w:p>
    <w:p w14:paraId="5B3EB24B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Consulta Inicial (2 de marzo):</w:t>
      </w:r>
    </w:p>
    <w:p w14:paraId="0F4AD731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Motivo: Dolor en el hombro izquierdo por "fuerza mal hecha."</w:t>
      </w:r>
    </w:p>
    <w:p w14:paraId="452E3483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Diagnóstico: Lesión en el hombro. Tratamiento con Quirón intravenoso y naproxeno.</w:t>
      </w:r>
    </w:p>
    <w:p w14:paraId="18A16AE5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Segunda Consulta (7 de mayo):</w:t>
      </w:r>
    </w:p>
    <w:p w14:paraId="038E9CDA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Motivo: Fiebre de 8 días, debilidad, dolor muscular, lesiones en la cara.</w:t>
      </w:r>
    </w:p>
    <w:p w14:paraId="1123F984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Diagnóstico Inicial: Miositis viral. Tratamiento sintomático.</w:t>
      </w:r>
    </w:p>
    <w:p w14:paraId="2C27F7C6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Laboratorios: Normales, neutrofilia leve, PCR y transaminasas elevadas.</w:t>
      </w:r>
    </w:p>
    <w:p w14:paraId="145930F6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Evaluación Pediátrica: Limitación para la marcha, lesiones faciales, dolor en miembros inferiores. Estable, manejo ambulatorio.</w:t>
      </w:r>
    </w:p>
    <w:p w14:paraId="3CB81287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Reconsulta y Desenlace (8 de mayo):</w:t>
      </w:r>
    </w:p>
    <w:p w14:paraId="7CAB919E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Descompensación: Dificultad respiratoria, taquicardia, palidez, abdomen distendido.</w:t>
      </w:r>
    </w:p>
    <w:p w14:paraId="5CFE4CAA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>Diagnóstico Posterior: Choque distributivo, sospecha inicial de anafilaxia y luego dengue.</w:t>
      </w:r>
    </w:p>
    <w:p w14:paraId="22CFEFC0" w14:textId="77777777" w:rsidR="0015143D" w:rsidRPr="0015143D" w:rsidRDefault="0015143D" w:rsidP="00D30642">
      <w:pPr>
        <w:numPr>
          <w:ilvl w:val="1"/>
          <w:numId w:val="7"/>
        </w:numPr>
        <w:jc w:val="both"/>
      </w:pPr>
      <w:r w:rsidRPr="0015143D">
        <w:t xml:space="preserve">Cultivo de sangre: </w:t>
      </w:r>
      <w:proofErr w:type="spellStart"/>
      <w:r w:rsidRPr="0015143D">
        <w:t>Staphylococcus</w:t>
      </w:r>
      <w:proofErr w:type="spellEnd"/>
      <w:r w:rsidRPr="0015143D">
        <w:t xml:space="preserve"> </w:t>
      </w:r>
      <w:proofErr w:type="spellStart"/>
      <w:r w:rsidRPr="0015143D">
        <w:t>aureus</w:t>
      </w:r>
      <w:proofErr w:type="spellEnd"/>
      <w:r w:rsidRPr="0015143D">
        <w:t xml:space="preserve"> resistente.</w:t>
      </w:r>
    </w:p>
    <w:p w14:paraId="1E2D51FF" w14:textId="77777777" w:rsidR="0015143D" w:rsidRPr="0015143D" w:rsidRDefault="0015143D" w:rsidP="00D30642">
      <w:pPr>
        <w:jc w:val="both"/>
      </w:pPr>
      <w:r w:rsidRPr="0015143D">
        <w:lastRenderedPageBreak/>
        <w:t>Análisis Pericial:</w:t>
      </w:r>
    </w:p>
    <w:p w14:paraId="4BAF74C9" w14:textId="77777777" w:rsidR="0015143D" w:rsidRPr="0015143D" w:rsidRDefault="0015143D" w:rsidP="00D30642">
      <w:pPr>
        <w:jc w:val="both"/>
      </w:pPr>
      <w:r w:rsidRPr="0015143D">
        <w:rPr>
          <w:b/>
          <w:bCs/>
        </w:rPr>
        <w:t>Diagnóstico Inicial:</w:t>
      </w:r>
    </w:p>
    <w:p w14:paraId="252011FF" w14:textId="77777777" w:rsidR="0015143D" w:rsidRPr="0015143D" w:rsidRDefault="0015143D" w:rsidP="00D30642">
      <w:pPr>
        <w:numPr>
          <w:ilvl w:val="1"/>
          <w:numId w:val="8"/>
        </w:numPr>
        <w:jc w:val="both"/>
        <w:rPr>
          <w:b/>
          <w:bCs/>
          <w:u w:val="single"/>
        </w:rPr>
      </w:pPr>
      <w:r w:rsidRPr="0015143D">
        <w:rPr>
          <w:b/>
          <w:bCs/>
          <w:u w:val="single"/>
        </w:rPr>
        <w:t>El diagnóstico de miositis viral fue razonable dada la presentación clínica.</w:t>
      </w:r>
    </w:p>
    <w:p w14:paraId="5A5F2858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>La limitación para la marcha y el dolor muscular eran consistentes con la miositis.</w:t>
      </w:r>
    </w:p>
    <w:p w14:paraId="0F9BA777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Manejo Inicial:</w:t>
      </w:r>
    </w:p>
    <w:p w14:paraId="61743E7F" w14:textId="77777777" w:rsidR="0015143D" w:rsidRPr="0015143D" w:rsidRDefault="0015143D" w:rsidP="00D30642">
      <w:pPr>
        <w:numPr>
          <w:ilvl w:val="1"/>
          <w:numId w:val="8"/>
        </w:numPr>
        <w:jc w:val="both"/>
        <w:rPr>
          <w:b/>
          <w:bCs/>
          <w:u w:val="single"/>
        </w:rPr>
      </w:pPr>
      <w:r w:rsidRPr="0015143D">
        <w:rPr>
          <w:b/>
          <w:bCs/>
          <w:u w:val="single"/>
        </w:rPr>
        <w:t>El tratamiento sintomático y el seguimiento ambulatorio fueron apropiados para la miositis viral.</w:t>
      </w:r>
    </w:p>
    <w:p w14:paraId="438E65CE" w14:textId="77777777" w:rsidR="0015143D" w:rsidRPr="0015143D" w:rsidRDefault="0015143D" w:rsidP="00D30642">
      <w:pPr>
        <w:numPr>
          <w:ilvl w:val="1"/>
          <w:numId w:val="8"/>
        </w:numPr>
        <w:jc w:val="both"/>
        <w:rPr>
          <w:b/>
          <w:bCs/>
          <w:u w:val="single"/>
        </w:rPr>
      </w:pPr>
      <w:r w:rsidRPr="0015143D">
        <w:rPr>
          <w:b/>
          <w:bCs/>
          <w:u w:val="single"/>
        </w:rPr>
        <w:t>Los exámenes iniciales no sugerían una infección bacteriana grave (hemograma normal).</w:t>
      </w:r>
    </w:p>
    <w:p w14:paraId="48E4573E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Descompensación:</w:t>
      </w:r>
    </w:p>
    <w:p w14:paraId="7AF3C355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>La rápida descompensación del paciente y el diagnóstico posterior de choque distributivo fueron desafíos.</w:t>
      </w:r>
    </w:p>
    <w:p w14:paraId="74997D9A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>La sospecha de anafilaxia inicial y el cambio a dengue reflejan la complejidad del caso.</w:t>
      </w:r>
    </w:p>
    <w:p w14:paraId="3F74622C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Cultivo Positivo:</w:t>
      </w:r>
    </w:p>
    <w:p w14:paraId="6EE71B1B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 xml:space="preserve">La identificación del </w:t>
      </w:r>
      <w:proofErr w:type="spellStart"/>
      <w:r w:rsidRPr="0015143D">
        <w:t>Staphylococcus</w:t>
      </w:r>
      <w:proofErr w:type="spellEnd"/>
      <w:r w:rsidRPr="0015143D">
        <w:t xml:space="preserve"> </w:t>
      </w:r>
      <w:proofErr w:type="spellStart"/>
      <w:r w:rsidRPr="0015143D">
        <w:t>aureus</w:t>
      </w:r>
      <w:proofErr w:type="spellEnd"/>
      <w:r w:rsidRPr="0015143D">
        <w:t xml:space="preserve"> resistente es relevante para comprender la gravedad de la infección.</w:t>
      </w:r>
    </w:p>
    <w:p w14:paraId="3307D4F1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Consideraciones Geográficas:</w:t>
      </w:r>
    </w:p>
    <w:p w14:paraId="4E80FE63" w14:textId="323D225F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>Se reconoce la limitación geográfica y de recursos en el área de atención</w:t>
      </w:r>
      <w:r w:rsidR="00D30642">
        <w:t xml:space="preserve"> del paciente.</w:t>
      </w:r>
    </w:p>
    <w:p w14:paraId="45ABF7D4" w14:textId="77777777" w:rsidR="0015143D" w:rsidRPr="0015143D" w:rsidRDefault="0015143D" w:rsidP="00D30642">
      <w:pPr>
        <w:ind w:left="720"/>
        <w:jc w:val="both"/>
      </w:pPr>
      <w:r w:rsidRPr="0015143D">
        <w:rPr>
          <w:b/>
          <w:bCs/>
        </w:rPr>
        <w:t>Conclusiones:</w:t>
      </w:r>
    </w:p>
    <w:p w14:paraId="714F4E03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 xml:space="preserve">El diagnóstico final de sepsis por </w:t>
      </w:r>
      <w:proofErr w:type="spellStart"/>
      <w:r w:rsidRPr="0015143D">
        <w:t>Staphylococcus</w:t>
      </w:r>
      <w:proofErr w:type="spellEnd"/>
      <w:r w:rsidRPr="0015143D">
        <w:t xml:space="preserve"> </w:t>
      </w:r>
      <w:proofErr w:type="spellStart"/>
      <w:r w:rsidRPr="0015143D">
        <w:t>aureus</w:t>
      </w:r>
      <w:proofErr w:type="spellEnd"/>
      <w:r w:rsidRPr="0015143D">
        <w:t xml:space="preserve"> resistente complica la situación.</w:t>
      </w:r>
    </w:p>
    <w:p w14:paraId="0A70CCAB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>La descompensación rápida del paciente puede no haber permitido intervenciones adicionales.</w:t>
      </w:r>
    </w:p>
    <w:p w14:paraId="24686E1A" w14:textId="77777777" w:rsidR="0015143D" w:rsidRPr="0015143D" w:rsidRDefault="0015143D" w:rsidP="00D30642">
      <w:pPr>
        <w:numPr>
          <w:ilvl w:val="1"/>
          <w:numId w:val="8"/>
        </w:numPr>
        <w:jc w:val="both"/>
      </w:pPr>
      <w:r w:rsidRPr="0015143D">
        <w:t>El manejo y diagnóstico iniciales fueron razonables, considerando la información disponible.</w:t>
      </w:r>
    </w:p>
    <w:p w14:paraId="6DA2AEBD" w14:textId="77777777" w:rsidR="00D30642" w:rsidRDefault="00D30642" w:rsidP="00D30642">
      <w:pPr>
        <w:jc w:val="both"/>
      </w:pPr>
    </w:p>
    <w:p w14:paraId="041EEE2D" w14:textId="209C376C" w:rsidR="00D30642" w:rsidRDefault="00D30642" w:rsidP="00D30642">
      <w:pPr>
        <w:jc w:val="both"/>
      </w:pPr>
      <w:r>
        <w:t xml:space="preserve">La Dra. Eliana Rodríguez, al detallar su experiencia y formación en pediatría, respalda su peritaje mediante la revisión de guías médicas y la historia clínica del </w:t>
      </w:r>
      <w:r>
        <w:lastRenderedPageBreak/>
        <w:t>paciente.</w:t>
      </w:r>
      <w:r w:rsidRPr="00D30642">
        <w:rPr>
          <w:b/>
          <w:bCs/>
        </w:rPr>
        <w:t xml:space="preserve"> </w:t>
      </w:r>
      <w:proofErr w:type="gramStart"/>
      <w:r w:rsidRPr="00D30642">
        <w:rPr>
          <w:b/>
          <w:bCs/>
        </w:rPr>
        <w:t>( la</w:t>
      </w:r>
      <w:proofErr w:type="gramEnd"/>
      <w:r w:rsidRPr="00D30642">
        <w:rPr>
          <w:b/>
          <w:bCs/>
        </w:rPr>
        <w:t xml:space="preserve"> parte demandante intentó desprestigiar las literatura medica sobre los cuales la perito fundamentò su dictamen)</w:t>
      </w:r>
    </w:p>
    <w:p w14:paraId="15166CB1" w14:textId="1E170B0C" w:rsidR="00D30642" w:rsidRDefault="00D30642" w:rsidP="00D30642">
      <w:pPr>
        <w:jc w:val="both"/>
      </w:pPr>
      <w:r>
        <w:t xml:space="preserve">En el primer dictamen, enfocándose en la sospecha de un cuadro viral, la Dra. Rodríguez </w:t>
      </w:r>
      <w:r>
        <w:t>mencionó</w:t>
      </w:r>
      <w:r>
        <w:t xml:space="preserve"> la ausencia de indicadores concluyentes para el dengue, </w:t>
      </w:r>
      <w:r>
        <w:t>concluyendo que era dable que en las primeras atenciones se ordenara</w:t>
      </w:r>
      <w:r>
        <w:t xml:space="preserve"> </w:t>
      </w:r>
      <w:r>
        <w:t>u</w:t>
      </w:r>
      <w:r>
        <w:t xml:space="preserve">n tratamiento de soporte sin antibióticos. A pesar de la controversia sobre el hemocultivo y la diversidad de posibles diagnósticos, su perspectiva coherente destaca la </w:t>
      </w:r>
      <w:r w:rsidRPr="00BC4C8E">
        <w:rPr>
          <w:b/>
          <w:bCs/>
        </w:rPr>
        <w:t>imprevisibilidad del dengue</w:t>
      </w:r>
      <w:r>
        <w:t>.</w:t>
      </w:r>
    </w:p>
    <w:p w14:paraId="7E0B845F" w14:textId="58D7B42E" w:rsidR="00D30642" w:rsidRDefault="00D30642" w:rsidP="00D30642">
      <w:pPr>
        <w:jc w:val="both"/>
      </w:pPr>
      <w:r>
        <w:t xml:space="preserve">El segundo dictamen revela la identificación de estafilococosemia, justificando la dificultad de diagnosticar rápidamente infecciones bacterianas atípicas. La Dra. Rodríguez </w:t>
      </w:r>
      <w:r w:rsidR="00BC4C8E">
        <w:t>presentó</w:t>
      </w:r>
      <w:r>
        <w:t xml:space="preserve"> una visión unificada, atribuyendo las discrepancias a la evolución atípica del cuadro clínico y la complejidad del diagnóstico temprano de infecciones bacterianas.</w:t>
      </w:r>
    </w:p>
    <w:p w14:paraId="0F2C0197" w14:textId="4AE68A38" w:rsidR="00A17D92" w:rsidRDefault="00D30642" w:rsidP="00D30642">
      <w:pPr>
        <w:jc w:val="both"/>
      </w:pPr>
      <w:r>
        <w:t>E</w:t>
      </w:r>
      <w:r w:rsidR="00BC4C8E">
        <w:t>n suma, la prueba pericial</w:t>
      </w:r>
      <w:r>
        <w:t xml:space="preserve"> </w:t>
      </w:r>
      <w:r w:rsidR="00BC4C8E">
        <w:t>subraya</w:t>
      </w:r>
      <w:r>
        <w:t xml:space="preserve"> la razonabilidad del diagnóstico inicial de miositis viral, respaldado por la presentación clínica del paciente. El manejo inicial y la consideración de la información disponible reflejan decisiones apropiadas, pero la descompensación rápida y el cultivo positivo complican el caso. Se reconoce la limitación geográfica y de recursos, </w:t>
      </w:r>
      <w:r w:rsidRPr="00BC4C8E">
        <w:rPr>
          <w:b/>
          <w:bCs/>
          <w:u w:val="single"/>
        </w:rPr>
        <w:t>sugiriendo que la intervención adicional pudo haberse visto obstaculizada por la rápida evolución del paciente</w:t>
      </w:r>
      <w:r>
        <w:t xml:space="preserve">. En última instancia, </w:t>
      </w:r>
      <w:r w:rsidR="00BC4C8E">
        <w:t>destacó</w:t>
      </w:r>
      <w:r>
        <w:t xml:space="preserve"> la complejidad del caso y la necesidad de considerar todas las variables para una evaluación equitativa.</w:t>
      </w:r>
    </w:p>
    <w:sectPr w:rsidR="00A17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447"/>
    <w:multiLevelType w:val="multilevel"/>
    <w:tmpl w:val="5E58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72E38"/>
    <w:multiLevelType w:val="multilevel"/>
    <w:tmpl w:val="BAD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10423"/>
    <w:multiLevelType w:val="multilevel"/>
    <w:tmpl w:val="C86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20F5C"/>
    <w:multiLevelType w:val="multilevel"/>
    <w:tmpl w:val="E13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EE5759"/>
    <w:multiLevelType w:val="multilevel"/>
    <w:tmpl w:val="8ADC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F31DC"/>
    <w:multiLevelType w:val="multilevel"/>
    <w:tmpl w:val="F082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A3DBF"/>
    <w:multiLevelType w:val="multilevel"/>
    <w:tmpl w:val="1936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DB2A02"/>
    <w:multiLevelType w:val="multilevel"/>
    <w:tmpl w:val="9FA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498287">
    <w:abstractNumId w:val="6"/>
  </w:num>
  <w:num w:numId="2" w16cid:durableId="148904180">
    <w:abstractNumId w:val="3"/>
  </w:num>
  <w:num w:numId="3" w16cid:durableId="833490352">
    <w:abstractNumId w:val="7"/>
  </w:num>
  <w:num w:numId="4" w16cid:durableId="1315837209">
    <w:abstractNumId w:val="2"/>
  </w:num>
  <w:num w:numId="5" w16cid:durableId="1410467517">
    <w:abstractNumId w:val="0"/>
  </w:num>
  <w:num w:numId="6" w16cid:durableId="1642423045">
    <w:abstractNumId w:val="1"/>
  </w:num>
  <w:num w:numId="7" w16cid:durableId="2066221008">
    <w:abstractNumId w:val="4"/>
  </w:num>
  <w:num w:numId="8" w16cid:durableId="91220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2"/>
    <w:rsid w:val="0015143D"/>
    <w:rsid w:val="00A17D92"/>
    <w:rsid w:val="00BC4C8E"/>
    <w:rsid w:val="00D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905"/>
  <w15:chartTrackingRefBased/>
  <w15:docId w15:val="{3C044CF5-B5B0-462E-BE26-ECCBDED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7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7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7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7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7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7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7D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7D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7D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7D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7D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7D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7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7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7D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7D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7D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7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7D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7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0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93824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2890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7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3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01961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69302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Calvo</dc:creator>
  <cp:keywords/>
  <dc:description/>
  <cp:lastModifiedBy>Juan Pablo Calvo</cp:lastModifiedBy>
  <cp:revision>1</cp:revision>
  <dcterms:created xsi:type="dcterms:W3CDTF">2024-03-01T15:01:00Z</dcterms:created>
  <dcterms:modified xsi:type="dcterms:W3CDTF">2024-03-01T15:33:00Z</dcterms:modified>
</cp:coreProperties>
</file>