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Pr="000D3DA3"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B874C6">
        <w:rPr>
          <w:rFonts w:ascii="Arial" w:hAnsi="Arial" w:cs="Arial"/>
          <w:b/>
          <w:lang w:val="es-CO"/>
        </w:rPr>
        <w:t xml:space="preserve">AUDIENCIA DEL ART. </w:t>
      </w:r>
      <w:r w:rsidR="000D3DA3">
        <w:rPr>
          <w:rFonts w:ascii="Arial" w:hAnsi="Arial" w:cs="Arial"/>
          <w:b/>
          <w:lang w:val="es-CO"/>
        </w:rPr>
        <w:t xml:space="preserve">20 LEY </w:t>
      </w:r>
      <w:r w:rsidR="000D3DA3" w:rsidRPr="000D3DA3">
        <w:rPr>
          <w:rFonts w:ascii="Arial" w:hAnsi="Arial" w:cs="Arial"/>
          <w:b/>
          <w:lang w:val="es-CO"/>
        </w:rPr>
        <w:t>1563 DE 2012</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ED74B4">
        <w:rPr>
          <w:rFonts w:ascii="Arial" w:hAnsi="Arial" w:cs="Arial"/>
          <w:b/>
          <w:lang w:val="es-CO"/>
        </w:rPr>
        <w:t xml:space="preserve">AUDIENCIA </w:t>
      </w:r>
      <w:r w:rsidR="00B874C6">
        <w:rPr>
          <w:rFonts w:ascii="Arial" w:hAnsi="Arial" w:cs="Arial"/>
          <w:b/>
          <w:lang w:val="es-CO"/>
        </w:rPr>
        <w:t xml:space="preserve">DE </w:t>
      </w:r>
      <w:r w:rsidR="000D3DA3">
        <w:rPr>
          <w:rFonts w:ascii="Arial" w:hAnsi="Arial" w:cs="Arial"/>
          <w:b/>
          <w:lang w:val="es-CO"/>
        </w:rPr>
        <w:t>INSTALACIÓN DEL TRIBUNAL</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0D3DA3"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EA56F6" w:rsidRDefault="000D3DA3" w:rsidP="000D3DA3">
            <w:pPr>
              <w:spacing w:line="360" w:lineRule="auto"/>
              <w:rPr>
                <w:rFonts w:ascii="Arial" w:hAnsi="Arial" w:cs="Arial"/>
                <w:lang w:val="es-CO"/>
              </w:rPr>
            </w:pPr>
            <w:r>
              <w:rPr>
                <w:rFonts w:ascii="Arial" w:hAnsi="Arial" w:cs="Arial"/>
                <w:lang w:val="es-CO"/>
              </w:rPr>
              <w:t>Tribunal d</w:t>
            </w:r>
            <w:r w:rsidRPr="000D3DA3">
              <w:rPr>
                <w:rFonts w:ascii="Arial" w:hAnsi="Arial" w:cs="Arial"/>
                <w:lang w:val="es-CO"/>
              </w:rPr>
              <w:t>e Arbitraje</w:t>
            </w:r>
            <w:r>
              <w:rPr>
                <w:rFonts w:ascii="Arial" w:hAnsi="Arial" w:cs="Arial"/>
                <w:lang w:val="es-CO"/>
              </w:rPr>
              <w:t xml:space="preserve"> - Cámara de Comercio d</w:t>
            </w:r>
            <w:r w:rsidRPr="000D3DA3">
              <w:rPr>
                <w:rFonts w:ascii="Arial" w:hAnsi="Arial" w:cs="Arial"/>
                <w:lang w:val="es-CO"/>
              </w:rPr>
              <w:t>e Cali</w:t>
            </w:r>
          </w:p>
        </w:tc>
      </w:tr>
      <w:tr w:rsidR="005A59F9" w:rsidRPr="00D45671"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0D3DA3" w:rsidP="0078252A">
            <w:pPr>
              <w:spacing w:line="360" w:lineRule="auto"/>
              <w:rPr>
                <w:rFonts w:ascii="Arial" w:hAnsi="Arial" w:cs="Arial"/>
                <w:lang w:val="es-CO"/>
              </w:rPr>
            </w:pPr>
            <w:r>
              <w:rPr>
                <w:rFonts w:ascii="Arial" w:hAnsi="Arial" w:cs="Arial"/>
                <w:lang w:val="es-CO"/>
              </w:rPr>
              <w:t>Nulidad Absoluta</w:t>
            </w:r>
          </w:p>
        </w:tc>
      </w:tr>
      <w:tr w:rsidR="00F248E8" w:rsidRPr="00D45671" w:rsidTr="00A752C5">
        <w:trPr>
          <w:trHeight w:val="384"/>
        </w:trPr>
        <w:tc>
          <w:tcPr>
            <w:tcW w:w="3114" w:type="dxa"/>
          </w:tcPr>
          <w:p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rsidR="00F248E8" w:rsidRPr="008943B2" w:rsidRDefault="000D3DA3" w:rsidP="00BA6E36">
            <w:pPr>
              <w:spacing w:line="360" w:lineRule="auto"/>
              <w:rPr>
                <w:rFonts w:ascii="Arial" w:hAnsi="Arial" w:cs="Arial"/>
                <w:lang w:val="es-CO"/>
              </w:rPr>
            </w:pPr>
            <w:r>
              <w:rPr>
                <w:rFonts w:ascii="Arial" w:hAnsi="Arial" w:cs="Arial"/>
                <w:lang w:val="es-CO"/>
              </w:rPr>
              <w:t>N/A</w:t>
            </w:r>
          </w:p>
        </w:tc>
      </w:tr>
      <w:tr w:rsidR="005A59F9" w:rsidRPr="000D3DA3" w:rsidTr="000D29A0">
        <w:trPr>
          <w:trHeight w:val="402"/>
        </w:trPr>
        <w:tc>
          <w:tcPr>
            <w:tcW w:w="3114" w:type="dxa"/>
          </w:tcPr>
          <w:p w:rsidR="005A59F9" w:rsidRPr="00D45671" w:rsidRDefault="000D3DA3" w:rsidP="00890EE2">
            <w:pPr>
              <w:spacing w:line="360" w:lineRule="auto"/>
              <w:rPr>
                <w:rFonts w:ascii="Arial" w:hAnsi="Arial" w:cs="Arial"/>
                <w:b/>
                <w:lang w:val="es-CO"/>
              </w:rPr>
            </w:pPr>
            <w:r>
              <w:rPr>
                <w:rFonts w:ascii="Arial" w:hAnsi="Arial" w:cs="Arial"/>
                <w:b/>
                <w:lang w:val="es-CO"/>
              </w:rPr>
              <w:t>Convocantes</w:t>
            </w:r>
            <w:r w:rsidR="005A59F9" w:rsidRPr="00D45671">
              <w:rPr>
                <w:rFonts w:ascii="Arial" w:hAnsi="Arial" w:cs="Arial"/>
                <w:b/>
                <w:lang w:val="es-CO"/>
              </w:rPr>
              <w:t>:</w:t>
            </w:r>
          </w:p>
        </w:tc>
        <w:tc>
          <w:tcPr>
            <w:tcW w:w="5714" w:type="dxa"/>
          </w:tcPr>
          <w:p w:rsidR="0078252A" w:rsidRPr="000D3DA3" w:rsidRDefault="00B65714" w:rsidP="00614DC7">
            <w:pPr>
              <w:spacing w:line="360" w:lineRule="auto"/>
              <w:rPr>
                <w:rFonts w:ascii="Arial" w:eastAsia="Times New Roman" w:hAnsi="Arial" w:cs="Arial"/>
                <w:bCs/>
                <w:color w:val="000000" w:themeColor="text1"/>
                <w:lang w:val="es-CO" w:eastAsia="es-ES"/>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0D3DA3">
              <w:rPr>
                <w:rFonts w:ascii="Arial" w:hAnsi="Arial" w:cs="Arial"/>
                <w:color w:val="000000"/>
                <w:shd w:val="clear" w:color="auto" w:fill="FFFFFF"/>
                <w:lang w:val="es-CO"/>
              </w:rPr>
              <w:t>Compañía Mundial d</w:t>
            </w:r>
            <w:r w:rsidR="000D3DA3" w:rsidRPr="000D3DA3">
              <w:rPr>
                <w:rFonts w:ascii="Arial" w:hAnsi="Arial" w:cs="Arial"/>
                <w:color w:val="000000"/>
                <w:shd w:val="clear" w:color="auto" w:fill="FFFFFF"/>
                <w:lang w:val="es-CO"/>
              </w:rPr>
              <w:t>e Seguros S.A.</w:t>
            </w:r>
          </w:p>
        </w:tc>
      </w:tr>
      <w:tr w:rsidR="00AD0CAC" w:rsidRPr="000D3DA3"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0D3DA3"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r w:rsidR="000D3DA3" w:rsidRPr="000D3DA3">
              <w:rPr>
                <w:rFonts w:ascii="Arial" w:hAnsi="Arial" w:cs="Arial"/>
                <w:lang w:val="es-CO"/>
              </w:rPr>
              <w:t>Gustavo Alberto Herrera Ávila</w:t>
            </w:r>
          </w:p>
        </w:tc>
      </w:tr>
      <w:tr w:rsidR="005A59F9" w:rsidRPr="000D3DA3" w:rsidTr="00871C88">
        <w:trPr>
          <w:trHeight w:val="401"/>
        </w:trPr>
        <w:tc>
          <w:tcPr>
            <w:tcW w:w="3114" w:type="dxa"/>
          </w:tcPr>
          <w:p w:rsidR="005A59F9" w:rsidRPr="00D45671" w:rsidRDefault="000D3DA3" w:rsidP="00890EE2">
            <w:pPr>
              <w:spacing w:line="360" w:lineRule="auto"/>
              <w:rPr>
                <w:rFonts w:ascii="Arial" w:hAnsi="Arial" w:cs="Arial"/>
                <w:b/>
                <w:lang w:val="es-CO"/>
              </w:rPr>
            </w:pPr>
            <w:r>
              <w:rPr>
                <w:rFonts w:ascii="Arial" w:hAnsi="Arial" w:cs="Arial"/>
                <w:b/>
                <w:lang w:val="es-CO"/>
              </w:rPr>
              <w:t>Convocados</w:t>
            </w:r>
            <w:r w:rsidR="005A59F9" w:rsidRPr="00D45671">
              <w:rPr>
                <w:rFonts w:ascii="Arial" w:hAnsi="Arial" w:cs="Arial"/>
                <w:b/>
                <w:lang w:val="es-CO"/>
              </w:rPr>
              <w:t xml:space="preserve">: </w:t>
            </w:r>
          </w:p>
        </w:tc>
        <w:tc>
          <w:tcPr>
            <w:tcW w:w="5714" w:type="dxa"/>
          </w:tcPr>
          <w:p w:rsidR="0078252A" w:rsidRPr="00E476DD" w:rsidRDefault="00B65714" w:rsidP="00614DC7">
            <w:pPr>
              <w:spacing w:line="360" w:lineRule="auto"/>
              <w:rPr>
                <w:rFonts w:ascii="Arial" w:hAnsi="Arial" w:cs="Arial"/>
                <w:lang w:val="es-CO"/>
              </w:rPr>
            </w:pPr>
            <w:r w:rsidRPr="006002FB">
              <w:rPr>
                <w:rFonts w:ascii="Arial" w:hAnsi="Arial" w:cs="Arial"/>
                <w:lang w:val="es-CO"/>
              </w:rPr>
              <w:t xml:space="preserve">1. </w:t>
            </w:r>
            <w:r w:rsidR="000D3DA3">
              <w:rPr>
                <w:rStyle w:val="normaltextrun"/>
                <w:rFonts w:ascii="Arial" w:hAnsi="Arial" w:cs="Arial"/>
                <w:lang w:val="es-CO"/>
              </w:rPr>
              <w:t>Edificio Santa Mónica Central P.H.</w:t>
            </w:r>
          </w:p>
        </w:tc>
      </w:tr>
      <w:tr w:rsidR="004E7CCA" w:rsidRPr="00162F3C"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D220CD" w:rsidRPr="0078252A" w:rsidRDefault="00614DC7" w:rsidP="00771F6C">
            <w:pPr>
              <w:spacing w:line="360" w:lineRule="auto"/>
              <w:rPr>
                <w:rFonts w:ascii="Arial" w:hAnsi="Arial" w:cs="Arial"/>
                <w:highlight w:val="yellow"/>
                <w:lang w:val="es-CO"/>
              </w:rPr>
            </w:pPr>
            <w:r>
              <w:rPr>
                <w:rFonts w:ascii="Arial" w:hAnsi="Arial" w:cs="Arial"/>
                <w:lang w:val="es-CO"/>
              </w:rPr>
              <w:t>N/A</w:t>
            </w:r>
          </w:p>
        </w:tc>
      </w:tr>
      <w:tr w:rsidR="005A59F9" w:rsidRPr="00162F3C"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0D3DA3" w:rsidP="00910CF0">
            <w:pPr>
              <w:spacing w:line="360" w:lineRule="auto"/>
              <w:rPr>
                <w:rFonts w:ascii="Arial" w:hAnsi="Arial" w:cs="Arial"/>
                <w:highlight w:val="yellow"/>
                <w:lang w:val="es-CO"/>
              </w:rPr>
            </w:pPr>
            <w:r w:rsidRPr="00F67BC6">
              <w:rPr>
                <w:rStyle w:val="normaltextrun"/>
                <w:rFonts w:ascii="Arial" w:hAnsi="Arial" w:cs="Arial"/>
                <w:lang w:val="es-CO"/>
              </w:rPr>
              <w:t>A-20230929/0915</w:t>
            </w:r>
          </w:p>
        </w:tc>
      </w:tr>
      <w:tr w:rsidR="00ED74B4" w:rsidRPr="00162F3C" w:rsidTr="000D29A0">
        <w:trPr>
          <w:trHeight w:val="414"/>
        </w:trPr>
        <w:tc>
          <w:tcPr>
            <w:tcW w:w="3114" w:type="dxa"/>
          </w:tcPr>
          <w:p w:rsidR="00ED74B4" w:rsidRPr="00D45671" w:rsidRDefault="00614DC7" w:rsidP="00890EE2">
            <w:pPr>
              <w:spacing w:line="360" w:lineRule="auto"/>
              <w:rPr>
                <w:rFonts w:ascii="Arial" w:hAnsi="Arial" w:cs="Arial"/>
                <w:b/>
                <w:lang w:val="es-CO"/>
              </w:rPr>
            </w:pPr>
            <w:r>
              <w:rPr>
                <w:rFonts w:ascii="Arial" w:hAnsi="Arial" w:cs="Arial"/>
                <w:b/>
                <w:lang w:val="es-CO"/>
              </w:rPr>
              <w:t>CASE</w:t>
            </w:r>
            <w:r w:rsidR="00ED74B4">
              <w:rPr>
                <w:rFonts w:ascii="Arial" w:hAnsi="Arial" w:cs="Arial"/>
                <w:b/>
                <w:lang w:val="es-CO"/>
              </w:rPr>
              <w:t>:</w:t>
            </w:r>
          </w:p>
        </w:tc>
        <w:tc>
          <w:tcPr>
            <w:tcW w:w="5714" w:type="dxa"/>
          </w:tcPr>
          <w:p w:rsidR="00ED74B4" w:rsidRDefault="000D3DA3" w:rsidP="00890EE2">
            <w:pPr>
              <w:spacing w:line="360" w:lineRule="auto"/>
              <w:rPr>
                <w:rFonts w:ascii="Arial" w:eastAsia="Times New Roman" w:hAnsi="Arial" w:cs="Arial"/>
                <w:lang w:val="es-CO" w:eastAsia="es-ES"/>
              </w:rPr>
            </w:pPr>
            <w:r w:rsidRPr="000D3DA3">
              <w:rPr>
                <w:rFonts w:ascii="Arial" w:eastAsia="Times New Roman" w:hAnsi="Arial" w:cs="Arial"/>
                <w:lang w:val="es-CO" w:eastAsia="es-ES"/>
              </w:rPr>
              <w:t>19611</w:t>
            </w:r>
          </w:p>
        </w:tc>
      </w:tr>
      <w:tr w:rsidR="00ED74B4" w:rsidRPr="0078252A"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83200C" w:rsidRDefault="0083200C" w:rsidP="00890EE2">
      <w:pPr>
        <w:spacing w:after="0" w:line="360" w:lineRule="auto"/>
        <w:jc w:val="both"/>
        <w:rPr>
          <w:rFonts w:ascii="Arial" w:hAnsi="Arial" w:cs="Arial"/>
          <w:lang w:val="es-CO"/>
        </w:rPr>
      </w:pPr>
    </w:p>
    <w:p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335517" w:rsidRPr="003F055C" w:rsidRDefault="00614DC7"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dil</w:t>
      </w:r>
      <w:r w:rsidR="000D3DA3">
        <w:rPr>
          <w:rFonts w:ascii="Arial" w:eastAsia="Times New Roman" w:hAnsi="Arial" w:cs="Arial"/>
          <w:bCs/>
          <w:color w:val="000000"/>
          <w:lang w:val="es-CO" w:eastAsia="es-CO"/>
        </w:rPr>
        <w:t>igencia a las 10:00 a. m. del 29</w:t>
      </w:r>
      <w:r w:rsidR="00335517"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 xml:space="preserve">enero </w:t>
      </w:r>
      <w:r w:rsidR="00335517" w:rsidRPr="003F055C">
        <w:rPr>
          <w:rFonts w:ascii="Arial" w:eastAsia="Times New Roman" w:hAnsi="Arial" w:cs="Arial"/>
          <w:bCs/>
          <w:color w:val="000000"/>
          <w:lang w:val="es-CO" w:eastAsia="es-CO"/>
        </w:rPr>
        <w:t>de 202</w:t>
      </w:r>
      <w:r>
        <w:rPr>
          <w:rFonts w:ascii="Arial" w:eastAsia="Times New Roman" w:hAnsi="Arial" w:cs="Arial"/>
          <w:bCs/>
          <w:color w:val="000000"/>
          <w:lang w:val="es-CO" w:eastAsia="es-CO"/>
        </w:rPr>
        <w:t>4</w:t>
      </w:r>
      <w:r w:rsidR="00335517" w:rsidRPr="003F055C">
        <w:rPr>
          <w:rFonts w:ascii="Arial" w:eastAsia="Times New Roman" w:hAnsi="Arial" w:cs="Arial"/>
          <w:bCs/>
          <w:color w:val="000000"/>
          <w:lang w:val="es-CO" w:eastAsia="es-CO"/>
        </w:rPr>
        <w:t xml:space="preserve">.  </w:t>
      </w:r>
    </w:p>
    <w:p w:rsidR="00335517" w:rsidRPr="003F055C" w:rsidRDefault="00335517" w:rsidP="00335517">
      <w:pPr>
        <w:pStyle w:val="Sinespaciado"/>
        <w:spacing w:line="360" w:lineRule="auto"/>
        <w:rPr>
          <w:rFonts w:ascii="Arial" w:eastAsia="Times New Roman" w:hAnsi="Arial" w:cs="Arial"/>
          <w:bCs/>
          <w:color w:val="000000"/>
          <w:lang w:val="es-CO" w:eastAsia="es-CO"/>
        </w:rPr>
      </w:pPr>
    </w:p>
    <w:p w:rsidR="00335517" w:rsidRPr="00F84FCB" w:rsidRDefault="00286290" w:rsidP="00286290">
      <w:pPr>
        <w:pStyle w:val="Sinespaciado"/>
        <w:numPr>
          <w:ilvl w:val="0"/>
          <w:numId w:val="1"/>
        </w:numPr>
        <w:spacing w:line="360" w:lineRule="auto"/>
        <w:rPr>
          <w:rFonts w:ascii="Arial" w:eastAsia="Times New Roman" w:hAnsi="Arial" w:cs="Arial"/>
          <w:b/>
          <w:bCs/>
          <w:color w:val="000000"/>
          <w:lang w:val="es-CO" w:eastAsia="es-CO"/>
        </w:rPr>
      </w:pPr>
      <w:r w:rsidRPr="00286290">
        <w:rPr>
          <w:rFonts w:ascii="Arial" w:eastAsia="Times New Roman" w:hAnsi="Arial" w:cs="Arial"/>
          <w:b/>
          <w:bCs/>
          <w:color w:val="000000"/>
          <w:lang w:val="es-CO" w:eastAsia="es-CO"/>
        </w:rPr>
        <w:t>Auto No. 1</w:t>
      </w:r>
      <w:r w:rsidR="00335517" w:rsidRPr="00286290">
        <w:rPr>
          <w:rFonts w:ascii="Arial" w:eastAsia="Times New Roman" w:hAnsi="Arial" w:cs="Arial"/>
          <w:b/>
          <w:bCs/>
          <w:color w:val="000000"/>
          <w:lang w:val="es-CO" w:eastAsia="es-CO"/>
        </w:rPr>
        <w:t>.</w:t>
      </w:r>
    </w:p>
    <w:p w:rsidR="00286290" w:rsidRDefault="00286290" w:rsidP="008B0809">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Decide i</w:t>
      </w:r>
      <w:r w:rsidRPr="00286290">
        <w:rPr>
          <w:rFonts w:ascii="Arial" w:eastAsia="Times New Roman" w:hAnsi="Arial" w:cs="Arial"/>
          <w:bCs/>
          <w:color w:val="000000"/>
          <w:lang w:val="es-CO" w:eastAsia="es-CO"/>
        </w:rPr>
        <w:t>nstalar el Tribunal de Arbitraje, designar secretario y reconocer personería a los apoderados de las partes.</w:t>
      </w:r>
      <w:r>
        <w:rPr>
          <w:rFonts w:ascii="Arial" w:eastAsia="Times New Roman" w:hAnsi="Arial" w:cs="Arial"/>
          <w:bCs/>
          <w:color w:val="000000"/>
          <w:lang w:val="es-CO" w:eastAsia="es-CO"/>
        </w:rPr>
        <w:t xml:space="preserve"> </w:t>
      </w:r>
      <w:r w:rsidR="008B0809">
        <w:rPr>
          <w:rFonts w:ascii="Arial" w:eastAsia="Times New Roman" w:hAnsi="Arial" w:cs="Arial"/>
          <w:bCs/>
          <w:color w:val="000000"/>
          <w:lang w:val="es-CO" w:eastAsia="es-CO"/>
        </w:rPr>
        <w:t xml:space="preserve">Designan como secretaria a </w:t>
      </w:r>
      <w:r w:rsidR="008B0809">
        <w:rPr>
          <w:rFonts w:ascii="Arial" w:eastAsia="Times New Roman" w:hAnsi="Arial" w:cs="Arial"/>
          <w:bCs/>
          <w:color w:val="000000"/>
          <w:lang w:val="es-CO" w:eastAsia="es-CO"/>
        </w:rPr>
        <w:t>Marta Lucía Becerra Suárez</w:t>
      </w:r>
      <w:r w:rsidR="008B0809">
        <w:rPr>
          <w:rFonts w:ascii="Arial" w:eastAsia="Times New Roman" w:hAnsi="Arial" w:cs="Arial"/>
          <w:bCs/>
          <w:color w:val="000000"/>
          <w:lang w:val="es-CO" w:eastAsia="es-CO"/>
        </w:rPr>
        <w:t xml:space="preserve">. </w:t>
      </w:r>
    </w:p>
    <w:p w:rsidR="00286290" w:rsidRDefault="00286290" w:rsidP="000A0B0C">
      <w:pPr>
        <w:pStyle w:val="Sinespaciado"/>
        <w:spacing w:line="360" w:lineRule="auto"/>
        <w:jc w:val="both"/>
        <w:rPr>
          <w:rFonts w:ascii="Arial" w:eastAsia="Times New Roman" w:hAnsi="Arial" w:cs="Arial"/>
          <w:bCs/>
          <w:color w:val="000000"/>
          <w:lang w:val="es-CO" w:eastAsia="es-CO"/>
        </w:rPr>
      </w:pPr>
    </w:p>
    <w:p w:rsidR="00286290" w:rsidRPr="00286290" w:rsidRDefault="00286290" w:rsidP="00286290">
      <w:pPr>
        <w:pStyle w:val="Sinespaciado"/>
        <w:numPr>
          <w:ilvl w:val="0"/>
          <w:numId w:val="1"/>
        </w:numPr>
        <w:spacing w:line="360" w:lineRule="auto"/>
        <w:jc w:val="both"/>
        <w:rPr>
          <w:rFonts w:ascii="Arial" w:eastAsia="Times New Roman" w:hAnsi="Arial" w:cs="Arial"/>
          <w:b/>
          <w:bCs/>
          <w:color w:val="000000"/>
          <w:lang w:val="es-CO" w:eastAsia="es-CO"/>
        </w:rPr>
      </w:pPr>
      <w:r w:rsidRPr="00286290">
        <w:rPr>
          <w:rFonts w:ascii="Arial" w:eastAsia="Times New Roman" w:hAnsi="Arial" w:cs="Arial"/>
          <w:b/>
          <w:bCs/>
          <w:color w:val="000000"/>
          <w:lang w:val="es-CO" w:eastAsia="es-CO"/>
        </w:rPr>
        <w:t xml:space="preserve">Auto No 2. </w:t>
      </w:r>
    </w:p>
    <w:p w:rsidR="00325E4E" w:rsidRDefault="00325E4E" w:rsidP="000A0B0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Examinada la demanda, el Tribunal encuentra que la misma NO cumple con los requisitos formales para su admisión como se explica a continuación:</w:t>
      </w:r>
    </w:p>
    <w:p w:rsidR="00325E4E" w:rsidRDefault="00325E4E" w:rsidP="000A0B0C">
      <w:pPr>
        <w:pStyle w:val="Sinespaciado"/>
        <w:spacing w:line="360" w:lineRule="auto"/>
        <w:jc w:val="both"/>
        <w:rPr>
          <w:rFonts w:ascii="Arial" w:eastAsia="Times New Roman" w:hAnsi="Arial" w:cs="Arial"/>
          <w:bCs/>
          <w:color w:val="000000"/>
          <w:lang w:val="es-CO" w:eastAsia="es-CO"/>
        </w:rPr>
      </w:pPr>
    </w:p>
    <w:p w:rsidR="00325E4E" w:rsidRDefault="00325E4E" w:rsidP="00325E4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1. El numeral 4 del art. 82 del C.G.P. dispone que la demanda deberá contener: “</w:t>
      </w:r>
      <w:r w:rsidRPr="00325E4E">
        <w:rPr>
          <w:rFonts w:ascii="Arial" w:eastAsia="Times New Roman" w:hAnsi="Arial" w:cs="Arial"/>
          <w:bCs/>
          <w:i/>
          <w:color w:val="000000"/>
          <w:lang w:val="es-CO" w:eastAsia="es-CO"/>
        </w:rPr>
        <w:t>4. Lo que se pretenda, expresado con precisión y claridad</w:t>
      </w:r>
      <w:r>
        <w:rPr>
          <w:rFonts w:ascii="Arial" w:eastAsia="Times New Roman" w:hAnsi="Arial" w:cs="Arial"/>
          <w:bCs/>
          <w:color w:val="000000"/>
          <w:lang w:val="es-CO" w:eastAsia="es-CO"/>
        </w:rPr>
        <w:t>”</w:t>
      </w:r>
      <w:r w:rsidRPr="00325E4E">
        <w:rPr>
          <w:rFonts w:ascii="Arial" w:eastAsia="Times New Roman" w:hAnsi="Arial" w:cs="Arial"/>
          <w:bCs/>
          <w:color w:val="000000"/>
          <w:lang w:val="es-CO" w:eastAsia="es-CO"/>
        </w:rPr>
        <w:t>.</w:t>
      </w:r>
      <w:r>
        <w:rPr>
          <w:rFonts w:ascii="Arial" w:eastAsia="Times New Roman" w:hAnsi="Arial" w:cs="Arial"/>
          <w:bCs/>
          <w:color w:val="000000"/>
          <w:lang w:val="es-CO" w:eastAsia="es-CO"/>
        </w:rPr>
        <w:t xml:space="preserve"> Observa el Tribunal que, respecto de las pretensiones subsidiarias, es preciso que se numeren y distingan las que son consecuenciales de alguna pretensión subsidiaria y las pretensiones que son subsidiarias de otras pretensiones subsidiarias, esto con el fin de que quede claro para el Tribunal el </w:t>
      </w:r>
      <w:r>
        <w:rPr>
          <w:rFonts w:ascii="Arial" w:eastAsia="Times New Roman" w:hAnsi="Arial" w:cs="Arial"/>
          <w:bCs/>
          <w:color w:val="000000"/>
          <w:lang w:val="es-CO" w:eastAsia="es-CO"/>
        </w:rPr>
        <w:lastRenderedPageBreak/>
        <w:t>orden de las pretensiones, de otro lado, las pretensiones principales 5 y 6 están redactadas de manera incierta sin que se precise la cuantía de las condenas solicitadas, asimismo, encuentra el Tribunal que en la demanda arbitral, la pretensión principal 8 consistente en: “</w:t>
      </w:r>
      <w:r w:rsidRPr="00325E4E">
        <w:rPr>
          <w:rFonts w:ascii="Arial" w:eastAsia="Times New Roman" w:hAnsi="Arial" w:cs="Arial"/>
          <w:bCs/>
          <w:i/>
          <w:color w:val="000000"/>
          <w:lang w:val="es-CO" w:eastAsia="es-CO"/>
        </w:rPr>
        <w:t xml:space="preserve">OCTAVO: CONDENAR a la copropiedad al reconocimiento y pago de los perjuicios causados y de los que se llegaren a causar </w:t>
      </w:r>
      <w:r>
        <w:rPr>
          <w:rFonts w:ascii="Arial" w:eastAsia="Times New Roman" w:hAnsi="Arial" w:cs="Arial"/>
          <w:bCs/>
          <w:i/>
          <w:color w:val="000000"/>
          <w:lang w:val="es-CO" w:eastAsia="es-CO"/>
        </w:rPr>
        <w:t>(…)</w:t>
      </w:r>
      <w:r>
        <w:rPr>
          <w:rFonts w:ascii="Arial" w:eastAsia="Times New Roman" w:hAnsi="Arial" w:cs="Arial"/>
          <w:bCs/>
          <w:color w:val="000000"/>
          <w:lang w:val="es-CO" w:eastAsia="es-CO"/>
        </w:rPr>
        <w:t xml:space="preserve">” no consigna el monto de estos y también se encuentra redactada de manera incierta. Así las cosas, deberá el convocante corregir estos yerros identificando con precisión o claridad las pretensiones declarativas principales y subsidiarias, las condenas que pretende y los montos de cada una de ellas. </w:t>
      </w:r>
    </w:p>
    <w:p w:rsidR="00325E4E" w:rsidRDefault="00325E4E" w:rsidP="00325E4E">
      <w:pPr>
        <w:pStyle w:val="Sinespaciado"/>
        <w:spacing w:line="360" w:lineRule="auto"/>
        <w:jc w:val="both"/>
        <w:rPr>
          <w:rFonts w:ascii="Arial" w:eastAsia="Times New Roman" w:hAnsi="Arial" w:cs="Arial"/>
          <w:bCs/>
          <w:color w:val="000000"/>
          <w:lang w:val="es-CO" w:eastAsia="es-CO"/>
        </w:rPr>
      </w:pPr>
    </w:p>
    <w:p w:rsidR="0035485E" w:rsidRDefault="00325E4E" w:rsidP="00325E4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2. El numeral 7</w:t>
      </w:r>
      <w:r>
        <w:rPr>
          <w:rFonts w:ascii="Arial" w:eastAsia="Times New Roman" w:hAnsi="Arial" w:cs="Arial"/>
          <w:bCs/>
          <w:color w:val="000000"/>
          <w:lang w:val="es-CO" w:eastAsia="es-CO"/>
        </w:rPr>
        <w:t xml:space="preserve"> del art. 82 del </w:t>
      </w:r>
      <w:r>
        <w:rPr>
          <w:rFonts w:ascii="Arial" w:eastAsia="Times New Roman" w:hAnsi="Arial" w:cs="Arial"/>
          <w:bCs/>
          <w:color w:val="000000"/>
          <w:lang w:val="es-CO" w:eastAsia="es-CO"/>
        </w:rPr>
        <w:t xml:space="preserve">mismo código indica </w:t>
      </w:r>
      <w:r>
        <w:rPr>
          <w:rFonts w:ascii="Arial" w:eastAsia="Times New Roman" w:hAnsi="Arial" w:cs="Arial"/>
          <w:bCs/>
          <w:color w:val="000000"/>
          <w:lang w:val="es-CO" w:eastAsia="es-CO"/>
        </w:rPr>
        <w:t>que la demanda deberá contener:</w:t>
      </w:r>
      <w:r>
        <w:rPr>
          <w:rFonts w:ascii="Arial" w:eastAsia="Times New Roman" w:hAnsi="Arial" w:cs="Arial"/>
          <w:bCs/>
          <w:color w:val="000000"/>
          <w:lang w:val="es-CO" w:eastAsia="es-CO"/>
        </w:rPr>
        <w:t xml:space="preserve"> “</w:t>
      </w:r>
      <w:r w:rsidRPr="00325E4E">
        <w:rPr>
          <w:rFonts w:ascii="Arial" w:eastAsia="Times New Roman" w:hAnsi="Arial" w:cs="Arial"/>
          <w:bCs/>
          <w:i/>
          <w:color w:val="000000"/>
          <w:lang w:val="es-CO" w:eastAsia="es-CO"/>
        </w:rPr>
        <w:t>7. El juramento estimatorio, cuando sea necesario</w:t>
      </w:r>
      <w:r>
        <w:rPr>
          <w:rFonts w:ascii="Arial" w:eastAsia="Times New Roman" w:hAnsi="Arial" w:cs="Arial"/>
          <w:bCs/>
          <w:color w:val="000000"/>
          <w:lang w:val="es-CO" w:eastAsia="es-CO"/>
        </w:rPr>
        <w:t>”</w:t>
      </w:r>
      <w:r w:rsidR="0035485E">
        <w:rPr>
          <w:rFonts w:ascii="Arial" w:eastAsia="Times New Roman" w:hAnsi="Arial" w:cs="Arial"/>
          <w:bCs/>
          <w:color w:val="000000"/>
          <w:lang w:val="es-CO" w:eastAsia="es-CO"/>
        </w:rPr>
        <w:t>, asimismo, el art. 206 del C.G.P. señala sobre el juramento estimatorio: “</w:t>
      </w:r>
      <w:r w:rsidR="0035485E" w:rsidRPr="0035485E">
        <w:rPr>
          <w:rFonts w:ascii="Arial" w:eastAsia="Times New Roman" w:hAnsi="Arial" w:cs="Arial"/>
          <w:bCs/>
          <w:i/>
          <w:color w:val="000000"/>
          <w:lang w:val="es-CO" w:eastAsia="es-CO"/>
        </w:rPr>
        <w:t>Quien pretenda el reconocimiento de una indemnización, compensación o el pago de frutos o mejoras, deberá estimarlo razonadamente bajo juramento en la demanda o petición correspondiente, discriminando cada uno de sus conceptos</w:t>
      </w:r>
      <w:r w:rsidR="0035485E">
        <w:rPr>
          <w:rFonts w:ascii="Arial" w:eastAsia="Times New Roman" w:hAnsi="Arial" w:cs="Arial"/>
          <w:bCs/>
          <w:color w:val="000000"/>
          <w:lang w:val="es-CO" w:eastAsia="es-CO"/>
        </w:rPr>
        <w:t>”</w:t>
      </w:r>
      <w:r w:rsidR="0035485E" w:rsidRPr="0035485E">
        <w:rPr>
          <w:rFonts w:ascii="Arial" w:eastAsia="Times New Roman" w:hAnsi="Arial" w:cs="Arial"/>
          <w:bCs/>
          <w:color w:val="000000"/>
          <w:lang w:val="es-CO" w:eastAsia="es-CO"/>
        </w:rPr>
        <w:t>.</w:t>
      </w:r>
      <w:r w:rsidR="0035485E">
        <w:rPr>
          <w:rFonts w:ascii="Arial" w:eastAsia="Times New Roman" w:hAnsi="Arial" w:cs="Arial"/>
          <w:bCs/>
          <w:color w:val="000000"/>
          <w:lang w:val="es-CO" w:eastAsia="es-CO"/>
        </w:rPr>
        <w:t xml:space="preserve"> El Tribunal advierte que la demanda arbitral no tiene un acápite sobre juramento estimatorio en el que se discrimine de manera clara y precisa el valor de esta, en consecuencia, deberá el convocante presentar el juramento estimatorio con sujeción a los criterios establecidos en el art. 206 del C.G.P. y teniendo en cuenta que este debe guardar relación con las pretensiones. </w:t>
      </w:r>
    </w:p>
    <w:p w:rsidR="0035485E" w:rsidRDefault="0035485E" w:rsidP="00325E4E">
      <w:pPr>
        <w:pStyle w:val="Sinespaciado"/>
        <w:spacing w:line="360" w:lineRule="auto"/>
        <w:jc w:val="both"/>
        <w:rPr>
          <w:rFonts w:ascii="Arial" w:eastAsia="Times New Roman" w:hAnsi="Arial" w:cs="Arial"/>
          <w:bCs/>
          <w:color w:val="000000"/>
          <w:lang w:val="es-CO" w:eastAsia="es-CO"/>
        </w:rPr>
      </w:pPr>
    </w:p>
    <w:p w:rsidR="00152C6D" w:rsidRDefault="0035485E" w:rsidP="0035485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3. El art. 82 del C.G.P. consagra en el numeral 6 como requisito de la demanda el siguiente: “</w:t>
      </w:r>
      <w:r w:rsidRPr="0035485E">
        <w:rPr>
          <w:rFonts w:ascii="Arial" w:eastAsia="Times New Roman" w:hAnsi="Arial" w:cs="Arial"/>
          <w:bCs/>
          <w:i/>
          <w:color w:val="000000"/>
          <w:lang w:val="es-CO" w:eastAsia="es-CO"/>
        </w:rPr>
        <w:t>6. La petición de las pruebas que se pretenda hacer valer, con indicación de los documentos que el demandado tiene en su poder, para que este los aporte</w:t>
      </w:r>
      <w:r>
        <w:rPr>
          <w:rFonts w:ascii="Arial" w:eastAsia="Times New Roman" w:hAnsi="Arial" w:cs="Arial"/>
          <w:bCs/>
          <w:color w:val="000000"/>
          <w:lang w:val="es-CO" w:eastAsia="es-CO"/>
        </w:rPr>
        <w:t>” y, en este mismo sentido, el art. 84 del mismo código dispone que la demanda deberá acompañarse de: “</w:t>
      </w:r>
      <w:r w:rsidRPr="0035485E">
        <w:rPr>
          <w:rFonts w:ascii="Arial" w:eastAsia="Times New Roman" w:hAnsi="Arial" w:cs="Arial"/>
          <w:bCs/>
          <w:i/>
          <w:color w:val="000000"/>
          <w:lang w:val="es-CO" w:eastAsia="es-CO"/>
        </w:rPr>
        <w:t>3. Las pruebas extraprocesales y los documentos que se pretenda hacer valer y se encuentren en poder del demandante</w:t>
      </w:r>
      <w:r>
        <w:rPr>
          <w:rFonts w:ascii="Arial" w:eastAsia="Times New Roman" w:hAnsi="Arial" w:cs="Arial"/>
          <w:bCs/>
          <w:color w:val="000000"/>
          <w:lang w:val="es-CO" w:eastAsia="es-CO"/>
        </w:rPr>
        <w:t>”</w:t>
      </w:r>
      <w:r w:rsidRPr="0035485E">
        <w:rPr>
          <w:rFonts w:ascii="Arial" w:eastAsia="Times New Roman" w:hAnsi="Arial" w:cs="Arial"/>
          <w:bCs/>
          <w:color w:val="000000"/>
          <w:lang w:val="es-CO" w:eastAsia="es-CO"/>
        </w:rPr>
        <w:t>.</w:t>
      </w:r>
      <w:r>
        <w:rPr>
          <w:rFonts w:ascii="Arial" w:eastAsia="Times New Roman" w:hAnsi="Arial" w:cs="Arial"/>
          <w:bCs/>
          <w:color w:val="000000"/>
          <w:lang w:val="es-CO" w:eastAsia="es-CO"/>
        </w:rPr>
        <w:t xml:space="preserve"> A este respecto observa el Tribunal que en la demanda se solicita se decrete como pruebas documentales, entre otras, “</w:t>
      </w:r>
      <w:r w:rsidRPr="0035485E">
        <w:rPr>
          <w:rFonts w:ascii="Arial" w:eastAsia="Times New Roman" w:hAnsi="Arial" w:cs="Arial"/>
          <w:bCs/>
          <w:i/>
          <w:color w:val="000000"/>
          <w:lang w:val="es-CO" w:eastAsia="es-CO"/>
        </w:rPr>
        <w:t xml:space="preserve">1.7. </w:t>
      </w:r>
      <w:r w:rsidRPr="0035485E">
        <w:rPr>
          <w:rFonts w:ascii="Arial" w:eastAsia="Times New Roman" w:hAnsi="Arial" w:cs="Arial"/>
          <w:bCs/>
          <w:i/>
          <w:color w:val="000000"/>
          <w:lang w:val="es-CO" w:eastAsia="es-CO"/>
        </w:rPr>
        <w:t>Copia de la comunicación del 11 de septiembre de 2023 en donde se informa de la imposición de multas por actos presuntamente desarrollados en el mes de agosto de 2023</w:t>
      </w:r>
      <w:r>
        <w:rPr>
          <w:rFonts w:ascii="Arial" w:eastAsia="Times New Roman" w:hAnsi="Arial" w:cs="Arial"/>
          <w:bCs/>
          <w:color w:val="000000"/>
          <w:lang w:val="es-CO" w:eastAsia="es-CO"/>
        </w:rPr>
        <w:t xml:space="preserve">”, más adelante, se indica que hacen parte de los anexos todas las pruebas documentales relacionadas en el acápite respectivo, sin embargo, al revisar los anexos remitidos por el convocante no se encuentra la copia de la comunicación del 11 de septiembre de 2023 </w:t>
      </w:r>
      <w:r w:rsidR="00152C6D">
        <w:rPr>
          <w:rFonts w:ascii="Arial" w:eastAsia="Times New Roman" w:hAnsi="Arial" w:cs="Arial"/>
          <w:bCs/>
          <w:color w:val="000000"/>
          <w:lang w:val="es-CO" w:eastAsia="es-CO"/>
        </w:rPr>
        <w:t xml:space="preserve">indicada en el acápite 1.7., por lo que debe aclararse este punto y/o remitir la copia a la que hace mención. Así las cosas, al subsanar la demanda, deberá remitirse dicho documento. </w:t>
      </w:r>
    </w:p>
    <w:p w:rsidR="00152C6D" w:rsidRDefault="00152C6D" w:rsidP="0035485E">
      <w:pPr>
        <w:pStyle w:val="Sinespaciado"/>
        <w:spacing w:line="360" w:lineRule="auto"/>
        <w:jc w:val="both"/>
        <w:rPr>
          <w:rFonts w:ascii="Arial" w:eastAsia="Times New Roman" w:hAnsi="Arial" w:cs="Arial"/>
          <w:bCs/>
          <w:color w:val="000000"/>
          <w:lang w:val="es-CO" w:eastAsia="es-CO"/>
        </w:rPr>
      </w:pPr>
    </w:p>
    <w:p w:rsidR="00152C6D" w:rsidRDefault="00152C6D" w:rsidP="0035485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En mérito de lo expuesto, el Tribunal resuelve:</w:t>
      </w:r>
    </w:p>
    <w:p w:rsidR="00152C6D" w:rsidRDefault="00152C6D" w:rsidP="0035485E">
      <w:pPr>
        <w:pStyle w:val="Sinespaciado"/>
        <w:spacing w:line="360" w:lineRule="auto"/>
        <w:jc w:val="both"/>
        <w:rPr>
          <w:rFonts w:ascii="Arial" w:eastAsia="Times New Roman" w:hAnsi="Arial" w:cs="Arial"/>
          <w:bCs/>
          <w:color w:val="000000"/>
          <w:lang w:val="es-CO" w:eastAsia="es-CO"/>
        </w:rPr>
      </w:pPr>
    </w:p>
    <w:p w:rsidR="00152C6D" w:rsidRDefault="00152C6D" w:rsidP="0035485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1. Inadmitir la demanda arbitral, para que la parte convocante en el término de 5 días hábiles, subsane los defectos mencionados en la parte considerativa de esta providencia, son pena de rechazo. El escrito de subsanación deberá presentarse en un escrito integrado. </w:t>
      </w:r>
    </w:p>
    <w:p w:rsidR="00152C6D" w:rsidRDefault="00152C6D" w:rsidP="0035485E">
      <w:pPr>
        <w:pStyle w:val="Sinespaciado"/>
        <w:spacing w:line="360" w:lineRule="auto"/>
        <w:jc w:val="both"/>
        <w:rPr>
          <w:rFonts w:ascii="Arial" w:eastAsia="Times New Roman" w:hAnsi="Arial" w:cs="Arial"/>
          <w:bCs/>
          <w:color w:val="000000"/>
          <w:lang w:val="es-CO" w:eastAsia="es-CO"/>
        </w:rPr>
      </w:pPr>
    </w:p>
    <w:p w:rsidR="008B0809" w:rsidRDefault="00152C6D" w:rsidP="0035485E">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2. Conforme lo establecido en el inciso 5 del art. 6 de la Ley 2213 de 2022, la subsanación de la demanda y sus anexos simultáneamente deberá ser enviada a la parte demandada a los correos electrónicos señalados en la presente acta. </w:t>
      </w:r>
    </w:p>
    <w:p w:rsidR="008B0809" w:rsidRDefault="008B0809" w:rsidP="0035485E">
      <w:pPr>
        <w:pStyle w:val="Sinespaciado"/>
        <w:spacing w:line="360" w:lineRule="auto"/>
        <w:jc w:val="both"/>
        <w:rPr>
          <w:rFonts w:ascii="Arial" w:eastAsia="Times New Roman" w:hAnsi="Arial" w:cs="Arial"/>
          <w:bCs/>
          <w:color w:val="000000"/>
          <w:lang w:val="es-CO" w:eastAsia="es-CO"/>
        </w:rPr>
      </w:pPr>
    </w:p>
    <w:p w:rsidR="00DB2AE2" w:rsidRPr="00902873" w:rsidRDefault="008B0809" w:rsidP="00DB2AE2">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Anterior providenc</w:t>
      </w:r>
      <w:r w:rsidR="005D7220">
        <w:rPr>
          <w:rFonts w:ascii="Arial" w:eastAsia="Times New Roman" w:hAnsi="Arial" w:cs="Arial"/>
          <w:bCs/>
          <w:color w:val="000000"/>
          <w:lang w:val="es-CO" w:eastAsia="es-CO"/>
        </w:rPr>
        <w:t>ia fue notificada en audiencia.</w:t>
      </w:r>
      <w:bookmarkStart w:id="0" w:name="_GoBack"/>
      <w:bookmarkEnd w:id="0"/>
    </w:p>
    <w:sectPr w:rsidR="00DB2AE2" w:rsidRPr="009028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754C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8"/>
  </w:num>
  <w:num w:numId="5">
    <w:abstractNumId w:val="14"/>
  </w:num>
  <w:num w:numId="6">
    <w:abstractNumId w:val="17"/>
  </w:num>
  <w:num w:numId="7">
    <w:abstractNumId w:val="3"/>
  </w:num>
  <w:num w:numId="8">
    <w:abstractNumId w:val="8"/>
  </w:num>
  <w:num w:numId="9">
    <w:abstractNumId w:val="1"/>
  </w:num>
  <w:num w:numId="10">
    <w:abstractNumId w:val="11"/>
  </w:num>
  <w:num w:numId="11">
    <w:abstractNumId w:val="22"/>
  </w:num>
  <w:num w:numId="12">
    <w:abstractNumId w:val="15"/>
  </w:num>
  <w:num w:numId="13">
    <w:abstractNumId w:val="16"/>
  </w:num>
  <w:num w:numId="14">
    <w:abstractNumId w:val="4"/>
  </w:num>
  <w:num w:numId="15">
    <w:abstractNumId w:val="2"/>
  </w:num>
  <w:num w:numId="16">
    <w:abstractNumId w:val="10"/>
  </w:num>
  <w:num w:numId="17">
    <w:abstractNumId w:val="13"/>
  </w:num>
  <w:num w:numId="18">
    <w:abstractNumId w:val="23"/>
  </w:num>
  <w:num w:numId="19">
    <w:abstractNumId w:val="0"/>
  </w:num>
  <w:num w:numId="20">
    <w:abstractNumId w:val="9"/>
  </w:num>
  <w:num w:numId="21">
    <w:abstractNumId w:val="5"/>
  </w:num>
  <w:num w:numId="22">
    <w:abstractNumId w:val="19"/>
  </w:num>
  <w:num w:numId="23">
    <w:abstractNumId w:val="12"/>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023B1"/>
    <w:rsid w:val="0001036C"/>
    <w:rsid w:val="00020AFF"/>
    <w:rsid w:val="0002646E"/>
    <w:rsid w:val="00027026"/>
    <w:rsid w:val="000378FF"/>
    <w:rsid w:val="000401E6"/>
    <w:rsid w:val="00043BF8"/>
    <w:rsid w:val="0004703D"/>
    <w:rsid w:val="00051305"/>
    <w:rsid w:val="00061AA9"/>
    <w:rsid w:val="000624F7"/>
    <w:rsid w:val="000637C4"/>
    <w:rsid w:val="0006790D"/>
    <w:rsid w:val="00070E13"/>
    <w:rsid w:val="000732FC"/>
    <w:rsid w:val="000803BB"/>
    <w:rsid w:val="00081032"/>
    <w:rsid w:val="000814A0"/>
    <w:rsid w:val="000832F5"/>
    <w:rsid w:val="0009275A"/>
    <w:rsid w:val="0009425E"/>
    <w:rsid w:val="000950CC"/>
    <w:rsid w:val="0009585C"/>
    <w:rsid w:val="000A0B0C"/>
    <w:rsid w:val="000C42E2"/>
    <w:rsid w:val="000C7D0C"/>
    <w:rsid w:val="000D1205"/>
    <w:rsid w:val="000D29A0"/>
    <w:rsid w:val="000D352C"/>
    <w:rsid w:val="000D3DA3"/>
    <w:rsid w:val="000E0DDB"/>
    <w:rsid w:val="000E152D"/>
    <w:rsid w:val="000E55D9"/>
    <w:rsid w:val="000F5E47"/>
    <w:rsid w:val="000F7703"/>
    <w:rsid w:val="00103EFF"/>
    <w:rsid w:val="00106B37"/>
    <w:rsid w:val="001103F0"/>
    <w:rsid w:val="001117B0"/>
    <w:rsid w:val="001130D1"/>
    <w:rsid w:val="001153BA"/>
    <w:rsid w:val="001230A0"/>
    <w:rsid w:val="00127075"/>
    <w:rsid w:val="00132359"/>
    <w:rsid w:val="00144612"/>
    <w:rsid w:val="00152C6D"/>
    <w:rsid w:val="00154B2D"/>
    <w:rsid w:val="00157628"/>
    <w:rsid w:val="001578A1"/>
    <w:rsid w:val="00162F3C"/>
    <w:rsid w:val="00167F7F"/>
    <w:rsid w:val="00175225"/>
    <w:rsid w:val="001760CC"/>
    <w:rsid w:val="00176748"/>
    <w:rsid w:val="001874C9"/>
    <w:rsid w:val="00191D09"/>
    <w:rsid w:val="001938FE"/>
    <w:rsid w:val="00193A57"/>
    <w:rsid w:val="00197005"/>
    <w:rsid w:val="001A2E73"/>
    <w:rsid w:val="001A621B"/>
    <w:rsid w:val="001C1CAD"/>
    <w:rsid w:val="001C5574"/>
    <w:rsid w:val="001D05F0"/>
    <w:rsid w:val="001D1D98"/>
    <w:rsid w:val="001D36E3"/>
    <w:rsid w:val="00203345"/>
    <w:rsid w:val="002046A8"/>
    <w:rsid w:val="00205D7D"/>
    <w:rsid w:val="00206F56"/>
    <w:rsid w:val="00210F15"/>
    <w:rsid w:val="00216DA7"/>
    <w:rsid w:val="00220F12"/>
    <w:rsid w:val="00221D88"/>
    <w:rsid w:val="00223B8F"/>
    <w:rsid w:val="0022625E"/>
    <w:rsid w:val="00230B7A"/>
    <w:rsid w:val="002310EF"/>
    <w:rsid w:val="00235708"/>
    <w:rsid w:val="002409A4"/>
    <w:rsid w:val="00242D72"/>
    <w:rsid w:val="002505F5"/>
    <w:rsid w:val="00250E14"/>
    <w:rsid w:val="00251943"/>
    <w:rsid w:val="0025647F"/>
    <w:rsid w:val="00257FF3"/>
    <w:rsid w:val="00265C55"/>
    <w:rsid w:val="00271354"/>
    <w:rsid w:val="00274570"/>
    <w:rsid w:val="00275389"/>
    <w:rsid w:val="00285939"/>
    <w:rsid w:val="00286290"/>
    <w:rsid w:val="002869B8"/>
    <w:rsid w:val="00292196"/>
    <w:rsid w:val="00295D0E"/>
    <w:rsid w:val="00296307"/>
    <w:rsid w:val="0029679A"/>
    <w:rsid w:val="0029794F"/>
    <w:rsid w:val="002A0676"/>
    <w:rsid w:val="002A35A0"/>
    <w:rsid w:val="002A7EC2"/>
    <w:rsid w:val="002B0C37"/>
    <w:rsid w:val="002B3158"/>
    <w:rsid w:val="002B32DF"/>
    <w:rsid w:val="002C016B"/>
    <w:rsid w:val="002C2593"/>
    <w:rsid w:val="002C351B"/>
    <w:rsid w:val="002C4130"/>
    <w:rsid w:val="002C5489"/>
    <w:rsid w:val="002C728D"/>
    <w:rsid w:val="002C7A17"/>
    <w:rsid w:val="002D1E49"/>
    <w:rsid w:val="002E34C5"/>
    <w:rsid w:val="002E421A"/>
    <w:rsid w:val="002E5A03"/>
    <w:rsid w:val="002E5C0B"/>
    <w:rsid w:val="002F02CA"/>
    <w:rsid w:val="002F2341"/>
    <w:rsid w:val="003032D6"/>
    <w:rsid w:val="00304B1F"/>
    <w:rsid w:val="0031207E"/>
    <w:rsid w:val="003148E8"/>
    <w:rsid w:val="00315143"/>
    <w:rsid w:val="0031716B"/>
    <w:rsid w:val="00325E4E"/>
    <w:rsid w:val="00326390"/>
    <w:rsid w:val="003269BC"/>
    <w:rsid w:val="00326B20"/>
    <w:rsid w:val="003332CF"/>
    <w:rsid w:val="00334862"/>
    <w:rsid w:val="00335517"/>
    <w:rsid w:val="0034124F"/>
    <w:rsid w:val="00343FAF"/>
    <w:rsid w:val="003472E4"/>
    <w:rsid w:val="0035169F"/>
    <w:rsid w:val="00353F9A"/>
    <w:rsid w:val="0035485E"/>
    <w:rsid w:val="00361209"/>
    <w:rsid w:val="003622B4"/>
    <w:rsid w:val="0036291A"/>
    <w:rsid w:val="003665A3"/>
    <w:rsid w:val="00367AB5"/>
    <w:rsid w:val="00373492"/>
    <w:rsid w:val="00374FC0"/>
    <w:rsid w:val="00385E51"/>
    <w:rsid w:val="003871DA"/>
    <w:rsid w:val="00395C18"/>
    <w:rsid w:val="003971B2"/>
    <w:rsid w:val="00397D75"/>
    <w:rsid w:val="003A222D"/>
    <w:rsid w:val="003A242D"/>
    <w:rsid w:val="003A29FD"/>
    <w:rsid w:val="003A35B9"/>
    <w:rsid w:val="003A3C9C"/>
    <w:rsid w:val="003A6A5D"/>
    <w:rsid w:val="003A6B58"/>
    <w:rsid w:val="003B0ADB"/>
    <w:rsid w:val="003C1BA0"/>
    <w:rsid w:val="003C31DF"/>
    <w:rsid w:val="003D01A1"/>
    <w:rsid w:val="003D0E0B"/>
    <w:rsid w:val="003E5A29"/>
    <w:rsid w:val="003F5E2C"/>
    <w:rsid w:val="003F62F7"/>
    <w:rsid w:val="003F7923"/>
    <w:rsid w:val="0040104B"/>
    <w:rsid w:val="004158D3"/>
    <w:rsid w:val="0041694C"/>
    <w:rsid w:val="00421F96"/>
    <w:rsid w:val="00424B2C"/>
    <w:rsid w:val="0042639E"/>
    <w:rsid w:val="00432DDF"/>
    <w:rsid w:val="00442F87"/>
    <w:rsid w:val="00443F11"/>
    <w:rsid w:val="004447F6"/>
    <w:rsid w:val="004465FB"/>
    <w:rsid w:val="00447475"/>
    <w:rsid w:val="0045016B"/>
    <w:rsid w:val="0045222F"/>
    <w:rsid w:val="004530AB"/>
    <w:rsid w:val="00454422"/>
    <w:rsid w:val="00456A1E"/>
    <w:rsid w:val="00461D03"/>
    <w:rsid w:val="0046581F"/>
    <w:rsid w:val="00465D0E"/>
    <w:rsid w:val="00467DCE"/>
    <w:rsid w:val="00472A5E"/>
    <w:rsid w:val="0047354D"/>
    <w:rsid w:val="004839B0"/>
    <w:rsid w:val="00486FCB"/>
    <w:rsid w:val="0049581A"/>
    <w:rsid w:val="004959AC"/>
    <w:rsid w:val="004A0AE5"/>
    <w:rsid w:val="004A5581"/>
    <w:rsid w:val="004C3763"/>
    <w:rsid w:val="004C3EA1"/>
    <w:rsid w:val="004D63EB"/>
    <w:rsid w:val="004D690E"/>
    <w:rsid w:val="004E0281"/>
    <w:rsid w:val="004E251C"/>
    <w:rsid w:val="004E58DD"/>
    <w:rsid w:val="004E6B39"/>
    <w:rsid w:val="004E7CCA"/>
    <w:rsid w:val="004F2AED"/>
    <w:rsid w:val="004F3B0F"/>
    <w:rsid w:val="004F456C"/>
    <w:rsid w:val="00506FF7"/>
    <w:rsid w:val="00507CE1"/>
    <w:rsid w:val="00524E33"/>
    <w:rsid w:val="00537EFF"/>
    <w:rsid w:val="00540AC1"/>
    <w:rsid w:val="00543F43"/>
    <w:rsid w:val="00545850"/>
    <w:rsid w:val="005516F1"/>
    <w:rsid w:val="005529E9"/>
    <w:rsid w:val="0055547A"/>
    <w:rsid w:val="0055799D"/>
    <w:rsid w:val="0056080E"/>
    <w:rsid w:val="00566DB0"/>
    <w:rsid w:val="00567687"/>
    <w:rsid w:val="0057074E"/>
    <w:rsid w:val="00575AC8"/>
    <w:rsid w:val="00582078"/>
    <w:rsid w:val="0058367E"/>
    <w:rsid w:val="00586CE6"/>
    <w:rsid w:val="00586DE8"/>
    <w:rsid w:val="00586F9E"/>
    <w:rsid w:val="00595782"/>
    <w:rsid w:val="00595F0A"/>
    <w:rsid w:val="00597B20"/>
    <w:rsid w:val="005A3A1E"/>
    <w:rsid w:val="005A3D75"/>
    <w:rsid w:val="005A49FC"/>
    <w:rsid w:val="005A59F9"/>
    <w:rsid w:val="005A6F16"/>
    <w:rsid w:val="005B7F3F"/>
    <w:rsid w:val="005C1600"/>
    <w:rsid w:val="005D0DA0"/>
    <w:rsid w:val="005D6A8E"/>
    <w:rsid w:val="005D7220"/>
    <w:rsid w:val="005D77E4"/>
    <w:rsid w:val="005E4224"/>
    <w:rsid w:val="005E458E"/>
    <w:rsid w:val="005E4B17"/>
    <w:rsid w:val="005F2CC5"/>
    <w:rsid w:val="005F55BF"/>
    <w:rsid w:val="005F7281"/>
    <w:rsid w:val="005F769E"/>
    <w:rsid w:val="006002FB"/>
    <w:rsid w:val="00604576"/>
    <w:rsid w:val="00605E13"/>
    <w:rsid w:val="00605E52"/>
    <w:rsid w:val="006076CE"/>
    <w:rsid w:val="0060788B"/>
    <w:rsid w:val="00611207"/>
    <w:rsid w:val="00614DC7"/>
    <w:rsid w:val="00617826"/>
    <w:rsid w:val="00626BBB"/>
    <w:rsid w:val="00627498"/>
    <w:rsid w:val="006422A3"/>
    <w:rsid w:val="00642C26"/>
    <w:rsid w:val="006526D7"/>
    <w:rsid w:val="0065373C"/>
    <w:rsid w:val="00654BC1"/>
    <w:rsid w:val="006576C2"/>
    <w:rsid w:val="00667AFA"/>
    <w:rsid w:val="006807EF"/>
    <w:rsid w:val="00690A90"/>
    <w:rsid w:val="00691BD2"/>
    <w:rsid w:val="00695017"/>
    <w:rsid w:val="00695BD5"/>
    <w:rsid w:val="006B33D1"/>
    <w:rsid w:val="006B48DD"/>
    <w:rsid w:val="006B529B"/>
    <w:rsid w:val="006B7051"/>
    <w:rsid w:val="006C0C41"/>
    <w:rsid w:val="006C38FE"/>
    <w:rsid w:val="006C67DF"/>
    <w:rsid w:val="006C7851"/>
    <w:rsid w:val="006D0B54"/>
    <w:rsid w:val="006D1285"/>
    <w:rsid w:val="006D190D"/>
    <w:rsid w:val="006D3B6B"/>
    <w:rsid w:val="006D4733"/>
    <w:rsid w:val="006D66E6"/>
    <w:rsid w:val="006E1BEF"/>
    <w:rsid w:val="006E42D5"/>
    <w:rsid w:val="006E48AC"/>
    <w:rsid w:val="006E51DF"/>
    <w:rsid w:val="006F2D8C"/>
    <w:rsid w:val="006F318E"/>
    <w:rsid w:val="006F4AB1"/>
    <w:rsid w:val="0070021A"/>
    <w:rsid w:val="007006CE"/>
    <w:rsid w:val="0070209A"/>
    <w:rsid w:val="00705CDC"/>
    <w:rsid w:val="00710FA4"/>
    <w:rsid w:val="00714C00"/>
    <w:rsid w:val="00714D29"/>
    <w:rsid w:val="00715E79"/>
    <w:rsid w:val="007214E0"/>
    <w:rsid w:val="007312BF"/>
    <w:rsid w:val="00735695"/>
    <w:rsid w:val="007423B7"/>
    <w:rsid w:val="00742D52"/>
    <w:rsid w:val="007555ED"/>
    <w:rsid w:val="00755D1D"/>
    <w:rsid w:val="007571D8"/>
    <w:rsid w:val="00760789"/>
    <w:rsid w:val="0076620E"/>
    <w:rsid w:val="00771F6C"/>
    <w:rsid w:val="0077774C"/>
    <w:rsid w:val="00780846"/>
    <w:rsid w:val="00781429"/>
    <w:rsid w:val="0078252A"/>
    <w:rsid w:val="0078709C"/>
    <w:rsid w:val="007871F7"/>
    <w:rsid w:val="007872AE"/>
    <w:rsid w:val="00790636"/>
    <w:rsid w:val="00791AAB"/>
    <w:rsid w:val="007922AB"/>
    <w:rsid w:val="007961A8"/>
    <w:rsid w:val="007A0888"/>
    <w:rsid w:val="007A45D8"/>
    <w:rsid w:val="007B143B"/>
    <w:rsid w:val="007C23FF"/>
    <w:rsid w:val="007C25CB"/>
    <w:rsid w:val="007C3EAC"/>
    <w:rsid w:val="007C4422"/>
    <w:rsid w:val="007C7C3E"/>
    <w:rsid w:val="007D12F7"/>
    <w:rsid w:val="007D6105"/>
    <w:rsid w:val="007D6478"/>
    <w:rsid w:val="007D76E0"/>
    <w:rsid w:val="007E0565"/>
    <w:rsid w:val="007E4173"/>
    <w:rsid w:val="007E56F2"/>
    <w:rsid w:val="007E6FAB"/>
    <w:rsid w:val="007F1A0F"/>
    <w:rsid w:val="007F27B5"/>
    <w:rsid w:val="0080240F"/>
    <w:rsid w:val="00813628"/>
    <w:rsid w:val="008136CB"/>
    <w:rsid w:val="00813BEE"/>
    <w:rsid w:val="00815353"/>
    <w:rsid w:val="0081623A"/>
    <w:rsid w:val="00816A8A"/>
    <w:rsid w:val="008209F8"/>
    <w:rsid w:val="0083200C"/>
    <w:rsid w:val="0083444B"/>
    <w:rsid w:val="0083524A"/>
    <w:rsid w:val="008376AB"/>
    <w:rsid w:val="00840788"/>
    <w:rsid w:val="00840BC4"/>
    <w:rsid w:val="00841210"/>
    <w:rsid w:val="008413DA"/>
    <w:rsid w:val="0084321C"/>
    <w:rsid w:val="00843931"/>
    <w:rsid w:val="00844718"/>
    <w:rsid w:val="0084743C"/>
    <w:rsid w:val="008474A3"/>
    <w:rsid w:val="008476AE"/>
    <w:rsid w:val="00850090"/>
    <w:rsid w:val="0085290A"/>
    <w:rsid w:val="00853B78"/>
    <w:rsid w:val="00853CBF"/>
    <w:rsid w:val="00854044"/>
    <w:rsid w:val="00865BDF"/>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A1DBD"/>
    <w:rsid w:val="008B0809"/>
    <w:rsid w:val="008C147A"/>
    <w:rsid w:val="008C2CE8"/>
    <w:rsid w:val="008C718F"/>
    <w:rsid w:val="008D566A"/>
    <w:rsid w:val="008D5D0F"/>
    <w:rsid w:val="008E397A"/>
    <w:rsid w:val="008E3A7E"/>
    <w:rsid w:val="008E3BC7"/>
    <w:rsid w:val="008E7A27"/>
    <w:rsid w:val="008F70E7"/>
    <w:rsid w:val="00901FA4"/>
    <w:rsid w:val="00902873"/>
    <w:rsid w:val="00905069"/>
    <w:rsid w:val="00910CF0"/>
    <w:rsid w:val="00920903"/>
    <w:rsid w:val="00920994"/>
    <w:rsid w:val="00923D6C"/>
    <w:rsid w:val="0093058F"/>
    <w:rsid w:val="0095311B"/>
    <w:rsid w:val="00953450"/>
    <w:rsid w:val="00954A22"/>
    <w:rsid w:val="0095607A"/>
    <w:rsid w:val="009653B2"/>
    <w:rsid w:val="0096561B"/>
    <w:rsid w:val="00965EAE"/>
    <w:rsid w:val="00972F5C"/>
    <w:rsid w:val="00973910"/>
    <w:rsid w:val="00973B55"/>
    <w:rsid w:val="009803FA"/>
    <w:rsid w:val="00981B65"/>
    <w:rsid w:val="00985259"/>
    <w:rsid w:val="00990636"/>
    <w:rsid w:val="00991376"/>
    <w:rsid w:val="0099193D"/>
    <w:rsid w:val="00992C5E"/>
    <w:rsid w:val="00994B05"/>
    <w:rsid w:val="00995342"/>
    <w:rsid w:val="00995862"/>
    <w:rsid w:val="00995EEB"/>
    <w:rsid w:val="00996A02"/>
    <w:rsid w:val="009A07CD"/>
    <w:rsid w:val="009B14A4"/>
    <w:rsid w:val="009B72C1"/>
    <w:rsid w:val="009B73CF"/>
    <w:rsid w:val="009C0740"/>
    <w:rsid w:val="009C390F"/>
    <w:rsid w:val="009C4D7C"/>
    <w:rsid w:val="009D34B9"/>
    <w:rsid w:val="009D3E17"/>
    <w:rsid w:val="009D4069"/>
    <w:rsid w:val="009D51FF"/>
    <w:rsid w:val="009D6A43"/>
    <w:rsid w:val="009D6D73"/>
    <w:rsid w:val="009D6F43"/>
    <w:rsid w:val="009D7BB0"/>
    <w:rsid w:val="009E1D9D"/>
    <w:rsid w:val="009E47AA"/>
    <w:rsid w:val="009F0638"/>
    <w:rsid w:val="009F3557"/>
    <w:rsid w:val="009F4ED3"/>
    <w:rsid w:val="009F5028"/>
    <w:rsid w:val="00A052A5"/>
    <w:rsid w:val="00A06459"/>
    <w:rsid w:val="00A14954"/>
    <w:rsid w:val="00A15B93"/>
    <w:rsid w:val="00A27338"/>
    <w:rsid w:val="00A2797B"/>
    <w:rsid w:val="00A32534"/>
    <w:rsid w:val="00A352E4"/>
    <w:rsid w:val="00A37EA5"/>
    <w:rsid w:val="00A53394"/>
    <w:rsid w:val="00A540E8"/>
    <w:rsid w:val="00A541A8"/>
    <w:rsid w:val="00A60380"/>
    <w:rsid w:val="00A6614B"/>
    <w:rsid w:val="00A723EE"/>
    <w:rsid w:val="00A74C9A"/>
    <w:rsid w:val="00A752C5"/>
    <w:rsid w:val="00A75B95"/>
    <w:rsid w:val="00A828A6"/>
    <w:rsid w:val="00A8488B"/>
    <w:rsid w:val="00A84E4F"/>
    <w:rsid w:val="00A939CB"/>
    <w:rsid w:val="00A954A6"/>
    <w:rsid w:val="00A95EB7"/>
    <w:rsid w:val="00A97EE5"/>
    <w:rsid w:val="00AA08D6"/>
    <w:rsid w:val="00AA4720"/>
    <w:rsid w:val="00AA60CB"/>
    <w:rsid w:val="00AB14BB"/>
    <w:rsid w:val="00AB5691"/>
    <w:rsid w:val="00AB6CD4"/>
    <w:rsid w:val="00AC2F87"/>
    <w:rsid w:val="00AC33C0"/>
    <w:rsid w:val="00AC7B8D"/>
    <w:rsid w:val="00AD0CAC"/>
    <w:rsid w:val="00AD258F"/>
    <w:rsid w:val="00AE1752"/>
    <w:rsid w:val="00AE3D94"/>
    <w:rsid w:val="00AE5610"/>
    <w:rsid w:val="00AE6172"/>
    <w:rsid w:val="00AE7136"/>
    <w:rsid w:val="00AF34DA"/>
    <w:rsid w:val="00AF4CED"/>
    <w:rsid w:val="00AF5BF8"/>
    <w:rsid w:val="00AF6550"/>
    <w:rsid w:val="00B00F39"/>
    <w:rsid w:val="00B016CB"/>
    <w:rsid w:val="00B12A05"/>
    <w:rsid w:val="00B16A39"/>
    <w:rsid w:val="00B23E64"/>
    <w:rsid w:val="00B34819"/>
    <w:rsid w:val="00B35F8C"/>
    <w:rsid w:val="00B42303"/>
    <w:rsid w:val="00B42E2C"/>
    <w:rsid w:val="00B476F7"/>
    <w:rsid w:val="00B529B3"/>
    <w:rsid w:val="00B54F6B"/>
    <w:rsid w:val="00B63346"/>
    <w:rsid w:val="00B65714"/>
    <w:rsid w:val="00B809AF"/>
    <w:rsid w:val="00B81310"/>
    <w:rsid w:val="00B81DC6"/>
    <w:rsid w:val="00B824CF"/>
    <w:rsid w:val="00B8290B"/>
    <w:rsid w:val="00B83E97"/>
    <w:rsid w:val="00B84F6D"/>
    <w:rsid w:val="00B874C6"/>
    <w:rsid w:val="00B90434"/>
    <w:rsid w:val="00B94488"/>
    <w:rsid w:val="00B971FD"/>
    <w:rsid w:val="00BA3A5C"/>
    <w:rsid w:val="00BA5AEE"/>
    <w:rsid w:val="00BA6E36"/>
    <w:rsid w:val="00BA714F"/>
    <w:rsid w:val="00BB7149"/>
    <w:rsid w:val="00BC165F"/>
    <w:rsid w:val="00BC6832"/>
    <w:rsid w:val="00BD10E1"/>
    <w:rsid w:val="00BD1EE7"/>
    <w:rsid w:val="00BD2F32"/>
    <w:rsid w:val="00BD3116"/>
    <w:rsid w:val="00BD7BC1"/>
    <w:rsid w:val="00BE0B22"/>
    <w:rsid w:val="00BE1FAA"/>
    <w:rsid w:val="00BE264F"/>
    <w:rsid w:val="00BE2CB1"/>
    <w:rsid w:val="00BE66EC"/>
    <w:rsid w:val="00BE6BFB"/>
    <w:rsid w:val="00BE7208"/>
    <w:rsid w:val="00BE7885"/>
    <w:rsid w:val="00BF34C7"/>
    <w:rsid w:val="00BF639B"/>
    <w:rsid w:val="00BF69FD"/>
    <w:rsid w:val="00C01335"/>
    <w:rsid w:val="00C068E3"/>
    <w:rsid w:val="00C126FE"/>
    <w:rsid w:val="00C14190"/>
    <w:rsid w:val="00C160B9"/>
    <w:rsid w:val="00C17B70"/>
    <w:rsid w:val="00C267DC"/>
    <w:rsid w:val="00C273F5"/>
    <w:rsid w:val="00C31305"/>
    <w:rsid w:val="00C37A11"/>
    <w:rsid w:val="00C52B87"/>
    <w:rsid w:val="00C6056F"/>
    <w:rsid w:val="00C62965"/>
    <w:rsid w:val="00C70440"/>
    <w:rsid w:val="00C71390"/>
    <w:rsid w:val="00C73130"/>
    <w:rsid w:val="00C74501"/>
    <w:rsid w:val="00C76A17"/>
    <w:rsid w:val="00C903EE"/>
    <w:rsid w:val="00C90B35"/>
    <w:rsid w:val="00C92992"/>
    <w:rsid w:val="00C93572"/>
    <w:rsid w:val="00C936F0"/>
    <w:rsid w:val="00C9419A"/>
    <w:rsid w:val="00C958B9"/>
    <w:rsid w:val="00C9720C"/>
    <w:rsid w:val="00CA0825"/>
    <w:rsid w:val="00CA0847"/>
    <w:rsid w:val="00CA1C80"/>
    <w:rsid w:val="00CA317F"/>
    <w:rsid w:val="00CB2A2B"/>
    <w:rsid w:val="00CB61AD"/>
    <w:rsid w:val="00CC0D15"/>
    <w:rsid w:val="00CD554F"/>
    <w:rsid w:val="00CD5DA3"/>
    <w:rsid w:val="00CD7948"/>
    <w:rsid w:val="00CE0180"/>
    <w:rsid w:val="00CE2F24"/>
    <w:rsid w:val="00CF08DE"/>
    <w:rsid w:val="00CF11C2"/>
    <w:rsid w:val="00CF7915"/>
    <w:rsid w:val="00D041E8"/>
    <w:rsid w:val="00D0572E"/>
    <w:rsid w:val="00D15574"/>
    <w:rsid w:val="00D220CD"/>
    <w:rsid w:val="00D22D81"/>
    <w:rsid w:val="00D30C38"/>
    <w:rsid w:val="00D325D1"/>
    <w:rsid w:val="00D342D7"/>
    <w:rsid w:val="00D413A7"/>
    <w:rsid w:val="00D45671"/>
    <w:rsid w:val="00D50014"/>
    <w:rsid w:val="00D541AF"/>
    <w:rsid w:val="00D54444"/>
    <w:rsid w:val="00D5500C"/>
    <w:rsid w:val="00D60317"/>
    <w:rsid w:val="00D63A6D"/>
    <w:rsid w:val="00D7250C"/>
    <w:rsid w:val="00D90898"/>
    <w:rsid w:val="00D93BD0"/>
    <w:rsid w:val="00D95721"/>
    <w:rsid w:val="00D979F0"/>
    <w:rsid w:val="00DA1B21"/>
    <w:rsid w:val="00DA4234"/>
    <w:rsid w:val="00DA5F9F"/>
    <w:rsid w:val="00DB0A3C"/>
    <w:rsid w:val="00DB27A9"/>
    <w:rsid w:val="00DB2AE2"/>
    <w:rsid w:val="00DB79BC"/>
    <w:rsid w:val="00DC4274"/>
    <w:rsid w:val="00DD5971"/>
    <w:rsid w:val="00DD746B"/>
    <w:rsid w:val="00DE6B4D"/>
    <w:rsid w:val="00DE6BFC"/>
    <w:rsid w:val="00DE7084"/>
    <w:rsid w:val="00DE7FE6"/>
    <w:rsid w:val="00DF1269"/>
    <w:rsid w:val="00DF1676"/>
    <w:rsid w:val="00DF2663"/>
    <w:rsid w:val="00DF756B"/>
    <w:rsid w:val="00E0272B"/>
    <w:rsid w:val="00E05BDA"/>
    <w:rsid w:val="00E05CEA"/>
    <w:rsid w:val="00E06D39"/>
    <w:rsid w:val="00E1110A"/>
    <w:rsid w:val="00E112B0"/>
    <w:rsid w:val="00E12881"/>
    <w:rsid w:val="00E147A7"/>
    <w:rsid w:val="00E304D3"/>
    <w:rsid w:val="00E32F11"/>
    <w:rsid w:val="00E37442"/>
    <w:rsid w:val="00E416C7"/>
    <w:rsid w:val="00E476DD"/>
    <w:rsid w:val="00E50337"/>
    <w:rsid w:val="00E508F1"/>
    <w:rsid w:val="00E50E98"/>
    <w:rsid w:val="00E50F65"/>
    <w:rsid w:val="00E53D3F"/>
    <w:rsid w:val="00E60A9D"/>
    <w:rsid w:val="00E62AF0"/>
    <w:rsid w:val="00E64638"/>
    <w:rsid w:val="00E660C2"/>
    <w:rsid w:val="00E6757E"/>
    <w:rsid w:val="00E7018C"/>
    <w:rsid w:val="00E70A43"/>
    <w:rsid w:val="00E71A49"/>
    <w:rsid w:val="00E81275"/>
    <w:rsid w:val="00E834BA"/>
    <w:rsid w:val="00E841BD"/>
    <w:rsid w:val="00E87708"/>
    <w:rsid w:val="00E95FB0"/>
    <w:rsid w:val="00E971EE"/>
    <w:rsid w:val="00EA0277"/>
    <w:rsid w:val="00EA148C"/>
    <w:rsid w:val="00EA56F6"/>
    <w:rsid w:val="00EA5F16"/>
    <w:rsid w:val="00EB178F"/>
    <w:rsid w:val="00EB233B"/>
    <w:rsid w:val="00EB299E"/>
    <w:rsid w:val="00EB2A1C"/>
    <w:rsid w:val="00EB3E93"/>
    <w:rsid w:val="00EB6522"/>
    <w:rsid w:val="00EB7AB9"/>
    <w:rsid w:val="00EC1B6E"/>
    <w:rsid w:val="00ED0DAB"/>
    <w:rsid w:val="00ED1750"/>
    <w:rsid w:val="00ED3534"/>
    <w:rsid w:val="00ED51AC"/>
    <w:rsid w:val="00ED5737"/>
    <w:rsid w:val="00ED74B4"/>
    <w:rsid w:val="00EE045B"/>
    <w:rsid w:val="00EE1E47"/>
    <w:rsid w:val="00EF786F"/>
    <w:rsid w:val="00F0066E"/>
    <w:rsid w:val="00F03262"/>
    <w:rsid w:val="00F054DD"/>
    <w:rsid w:val="00F06549"/>
    <w:rsid w:val="00F07D7E"/>
    <w:rsid w:val="00F1100E"/>
    <w:rsid w:val="00F148E1"/>
    <w:rsid w:val="00F2078F"/>
    <w:rsid w:val="00F248E8"/>
    <w:rsid w:val="00F25B1B"/>
    <w:rsid w:val="00F26B47"/>
    <w:rsid w:val="00F3173A"/>
    <w:rsid w:val="00F31901"/>
    <w:rsid w:val="00F344BC"/>
    <w:rsid w:val="00F358E6"/>
    <w:rsid w:val="00F50531"/>
    <w:rsid w:val="00F518A1"/>
    <w:rsid w:val="00F51E1B"/>
    <w:rsid w:val="00F604AE"/>
    <w:rsid w:val="00F615C9"/>
    <w:rsid w:val="00F67970"/>
    <w:rsid w:val="00F75158"/>
    <w:rsid w:val="00F77064"/>
    <w:rsid w:val="00F771AA"/>
    <w:rsid w:val="00F809D1"/>
    <w:rsid w:val="00F8687D"/>
    <w:rsid w:val="00F90282"/>
    <w:rsid w:val="00F92985"/>
    <w:rsid w:val="00FA4602"/>
    <w:rsid w:val="00FA5BFC"/>
    <w:rsid w:val="00FA74BA"/>
    <w:rsid w:val="00FB0D28"/>
    <w:rsid w:val="00FB2502"/>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C33"/>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05503785">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69986207">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37707381">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5693</TotalTime>
  <Pages>3</Pages>
  <Words>699</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279</cp:revision>
  <dcterms:created xsi:type="dcterms:W3CDTF">2022-07-06T02:29:00Z</dcterms:created>
  <dcterms:modified xsi:type="dcterms:W3CDTF">2024-01-29T15:54:00Z</dcterms:modified>
</cp:coreProperties>
</file>